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sz w:val="44"/>
          <w:szCs w:val="44"/>
        </w:rPr>
      </w:pPr>
      <w:r>
        <w:rPr>
          <w:rFonts w:hint="eastAsia" w:ascii="黑体" w:hAnsi="黑体" w:eastAsia="黑体"/>
          <w:sz w:val="44"/>
          <w:szCs w:val="44"/>
        </w:rPr>
        <w:t>中国人民政治协商会议河北省秦皇岛市</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海港区委员会</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hint="eastAsia" w:eastAsia="黑体"/>
          <w:szCs w:val="32"/>
        </w:rPr>
        <w:t>第一部分</w:t>
      </w:r>
      <w:r>
        <w:rPr>
          <w:rFonts w:eastAsia="黑体"/>
          <w:szCs w:val="32"/>
        </w:rPr>
        <w:t xml:space="preserve">   </w:t>
      </w:r>
      <w:r>
        <w:rPr>
          <w:rFonts w:hint="eastAsia" w:eastAsia="黑体"/>
          <w:szCs w:val="32"/>
        </w:rPr>
        <w:t>海港区政协概况</w:t>
      </w:r>
    </w:p>
    <w:p>
      <w:pPr>
        <w:widowControl/>
        <w:spacing w:line="580" w:lineRule="exact"/>
        <w:ind w:firstLine="1273" w:firstLineChars="398"/>
        <w:rPr>
          <w:szCs w:val="32"/>
        </w:rPr>
      </w:pPr>
      <w:r>
        <w:rPr>
          <w:rFonts w:hint="eastAsia"/>
          <w:szCs w:val="32"/>
        </w:rPr>
        <w:t>一、部门职责</w:t>
      </w:r>
    </w:p>
    <w:p>
      <w:pPr>
        <w:widowControl/>
        <w:spacing w:line="580" w:lineRule="exact"/>
        <w:ind w:firstLine="1273" w:firstLineChars="398"/>
        <w:rPr>
          <w:szCs w:val="32"/>
        </w:rPr>
      </w:pPr>
      <w:r>
        <w:rPr>
          <w:rFonts w:hint="eastAsia"/>
          <w:szCs w:val="32"/>
        </w:rPr>
        <w:t>二、部门决算单位构成</w:t>
      </w:r>
    </w:p>
    <w:p>
      <w:pPr>
        <w:widowControl/>
        <w:spacing w:line="580" w:lineRule="exact"/>
        <w:ind w:firstLine="640"/>
        <w:rPr>
          <w:sz w:val="20"/>
          <w:szCs w:val="32"/>
        </w:rPr>
      </w:pPr>
      <w:r>
        <w:rPr>
          <w:rFonts w:hint="eastAsia" w:eastAsia="黑体"/>
          <w:szCs w:val="32"/>
        </w:rPr>
        <w:t>第二部分</w:t>
      </w:r>
      <w:r>
        <w:rPr>
          <w:rFonts w:eastAsia="黑体"/>
          <w:szCs w:val="32"/>
        </w:rPr>
        <w:t xml:space="preserve">   </w:t>
      </w:r>
      <w:r>
        <w:rPr>
          <w:rFonts w:hint="eastAsia" w:eastAsia="黑体"/>
          <w:szCs w:val="32"/>
        </w:rPr>
        <w:t>海港区政协</w:t>
      </w:r>
      <w:r>
        <w:rPr>
          <w:rFonts w:eastAsia="黑体"/>
          <w:szCs w:val="32"/>
        </w:rPr>
        <w:t>2017</w:t>
      </w:r>
      <w:r>
        <w:rPr>
          <w:rFonts w:hint="eastAsia" w:eastAsia="黑体"/>
          <w:szCs w:val="32"/>
        </w:rPr>
        <w:t>年度部门决算报表</w:t>
      </w:r>
    </w:p>
    <w:p>
      <w:pPr>
        <w:widowControl/>
        <w:spacing w:line="580" w:lineRule="exact"/>
        <w:ind w:left="640" w:firstLine="640"/>
        <w:rPr>
          <w:szCs w:val="32"/>
        </w:rPr>
      </w:pPr>
      <w:r>
        <w:rPr>
          <w:rFonts w:hint="eastAsia"/>
          <w:szCs w:val="32"/>
        </w:rPr>
        <w:t>一、收入支出决算总表</w:t>
      </w:r>
    </w:p>
    <w:p>
      <w:pPr>
        <w:widowControl/>
        <w:spacing w:line="580" w:lineRule="exact"/>
        <w:ind w:left="640" w:firstLine="640"/>
        <w:rPr>
          <w:szCs w:val="32"/>
        </w:rPr>
      </w:pPr>
      <w:r>
        <w:rPr>
          <w:rFonts w:hint="eastAsia"/>
          <w:szCs w:val="32"/>
        </w:rPr>
        <w:t>二、收入决算表</w:t>
      </w:r>
    </w:p>
    <w:p>
      <w:pPr>
        <w:widowControl/>
        <w:spacing w:line="580" w:lineRule="exact"/>
        <w:ind w:left="640" w:firstLine="640"/>
        <w:rPr>
          <w:szCs w:val="32"/>
        </w:rPr>
      </w:pPr>
      <w:r>
        <w:rPr>
          <w:rFonts w:hint="eastAsia"/>
          <w:szCs w:val="32"/>
        </w:rPr>
        <w:t>三、支出决算表</w:t>
      </w:r>
    </w:p>
    <w:p>
      <w:pPr>
        <w:widowControl/>
        <w:spacing w:line="580" w:lineRule="exact"/>
        <w:ind w:left="640" w:firstLine="640"/>
        <w:rPr>
          <w:szCs w:val="32"/>
        </w:rPr>
      </w:pPr>
      <w:r>
        <w:rPr>
          <w:rFonts w:hint="eastAsia"/>
          <w:szCs w:val="32"/>
        </w:rPr>
        <w:t>四、财政拨款收入支出决算总表</w:t>
      </w:r>
    </w:p>
    <w:p>
      <w:pPr>
        <w:widowControl/>
        <w:spacing w:line="580" w:lineRule="exact"/>
        <w:ind w:left="640" w:firstLine="640"/>
        <w:rPr>
          <w:szCs w:val="32"/>
        </w:rPr>
      </w:pPr>
      <w:r>
        <w:rPr>
          <w:rFonts w:hint="eastAsia"/>
          <w:szCs w:val="32"/>
        </w:rPr>
        <w:t>五、一般公共预算财政拨款收入支出决算表</w:t>
      </w:r>
    </w:p>
    <w:p>
      <w:pPr>
        <w:widowControl/>
        <w:spacing w:line="580" w:lineRule="exact"/>
        <w:ind w:left="640" w:firstLine="640"/>
        <w:rPr>
          <w:szCs w:val="32"/>
        </w:rPr>
      </w:pPr>
      <w:r>
        <w:rPr>
          <w:rFonts w:hint="eastAsia"/>
          <w:szCs w:val="32"/>
        </w:rPr>
        <w:t>六、一般公共预算财政拨款基本支出决算经济分类表</w:t>
      </w:r>
    </w:p>
    <w:p>
      <w:pPr>
        <w:widowControl/>
        <w:spacing w:line="580" w:lineRule="exact"/>
        <w:ind w:left="640" w:firstLine="640"/>
        <w:rPr>
          <w:szCs w:val="32"/>
        </w:rPr>
      </w:pPr>
      <w:r>
        <w:rPr>
          <w:rFonts w:hint="eastAsia"/>
          <w:szCs w:val="32"/>
        </w:rPr>
        <w:t>七、政府性基金预算财政拨款收入支出决算表</w:t>
      </w:r>
    </w:p>
    <w:p>
      <w:pPr>
        <w:widowControl/>
        <w:spacing w:line="580" w:lineRule="exact"/>
        <w:ind w:left="640" w:firstLine="640"/>
        <w:rPr>
          <w:szCs w:val="32"/>
        </w:rPr>
      </w:pPr>
      <w:r>
        <w:rPr>
          <w:rFonts w:hint="eastAsia"/>
          <w:szCs w:val="32"/>
        </w:rPr>
        <w:t>八、国有资本经营预算财政拨款收入支出决算表</w:t>
      </w:r>
    </w:p>
    <w:p>
      <w:pPr>
        <w:widowControl/>
        <w:spacing w:line="580" w:lineRule="exact"/>
        <w:ind w:left="640" w:firstLine="64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pPr>
        <w:widowControl/>
        <w:spacing w:line="580" w:lineRule="exact"/>
        <w:ind w:left="640" w:firstLine="640"/>
        <w:rPr>
          <w:szCs w:val="32"/>
        </w:rPr>
      </w:pPr>
      <w:r>
        <w:rPr>
          <w:rFonts w:hint="eastAsia"/>
          <w:szCs w:val="32"/>
        </w:rPr>
        <w:t>十、政府采购情况表</w:t>
      </w:r>
    </w:p>
    <w:p>
      <w:pPr>
        <w:widowControl/>
        <w:spacing w:line="580" w:lineRule="exact"/>
        <w:ind w:firstLine="64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海港区政协</w:t>
      </w:r>
      <w:r>
        <w:rPr>
          <w:rFonts w:eastAsia="黑体"/>
          <w:szCs w:val="32"/>
        </w:rPr>
        <w:t>2017</w:t>
      </w:r>
      <w:r>
        <w:rPr>
          <w:rFonts w:hint="eastAsia" w:eastAsia="黑体"/>
          <w:szCs w:val="32"/>
        </w:rPr>
        <w:t>年度部门决算情况说明</w:t>
      </w:r>
    </w:p>
    <w:p>
      <w:pPr>
        <w:widowControl/>
        <w:spacing w:line="580" w:lineRule="exact"/>
        <w:ind w:left="640" w:firstLine="640"/>
        <w:rPr>
          <w:szCs w:val="32"/>
        </w:rPr>
      </w:pPr>
      <w:bookmarkStart w:id="0" w:name="OLE_LINK21"/>
      <w:r>
        <w:rPr>
          <w:rFonts w:hint="eastAsia"/>
          <w:szCs w:val="32"/>
        </w:rPr>
        <w:t>一、收入支出决算总体情况说明</w:t>
      </w:r>
    </w:p>
    <w:bookmarkEnd w:id="0"/>
    <w:p>
      <w:pPr>
        <w:widowControl/>
        <w:spacing w:line="580" w:lineRule="exact"/>
        <w:ind w:left="640" w:firstLine="640"/>
        <w:rPr>
          <w:szCs w:val="32"/>
        </w:rPr>
      </w:pPr>
      <w:bookmarkStart w:id="1" w:name="OLE_LINK22"/>
      <w:r>
        <w:rPr>
          <w:rFonts w:hint="eastAsia"/>
          <w:szCs w:val="32"/>
        </w:rPr>
        <w:t>二、收入决算情况说明</w:t>
      </w:r>
    </w:p>
    <w:p>
      <w:pPr>
        <w:widowControl/>
        <w:spacing w:line="580" w:lineRule="exact"/>
        <w:ind w:left="640" w:firstLine="640"/>
        <w:rPr>
          <w:szCs w:val="32"/>
        </w:rPr>
      </w:pPr>
      <w:r>
        <w:rPr>
          <w:rFonts w:hint="eastAsia"/>
          <w:szCs w:val="32"/>
        </w:rPr>
        <w:t>三、支出决算情况说明</w:t>
      </w:r>
    </w:p>
    <w:bookmarkEnd w:id="1"/>
    <w:p>
      <w:pPr>
        <w:widowControl/>
        <w:spacing w:line="580" w:lineRule="exact"/>
        <w:ind w:left="640" w:firstLine="640"/>
        <w:rPr>
          <w:szCs w:val="32"/>
        </w:rPr>
      </w:pPr>
      <w:r>
        <w:rPr>
          <w:rFonts w:hint="eastAsia"/>
          <w:szCs w:val="32"/>
        </w:rPr>
        <w:t>四、财政拨款收入支出决算总体情况说明</w:t>
      </w:r>
    </w:p>
    <w:p>
      <w:pPr>
        <w:widowControl/>
        <w:spacing w:line="580" w:lineRule="exact"/>
        <w:ind w:left="640" w:firstLine="64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pPr>
        <w:widowControl/>
        <w:spacing w:line="580" w:lineRule="exact"/>
        <w:ind w:left="640" w:firstLine="640"/>
        <w:rPr>
          <w:szCs w:val="32"/>
        </w:rPr>
      </w:pPr>
      <w:bookmarkStart w:id="2" w:name="OLE_LINK27"/>
      <w:bookmarkStart w:id="3" w:name="OLE_LINK26"/>
      <w:bookmarkStart w:id="4" w:name="OLE_LINK25"/>
      <w:r>
        <w:rPr>
          <w:rFonts w:hint="eastAsia"/>
          <w:szCs w:val="32"/>
        </w:rPr>
        <w:t>六、预算绩效管理工作开展情况说明</w:t>
      </w:r>
    </w:p>
    <w:bookmarkEnd w:id="2"/>
    <w:bookmarkEnd w:id="3"/>
    <w:bookmarkEnd w:id="4"/>
    <w:p>
      <w:pPr>
        <w:widowControl/>
        <w:spacing w:line="580" w:lineRule="exact"/>
        <w:ind w:left="640" w:firstLine="640"/>
        <w:rPr>
          <w:szCs w:val="32"/>
        </w:rPr>
      </w:pPr>
      <w:r>
        <w:rPr>
          <w:rFonts w:hint="eastAsia"/>
          <w:szCs w:val="32"/>
        </w:rPr>
        <w:t>七、其他重要事项的说明</w:t>
      </w:r>
    </w:p>
    <w:p>
      <w:pPr>
        <w:widowControl/>
        <w:spacing w:line="580" w:lineRule="exact"/>
        <w:ind w:left="640" w:firstLine="1344" w:firstLineChars="420"/>
        <w:rPr>
          <w:szCs w:val="32"/>
        </w:rPr>
      </w:pPr>
      <w:r>
        <w:rPr>
          <w:szCs w:val="32"/>
        </w:rPr>
        <w:t>1.</w:t>
      </w:r>
      <w:r>
        <w:rPr>
          <w:rFonts w:hint="eastAsia"/>
          <w:szCs w:val="32"/>
        </w:rPr>
        <w:t>机关运行经费情况</w:t>
      </w:r>
    </w:p>
    <w:p>
      <w:pPr>
        <w:widowControl/>
        <w:spacing w:line="580" w:lineRule="exact"/>
        <w:ind w:left="640" w:firstLine="1344" w:firstLineChars="420"/>
        <w:rPr>
          <w:szCs w:val="32"/>
        </w:rPr>
      </w:pPr>
      <w:r>
        <w:rPr>
          <w:szCs w:val="32"/>
        </w:rPr>
        <w:t>2.</w:t>
      </w:r>
      <w:r>
        <w:rPr>
          <w:rFonts w:hint="eastAsia"/>
          <w:szCs w:val="32"/>
        </w:rPr>
        <w:t>政府采购情况</w:t>
      </w:r>
    </w:p>
    <w:p>
      <w:pPr>
        <w:widowControl/>
        <w:spacing w:line="580" w:lineRule="exact"/>
        <w:ind w:left="640" w:firstLine="1344" w:firstLineChars="420"/>
        <w:rPr>
          <w:szCs w:val="32"/>
        </w:rPr>
      </w:pPr>
      <w:r>
        <w:rPr>
          <w:szCs w:val="32"/>
        </w:rPr>
        <w:t>3.</w:t>
      </w:r>
      <w:r>
        <w:rPr>
          <w:rFonts w:hint="eastAsia"/>
          <w:szCs w:val="32"/>
        </w:rPr>
        <w:t>国有资产占用情况</w:t>
      </w:r>
    </w:p>
    <w:p>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pPr>
        <w:widowControl/>
        <w:spacing w:line="580" w:lineRule="exact"/>
        <w:ind w:firstLine="64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Cs w:val="32"/>
        </w:rPr>
        <w:br w:type="page"/>
      </w: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海港区政协概况</w:t>
      </w:r>
    </w:p>
    <w:bookmarkEnd w:id="7"/>
    <w:p>
      <w:pPr>
        <w:widowControl/>
        <w:spacing w:line="240" w:lineRule="auto"/>
        <w:ind w:firstLine="640"/>
        <w:jc w:val="left"/>
        <w:rPr>
          <w:rFonts w:ascii="仿宋_GB2312" w:hAnsi="黑体"/>
          <w:szCs w:val="32"/>
        </w:rPr>
      </w:pPr>
      <w:r>
        <w:rPr>
          <w:rFonts w:ascii="黑体" w:hAnsi="黑体" w:eastAsia="黑体"/>
          <w:szCs w:val="32"/>
        </w:rPr>
        <w:br w:type="page"/>
      </w:r>
      <w:bookmarkEnd w:id="6"/>
      <w:bookmarkStart w:id="8" w:name="OLE_LINK14"/>
      <w:r>
        <w:rPr>
          <w:rFonts w:hint="eastAsia" w:ascii="仿宋_GB2312" w:hAnsi="黑体"/>
          <w:szCs w:val="32"/>
        </w:rPr>
        <w:t>一、部门职责</w:t>
      </w:r>
    </w:p>
    <w:p>
      <w:pPr>
        <w:widowControl/>
        <w:spacing w:line="240" w:lineRule="auto"/>
        <w:ind w:firstLine="640"/>
        <w:jc w:val="left"/>
        <w:rPr>
          <w:rFonts w:ascii="仿宋_GB2312" w:hAnsi="黑体"/>
          <w:szCs w:val="32"/>
        </w:rPr>
      </w:pPr>
      <w:r>
        <w:rPr>
          <w:rFonts w:hint="eastAsia" w:ascii="仿宋_GB2312" w:hAnsi="黑体"/>
          <w:szCs w:val="32"/>
        </w:rPr>
        <w:t>（一）政治协商。就全区大政方针以及政治、经济、文化、社会和生态文明中的重要问题在决策之前进行协商和就决策执行过程中的重要问题进行协商。</w:t>
      </w:r>
    </w:p>
    <w:p>
      <w:pPr>
        <w:widowControl/>
        <w:spacing w:line="240" w:lineRule="auto"/>
        <w:ind w:firstLine="640"/>
        <w:jc w:val="left"/>
        <w:rPr>
          <w:rFonts w:ascii="仿宋_GB2312" w:hAnsi="黑体"/>
          <w:szCs w:val="32"/>
        </w:rPr>
      </w:pPr>
      <w:r>
        <w:rPr>
          <w:rFonts w:hint="eastAsia" w:ascii="仿宋_GB2312" w:hAnsi="黑体"/>
          <w:szCs w:val="32"/>
        </w:rPr>
        <w:t>（二）民主监督。对国家宪法、法律和法规的实施，重大方针政策的贯彻执行、国家机关及其工作人员的工作，通过建议和批评进行监督。根据形势、任务和党委政府统一部署，安排协商活动，召开专题协商会、协商民主会、专题座谈会、情况通报会、意见听取会、工作研讨会和学习座谈会等。</w:t>
      </w:r>
    </w:p>
    <w:p>
      <w:pPr>
        <w:widowControl/>
        <w:spacing w:line="240" w:lineRule="auto"/>
        <w:ind w:firstLine="640"/>
        <w:jc w:val="left"/>
        <w:rPr>
          <w:rFonts w:ascii="仿宋_GB2312" w:hAnsi="黑体"/>
          <w:szCs w:val="32"/>
        </w:rPr>
      </w:pPr>
      <w:r>
        <w:rPr>
          <w:rFonts w:hint="eastAsia" w:ascii="仿宋_GB2312" w:hAnsi="黑体"/>
          <w:szCs w:val="32"/>
        </w:rPr>
        <w:t>（三）参政议政。对政治、经济、文化和社会生活中的重要问题以及人民群众普遍关心的问题，开展调查研究，反映社情民意，进行协商讨论。通过调研报告、提案、建议案或其他形式，向区委和区政府提出意见和建议。</w:t>
      </w:r>
    </w:p>
    <w:p>
      <w:pPr>
        <w:ind w:firstLine="832" w:firstLineChars="260"/>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1620"/>
        <w:gridCol w:w="144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620"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1440"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066"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8" w:type="dxa"/>
          </w:tcPr>
          <w:p>
            <w:pPr>
              <w:spacing w:line="460" w:lineRule="exact"/>
              <w:ind w:firstLine="0" w:firstLineChars="0"/>
              <w:rPr>
                <w:rFonts w:ascii="仿宋_GB2312" w:hAnsi="黑体"/>
                <w:sz w:val="28"/>
                <w:szCs w:val="28"/>
              </w:rPr>
            </w:pPr>
            <w:r>
              <w:rPr>
                <w:rFonts w:hint="eastAsia" w:ascii="仿宋_GB2312" w:hAnsi="黑体"/>
                <w:sz w:val="28"/>
                <w:szCs w:val="28"/>
              </w:rPr>
              <w:t>中国人民政治协商会议河北省秦皇岛市海港区委员会</w:t>
            </w:r>
          </w:p>
        </w:tc>
        <w:tc>
          <w:tcPr>
            <w:tcW w:w="1620" w:type="dxa"/>
          </w:tcPr>
          <w:p>
            <w:pPr>
              <w:ind w:firstLine="0" w:firstLineChars="0"/>
              <w:rPr>
                <w:rFonts w:ascii="仿宋_GB2312" w:hAnsi="黑体"/>
                <w:sz w:val="28"/>
                <w:szCs w:val="28"/>
              </w:rPr>
            </w:pPr>
            <w:r>
              <w:rPr>
                <w:rFonts w:hint="eastAsia" w:ascii="仿宋_GB2312" w:hAnsi="黑体"/>
                <w:sz w:val="28"/>
                <w:szCs w:val="28"/>
              </w:rPr>
              <w:t>行政机关</w:t>
            </w:r>
          </w:p>
        </w:tc>
        <w:tc>
          <w:tcPr>
            <w:tcW w:w="1440" w:type="dxa"/>
          </w:tcPr>
          <w:p>
            <w:pPr>
              <w:ind w:firstLine="0" w:firstLineChars="0"/>
              <w:rPr>
                <w:rFonts w:ascii="仿宋_GB2312" w:hAnsi="黑体"/>
                <w:sz w:val="28"/>
                <w:szCs w:val="28"/>
              </w:rPr>
            </w:pPr>
            <w:r>
              <w:rPr>
                <w:rFonts w:hint="eastAsia" w:ascii="仿宋_GB2312" w:hAnsi="黑体"/>
                <w:sz w:val="28"/>
                <w:szCs w:val="28"/>
              </w:rPr>
              <w:t>正县级</w:t>
            </w:r>
          </w:p>
        </w:tc>
        <w:tc>
          <w:tcPr>
            <w:tcW w:w="2066" w:type="dxa"/>
          </w:tcPr>
          <w:p>
            <w:pPr>
              <w:ind w:firstLine="0" w:firstLineChars="0"/>
              <w:rPr>
                <w:rFonts w:ascii="仿宋_GB2312" w:hAnsi="黑体"/>
                <w:sz w:val="28"/>
                <w:szCs w:val="28"/>
              </w:rPr>
            </w:pPr>
            <w:r>
              <w:rPr>
                <w:rFonts w:hint="eastAsia" w:ascii="仿宋_GB2312" w:hAnsi="黑体"/>
                <w:sz w:val="28"/>
                <w:szCs w:val="28"/>
              </w:rPr>
              <w:t>财政拨款</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海港区政协</w:t>
      </w:r>
      <w:r>
        <w:rPr>
          <w:rFonts w:ascii="黑体" w:hAnsi="黑体" w:eastAsia="黑体"/>
          <w:sz w:val="72"/>
          <w:szCs w:val="72"/>
        </w:rPr>
        <w:t>2017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海港区政协</w:t>
      </w:r>
      <w:r>
        <w:rPr>
          <w:rFonts w:ascii="黑体" w:hAnsi="黑体" w:eastAsia="黑体"/>
          <w:sz w:val="72"/>
          <w:szCs w:val="72"/>
        </w:rPr>
        <w:t>2017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472" w:firstLineChars="147"/>
        <w:jc w:val="left"/>
        <w:rPr>
          <w:rFonts w:ascii="楷体" w:hAnsi="楷体" w:eastAsia="楷体"/>
          <w:b/>
          <w:szCs w:val="32"/>
        </w:rPr>
      </w:pPr>
      <w:r>
        <w:rPr>
          <w:rFonts w:ascii="楷体" w:hAnsi="楷体" w:eastAsia="楷体"/>
          <w:b/>
          <w:szCs w:val="32"/>
        </w:rPr>
        <w:br w:type="page"/>
      </w:r>
      <w:r>
        <w:rPr>
          <w:rFonts w:hint="eastAsia" w:ascii="楷体" w:hAnsi="楷体" w:eastAsia="楷体"/>
          <w:b/>
          <w:szCs w:val="32"/>
        </w:rPr>
        <w:t>一、收入支出决算总体情况说明</w:t>
      </w:r>
      <w:bookmarkStart w:id="10" w:name="OLE_LINK1"/>
      <w:bookmarkStart w:id="11" w:name="OLE_LINK2"/>
    </w:p>
    <w:bookmarkEnd w:id="10"/>
    <w:bookmarkEnd w:id="11"/>
    <w:p>
      <w:pPr>
        <w:ind w:firstLine="640"/>
        <w:rPr>
          <w:rFonts w:ascii="仿宋_GB2312"/>
          <w:szCs w:val="32"/>
        </w:rPr>
      </w:pPr>
      <w:bookmarkStart w:id="12" w:name="OLE_LINK23"/>
      <w:bookmarkStart w:id="13" w:name="OLE_LINK3"/>
      <w:bookmarkStart w:id="14" w:name="OLE_LINK4"/>
      <w:r>
        <w:rPr>
          <w:rFonts w:ascii="仿宋_GB2312"/>
          <w:szCs w:val="32"/>
        </w:rPr>
        <w:t>2017</w:t>
      </w:r>
      <w:r>
        <w:rPr>
          <w:rFonts w:hint="eastAsia" w:ascii="仿宋_GB2312"/>
          <w:szCs w:val="32"/>
        </w:rPr>
        <w:t>年度决算收入总计</w:t>
      </w:r>
      <w:r>
        <w:rPr>
          <w:rFonts w:ascii="仿宋_GB2312"/>
          <w:szCs w:val="32"/>
        </w:rPr>
        <w:t xml:space="preserve"> 538.50</w:t>
      </w:r>
      <w:r>
        <w:rPr>
          <w:rFonts w:hint="eastAsia" w:ascii="仿宋_GB2312"/>
          <w:szCs w:val="32"/>
        </w:rPr>
        <w:t>万元，决算支出总计</w:t>
      </w:r>
      <w:r>
        <w:rPr>
          <w:rFonts w:ascii="仿宋_GB2312"/>
          <w:szCs w:val="32"/>
        </w:rPr>
        <w:t>467.55</w:t>
      </w:r>
      <w:r>
        <w:rPr>
          <w:rFonts w:hint="eastAsia" w:ascii="仿宋_GB2312"/>
          <w:szCs w:val="32"/>
        </w:rPr>
        <w:t>万元，</w:t>
      </w:r>
      <w:bookmarkStart w:id="15" w:name="OLE_LINK37"/>
      <w:r>
        <w:rPr>
          <w:rFonts w:hint="eastAsia" w:ascii="仿宋_GB2312"/>
          <w:szCs w:val="32"/>
        </w:rPr>
        <w:t>年初结转和结余</w:t>
      </w:r>
      <w:r>
        <w:rPr>
          <w:rFonts w:ascii="仿宋_GB2312"/>
          <w:szCs w:val="32"/>
        </w:rPr>
        <w:t>14.25</w:t>
      </w:r>
      <w:r>
        <w:rPr>
          <w:rFonts w:hint="eastAsia" w:ascii="仿宋_GB2312"/>
          <w:szCs w:val="32"/>
        </w:rPr>
        <w:t>万元，年末结转和结余</w:t>
      </w:r>
      <w:r>
        <w:rPr>
          <w:rFonts w:ascii="仿宋_GB2312"/>
          <w:szCs w:val="32"/>
        </w:rPr>
        <w:t>85.19</w:t>
      </w:r>
      <w:r>
        <w:rPr>
          <w:rFonts w:hint="eastAsia" w:ascii="仿宋_GB2312"/>
          <w:szCs w:val="32"/>
        </w:rPr>
        <w:t>万元</w:t>
      </w:r>
      <w:bookmarkEnd w:id="15"/>
      <w:r>
        <w:rPr>
          <w:rFonts w:hint="eastAsia" w:ascii="仿宋_GB2312"/>
          <w:szCs w:val="32"/>
        </w:rPr>
        <w:t>。</w:t>
      </w:r>
    </w:p>
    <w:p>
      <w:pPr>
        <w:ind w:firstLine="64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114</w:t>
      </w:r>
      <w:r>
        <w:rPr>
          <w:rFonts w:hint="eastAsia" w:ascii="仿宋_GB2312"/>
          <w:szCs w:val="32"/>
        </w:rPr>
        <w:t>万元，原因是：根据有关文件要求，</w:t>
      </w:r>
      <w:r>
        <w:rPr>
          <w:rFonts w:ascii="仿宋_GB2312"/>
          <w:szCs w:val="32"/>
        </w:rPr>
        <w:t>2017</w:t>
      </w:r>
      <w:r>
        <w:rPr>
          <w:rFonts w:hint="eastAsia" w:ascii="仿宋_GB2312"/>
          <w:szCs w:val="32"/>
        </w:rPr>
        <w:t>年人员经费中津补贴有所增加；与</w:t>
      </w:r>
      <w:r>
        <w:rPr>
          <w:rFonts w:ascii="仿宋_GB2312"/>
          <w:szCs w:val="32"/>
        </w:rPr>
        <w:t>2016</w:t>
      </w:r>
      <w:r>
        <w:rPr>
          <w:rFonts w:hint="eastAsia" w:ascii="仿宋_GB2312"/>
          <w:szCs w:val="32"/>
        </w:rPr>
        <w:t>年度收入相比，增加</w:t>
      </w:r>
      <w:r>
        <w:rPr>
          <w:rFonts w:ascii="仿宋_GB2312"/>
          <w:szCs w:val="32"/>
        </w:rPr>
        <w:t>67.28</w:t>
      </w:r>
      <w:r>
        <w:rPr>
          <w:rFonts w:hint="eastAsia" w:ascii="仿宋_GB2312"/>
          <w:szCs w:val="32"/>
        </w:rPr>
        <w:t>万元，原因是：津补贴金额调整，有所增加。</w:t>
      </w:r>
    </w:p>
    <w:p>
      <w:pPr>
        <w:ind w:firstLine="64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43.05</w:t>
      </w:r>
      <w:r>
        <w:rPr>
          <w:rFonts w:hint="eastAsia" w:ascii="仿宋_GB2312"/>
          <w:szCs w:val="32"/>
        </w:rPr>
        <w:t>万元，原因是：人员经费支出增加；与</w:t>
      </w:r>
      <w:r>
        <w:rPr>
          <w:rFonts w:ascii="仿宋_GB2312"/>
          <w:szCs w:val="32"/>
        </w:rPr>
        <w:t>2016</w:t>
      </w:r>
      <w:r>
        <w:rPr>
          <w:rFonts w:hint="eastAsia" w:ascii="仿宋_GB2312"/>
          <w:szCs w:val="32"/>
        </w:rPr>
        <w:t>年度支出相比，减少</w:t>
      </w:r>
      <w:r>
        <w:rPr>
          <w:rFonts w:ascii="仿宋_GB2312"/>
          <w:szCs w:val="32"/>
        </w:rPr>
        <w:t>20.74</w:t>
      </w:r>
      <w:r>
        <w:rPr>
          <w:rFonts w:hint="eastAsia" w:ascii="仿宋_GB2312"/>
          <w:szCs w:val="32"/>
        </w:rPr>
        <w:t>万元，原因是：年底有部分人员经费未来得及支出，结转下一年度。</w:t>
      </w:r>
    </w:p>
    <w:bookmarkEnd w:id="12"/>
    <w:p>
      <w:pPr>
        <w:ind w:firstLine="643"/>
        <w:rPr>
          <w:rFonts w:ascii="楷体" w:hAnsi="楷体" w:eastAsia="楷体"/>
          <w:b/>
          <w:szCs w:val="32"/>
        </w:rPr>
      </w:pPr>
      <w:r>
        <w:rPr>
          <w:rFonts w:hint="eastAsia" w:ascii="楷体" w:hAnsi="楷体" w:eastAsia="楷体"/>
          <w:b/>
          <w:szCs w:val="32"/>
        </w:rPr>
        <w:t>二、收入决算情况说明</w:t>
      </w:r>
    </w:p>
    <w:p>
      <w:pPr>
        <w:widowControl/>
        <w:spacing w:line="580" w:lineRule="exact"/>
        <w:ind w:firstLine="640"/>
        <w:rPr>
          <w:rFonts w:ascii="仿宋" w:hAnsi="仿宋" w:eastAsia="仿宋"/>
          <w:szCs w:val="32"/>
        </w:rPr>
      </w:pPr>
      <w:r>
        <w:rPr>
          <w:rFonts w:ascii="仿宋_GB2312" w:hAnsi="仿宋"/>
          <w:szCs w:val="32"/>
        </w:rPr>
        <w:t>2017</w:t>
      </w:r>
      <w:r>
        <w:rPr>
          <w:rFonts w:hint="eastAsia" w:ascii="仿宋_GB2312" w:hAnsi="仿宋"/>
          <w:szCs w:val="32"/>
        </w:rPr>
        <w:t>年度收入合计</w:t>
      </w:r>
      <w:r>
        <w:rPr>
          <w:rFonts w:ascii="仿宋_GB2312" w:hAnsi="仿宋"/>
          <w:szCs w:val="32"/>
        </w:rPr>
        <w:t xml:space="preserve"> 538.50</w:t>
      </w:r>
      <w:r>
        <w:rPr>
          <w:rFonts w:hint="eastAsia" w:ascii="仿宋_GB2312" w:hAnsi="仿宋"/>
          <w:szCs w:val="32"/>
        </w:rPr>
        <w:t>万元，其中：财政拨款收入</w:t>
      </w:r>
      <w:r>
        <w:rPr>
          <w:rFonts w:ascii="仿宋_GB2312" w:hAnsi="仿宋"/>
          <w:szCs w:val="32"/>
        </w:rPr>
        <w:t>538.50</w:t>
      </w:r>
      <w:r>
        <w:rPr>
          <w:rFonts w:hint="eastAsia" w:ascii="仿宋_GB2312" w:hAnsi="仿宋"/>
          <w:szCs w:val="32"/>
        </w:rPr>
        <w:t>万元，占总收入</w:t>
      </w:r>
      <w:r>
        <w:rPr>
          <w:rFonts w:ascii="仿宋_GB2312" w:hAnsi="仿宋"/>
          <w:szCs w:val="32"/>
        </w:rPr>
        <w:t>100%</w:t>
      </w:r>
      <w:r>
        <w:rPr>
          <w:rFonts w:hint="eastAsia" w:ascii="仿宋_GB2312" w:hAnsi="仿宋"/>
          <w:szCs w:val="32"/>
        </w:rPr>
        <w:t>；</w:t>
      </w:r>
      <w:bookmarkStart w:id="16" w:name="OLE_LINK32"/>
      <w:bookmarkStart w:id="17" w:name="OLE_LINK33"/>
      <w:r>
        <w:rPr>
          <w:rFonts w:hint="eastAsia" w:ascii="仿宋_GB2312" w:hAnsi="仿宋"/>
          <w:szCs w:val="32"/>
        </w:rPr>
        <w:t>事业收入</w:t>
      </w:r>
      <w:r>
        <w:rPr>
          <w:rFonts w:ascii="仿宋_GB2312" w:hAnsi="仿宋"/>
          <w:szCs w:val="32"/>
        </w:rPr>
        <w:t>0</w:t>
      </w:r>
      <w:r>
        <w:rPr>
          <w:rFonts w:hint="eastAsia" w:ascii="仿宋_GB2312" w:hAnsi="仿宋"/>
          <w:szCs w:val="32"/>
        </w:rPr>
        <w:t>万元，占总收入</w:t>
      </w:r>
      <w:r>
        <w:rPr>
          <w:rFonts w:ascii="仿宋_GB2312" w:hAnsi="仿宋"/>
          <w:szCs w:val="32"/>
        </w:rPr>
        <w:t>0%</w:t>
      </w:r>
      <w:bookmarkEnd w:id="16"/>
      <w:bookmarkEnd w:id="17"/>
      <w:r>
        <w:rPr>
          <w:rFonts w:hint="eastAsia" w:ascii="仿宋_GB2312" w:hAnsi="仿宋"/>
          <w:szCs w:val="32"/>
        </w:rPr>
        <w:t>；上级补助收入</w:t>
      </w:r>
      <w:r>
        <w:rPr>
          <w:rFonts w:ascii="仿宋_GB2312" w:hAnsi="仿宋"/>
          <w:szCs w:val="32"/>
        </w:rPr>
        <w:t>0</w:t>
      </w:r>
      <w:r>
        <w:rPr>
          <w:rFonts w:hint="eastAsia" w:ascii="仿宋_GB2312" w:hAnsi="仿宋"/>
          <w:szCs w:val="32"/>
        </w:rPr>
        <w:t>万元，占总收入</w:t>
      </w:r>
      <w:r>
        <w:rPr>
          <w:rFonts w:ascii="仿宋_GB2312" w:hAnsi="仿宋"/>
          <w:szCs w:val="32"/>
        </w:rPr>
        <w:t>0%</w:t>
      </w:r>
      <w:r>
        <w:rPr>
          <w:rFonts w:hint="eastAsia" w:ascii="仿宋_GB2312" w:hAnsi="仿宋"/>
          <w:szCs w:val="32"/>
        </w:rPr>
        <w:t>；经营收入</w:t>
      </w:r>
      <w:r>
        <w:rPr>
          <w:rFonts w:ascii="仿宋_GB2312" w:hAnsi="仿宋"/>
          <w:szCs w:val="32"/>
        </w:rPr>
        <w:t>0</w:t>
      </w:r>
      <w:r>
        <w:rPr>
          <w:rFonts w:hint="eastAsia" w:ascii="仿宋_GB2312" w:hAnsi="仿宋"/>
          <w:szCs w:val="32"/>
        </w:rPr>
        <w:t>万元，占总收入</w:t>
      </w:r>
      <w:r>
        <w:rPr>
          <w:rFonts w:ascii="仿宋_GB2312" w:hAnsi="仿宋"/>
          <w:szCs w:val="32"/>
        </w:rPr>
        <w:t>0%</w:t>
      </w:r>
      <w:r>
        <w:rPr>
          <w:rFonts w:hint="eastAsia" w:ascii="仿宋_GB2312" w:hAnsi="仿宋"/>
          <w:szCs w:val="32"/>
        </w:rPr>
        <w:t>；其它收入</w:t>
      </w:r>
      <w:r>
        <w:rPr>
          <w:rFonts w:ascii="仿宋_GB2312" w:hAnsi="仿宋"/>
          <w:szCs w:val="32"/>
        </w:rPr>
        <w:t>0</w:t>
      </w:r>
      <w:r>
        <w:rPr>
          <w:rFonts w:hint="eastAsia" w:ascii="仿宋_GB2312" w:hAnsi="仿宋"/>
          <w:szCs w:val="32"/>
        </w:rPr>
        <w:t>万元，占总收入</w:t>
      </w:r>
      <w:r>
        <w:rPr>
          <w:rFonts w:ascii="仿宋_GB2312" w:hAnsi="仿宋"/>
          <w:szCs w:val="32"/>
        </w:rPr>
        <w:t>0%</w:t>
      </w:r>
      <w:r>
        <w:rPr>
          <w:rFonts w:hint="eastAsia" w:ascii="仿宋_GB2312" w:hAnsi="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三、支出决算情况说明</w:t>
      </w:r>
    </w:p>
    <w:p>
      <w:pPr>
        <w:ind w:firstLine="640"/>
        <w:rPr>
          <w:rFonts w:ascii="仿宋_GB2312" w:hAnsi="仿宋"/>
          <w:szCs w:val="32"/>
        </w:rPr>
      </w:pPr>
      <w:r>
        <w:rPr>
          <w:rFonts w:ascii="仿宋_GB2312" w:hAnsi="仿宋"/>
          <w:szCs w:val="32"/>
        </w:rPr>
        <w:t>2017</w:t>
      </w:r>
      <w:r>
        <w:rPr>
          <w:rFonts w:hint="eastAsia" w:ascii="仿宋_GB2312" w:hAnsi="仿宋"/>
          <w:szCs w:val="32"/>
        </w:rPr>
        <w:t>年度支出合计</w:t>
      </w:r>
      <w:r>
        <w:rPr>
          <w:rFonts w:ascii="仿宋_GB2312" w:hAnsi="仿宋"/>
          <w:szCs w:val="32"/>
        </w:rPr>
        <w:t>467.55</w:t>
      </w:r>
      <w:r>
        <w:rPr>
          <w:rFonts w:hint="eastAsia" w:ascii="仿宋_GB2312" w:hAnsi="仿宋"/>
          <w:szCs w:val="32"/>
        </w:rPr>
        <w:t>万元，其中：</w:t>
      </w:r>
      <w:bookmarkStart w:id="18" w:name="OLE_LINK35"/>
      <w:r>
        <w:rPr>
          <w:rFonts w:hint="eastAsia" w:ascii="仿宋_GB2312" w:hAnsi="仿宋"/>
          <w:szCs w:val="32"/>
        </w:rPr>
        <w:t>基本支出</w:t>
      </w:r>
      <w:r>
        <w:rPr>
          <w:rFonts w:ascii="仿宋_GB2312" w:hAnsi="仿宋"/>
          <w:szCs w:val="32"/>
        </w:rPr>
        <w:t>421.84</w:t>
      </w:r>
      <w:r>
        <w:rPr>
          <w:rFonts w:hint="eastAsia" w:ascii="仿宋_GB2312" w:hAnsi="仿宋"/>
          <w:szCs w:val="32"/>
        </w:rPr>
        <w:t>万元，占总支出</w:t>
      </w:r>
      <w:r>
        <w:rPr>
          <w:rFonts w:ascii="仿宋_GB2312" w:hAnsi="仿宋"/>
          <w:szCs w:val="32"/>
        </w:rPr>
        <w:t>90.22%</w:t>
      </w:r>
      <w:r>
        <w:rPr>
          <w:rFonts w:hint="eastAsia" w:ascii="仿宋_GB2312" w:hAnsi="仿宋"/>
          <w:szCs w:val="32"/>
        </w:rPr>
        <w:t>；</w:t>
      </w:r>
      <w:bookmarkEnd w:id="18"/>
      <w:r>
        <w:rPr>
          <w:rFonts w:hint="eastAsia" w:ascii="仿宋_GB2312" w:hAnsi="仿宋"/>
          <w:szCs w:val="32"/>
        </w:rPr>
        <w:t>项目支出</w:t>
      </w:r>
      <w:r>
        <w:rPr>
          <w:rFonts w:ascii="仿宋_GB2312" w:hAnsi="仿宋"/>
          <w:szCs w:val="32"/>
        </w:rPr>
        <w:t>45.72</w:t>
      </w:r>
      <w:r>
        <w:rPr>
          <w:rFonts w:hint="eastAsia" w:ascii="仿宋_GB2312" w:hAnsi="仿宋"/>
          <w:szCs w:val="32"/>
        </w:rPr>
        <w:t>万元，占总支出</w:t>
      </w:r>
      <w:r>
        <w:rPr>
          <w:rFonts w:ascii="仿宋_GB2312" w:hAnsi="仿宋"/>
          <w:szCs w:val="32"/>
        </w:rPr>
        <w:t>9.78%</w:t>
      </w:r>
      <w:r>
        <w:rPr>
          <w:rFonts w:hint="eastAsia" w:ascii="仿宋_GB2312" w:hAnsi="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bookmarkStart w:id="19" w:name="OLE_LINK29"/>
      <w:r>
        <w:rPr>
          <w:rFonts w:ascii="仿宋_GB2312"/>
          <w:szCs w:val="32"/>
        </w:rPr>
        <w:t>2017</w:t>
      </w:r>
      <w:r>
        <w:rPr>
          <w:rFonts w:hint="eastAsia" w:ascii="仿宋_GB2312"/>
          <w:szCs w:val="32"/>
        </w:rPr>
        <w:t>年度财政拨款收入决算总计</w:t>
      </w:r>
      <w:r>
        <w:rPr>
          <w:rFonts w:ascii="仿宋_GB2312" w:hAnsi="仿宋"/>
          <w:szCs w:val="32"/>
        </w:rPr>
        <w:t>835.50</w:t>
      </w:r>
      <w:r>
        <w:rPr>
          <w:rFonts w:hint="eastAsia" w:ascii="仿宋_GB2312"/>
          <w:szCs w:val="32"/>
        </w:rPr>
        <w:t>万元，财政拨款支出决算总计</w:t>
      </w:r>
      <w:r>
        <w:rPr>
          <w:rFonts w:ascii="仿宋_GB2312" w:hAnsi="仿宋"/>
          <w:szCs w:val="32"/>
        </w:rPr>
        <w:t>467.55</w:t>
      </w:r>
      <w:r>
        <w:rPr>
          <w:rFonts w:hint="eastAsia" w:ascii="仿宋_GB2312"/>
          <w:szCs w:val="32"/>
        </w:rPr>
        <w:t>万元，年初结转和结余</w:t>
      </w:r>
      <w:r>
        <w:rPr>
          <w:rFonts w:ascii="仿宋_GB2312"/>
          <w:szCs w:val="32"/>
        </w:rPr>
        <w:t>14.25</w:t>
      </w:r>
      <w:r>
        <w:rPr>
          <w:rFonts w:hint="eastAsia" w:ascii="仿宋_GB2312"/>
          <w:szCs w:val="32"/>
        </w:rPr>
        <w:t>万元，年末结转和结余</w:t>
      </w:r>
      <w:r>
        <w:rPr>
          <w:rFonts w:ascii="仿宋_GB2312"/>
          <w:szCs w:val="32"/>
        </w:rPr>
        <w:t>85.19</w:t>
      </w:r>
      <w:r>
        <w:rPr>
          <w:rFonts w:hint="eastAsia" w:ascii="仿宋_GB2312"/>
          <w:szCs w:val="32"/>
        </w:rPr>
        <w:t>万元。</w:t>
      </w:r>
    </w:p>
    <w:bookmarkEnd w:id="19"/>
    <w:p>
      <w:pPr>
        <w:ind w:firstLine="640"/>
        <w:rPr>
          <w:rFonts w:ascii="仿宋_GB2312"/>
          <w:szCs w:val="32"/>
        </w:rPr>
      </w:pPr>
      <w:r>
        <w:rPr>
          <w:rFonts w:ascii="仿宋_GB2312"/>
          <w:szCs w:val="32"/>
        </w:rPr>
        <w:t>2017</w:t>
      </w:r>
      <w:r>
        <w:rPr>
          <w:rFonts w:hint="eastAsia" w:ascii="仿宋_GB2312"/>
          <w:szCs w:val="32"/>
        </w:rPr>
        <w:t>年度财政拨款收入与年初预算对比增加</w:t>
      </w:r>
      <w:r>
        <w:rPr>
          <w:rFonts w:ascii="仿宋_GB2312"/>
          <w:szCs w:val="32"/>
        </w:rPr>
        <w:t>114</w:t>
      </w:r>
      <w:r>
        <w:rPr>
          <w:rFonts w:hint="eastAsia" w:ascii="仿宋_GB2312"/>
          <w:szCs w:val="32"/>
        </w:rPr>
        <w:t>万元，原因是：根据有关文件要求，</w:t>
      </w:r>
      <w:r>
        <w:rPr>
          <w:rFonts w:ascii="仿宋_GB2312"/>
          <w:szCs w:val="32"/>
        </w:rPr>
        <w:t>2017</w:t>
      </w:r>
      <w:r>
        <w:rPr>
          <w:rFonts w:hint="eastAsia" w:ascii="仿宋_GB2312"/>
          <w:szCs w:val="32"/>
        </w:rPr>
        <w:t>年人员经费中津补贴有所增加；与</w:t>
      </w:r>
      <w:r>
        <w:rPr>
          <w:rFonts w:ascii="仿宋_GB2312"/>
          <w:szCs w:val="32"/>
        </w:rPr>
        <w:t>2016</w:t>
      </w:r>
      <w:r>
        <w:rPr>
          <w:rFonts w:hint="eastAsia" w:ascii="仿宋_GB2312"/>
          <w:szCs w:val="32"/>
        </w:rPr>
        <w:t>年度收入相比，增加</w:t>
      </w:r>
      <w:r>
        <w:rPr>
          <w:rFonts w:ascii="仿宋_GB2312"/>
          <w:szCs w:val="32"/>
        </w:rPr>
        <w:t>67.28</w:t>
      </w:r>
      <w:r>
        <w:rPr>
          <w:rFonts w:hint="eastAsia" w:ascii="仿宋_GB2312"/>
          <w:szCs w:val="32"/>
        </w:rPr>
        <w:t>万元，原因是：津补贴金额调整，有所增加。</w:t>
      </w:r>
    </w:p>
    <w:p>
      <w:pPr>
        <w:ind w:firstLine="640"/>
        <w:rPr>
          <w:rFonts w:ascii="仿宋_GB2312"/>
          <w:szCs w:val="32"/>
        </w:rPr>
      </w:pPr>
      <w:r>
        <w:rPr>
          <w:rFonts w:ascii="仿宋_GB2312"/>
          <w:szCs w:val="32"/>
        </w:rPr>
        <w:t>2017</w:t>
      </w:r>
      <w:r>
        <w:rPr>
          <w:rFonts w:hint="eastAsia" w:ascii="仿宋_GB2312"/>
          <w:szCs w:val="32"/>
        </w:rPr>
        <w:t>年度财政拨款支出与年初预算对比增加</w:t>
      </w:r>
      <w:r>
        <w:rPr>
          <w:rFonts w:ascii="仿宋_GB2312"/>
          <w:szCs w:val="32"/>
        </w:rPr>
        <w:t>43.05</w:t>
      </w:r>
      <w:r>
        <w:rPr>
          <w:rFonts w:hint="eastAsia" w:ascii="仿宋_GB2312"/>
          <w:szCs w:val="32"/>
        </w:rPr>
        <w:t>万元，原因是：人员经费支出增加；与</w:t>
      </w:r>
      <w:r>
        <w:rPr>
          <w:rFonts w:ascii="仿宋_GB2312"/>
          <w:szCs w:val="32"/>
        </w:rPr>
        <w:t>2016</w:t>
      </w:r>
      <w:r>
        <w:rPr>
          <w:rFonts w:hint="eastAsia" w:ascii="仿宋_GB2312"/>
          <w:szCs w:val="32"/>
        </w:rPr>
        <w:t>年度支出相比，减少</w:t>
      </w:r>
      <w:r>
        <w:rPr>
          <w:rFonts w:ascii="仿宋_GB2312"/>
          <w:szCs w:val="32"/>
        </w:rPr>
        <w:t>20.74</w:t>
      </w:r>
      <w:r>
        <w:rPr>
          <w:rFonts w:hint="eastAsia" w:ascii="仿宋_GB2312"/>
          <w:szCs w:val="32"/>
        </w:rPr>
        <w:t>万元，原因是：年底有部分人员经费未来得及支出，结转下一年度。</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ascii="仿宋_GB2312"/>
                <w:sz w:val="24"/>
                <w:szCs w:val="24"/>
              </w:rPr>
              <w:t>3.82</w:t>
            </w:r>
          </w:p>
        </w:tc>
        <w:tc>
          <w:tcPr>
            <w:tcW w:w="1446" w:type="dxa"/>
          </w:tcPr>
          <w:p>
            <w:pPr>
              <w:ind w:firstLine="0" w:firstLineChars="0"/>
              <w:jc w:val="center"/>
              <w:rPr>
                <w:rFonts w:ascii="仿宋_GB2312"/>
                <w:sz w:val="24"/>
                <w:szCs w:val="24"/>
              </w:rPr>
            </w:pPr>
            <w:r>
              <w:rPr>
                <w:rFonts w:ascii="仿宋_GB2312"/>
                <w:sz w:val="24"/>
                <w:szCs w:val="24"/>
              </w:rPr>
              <w:t>8.44</w:t>
            </w:r>
          </w:p>
        </w:tc>
        <w:tc>
          <w:tcPr>
            <w:tcW w:w="1446" w:type="dxa"/>
          </w:tcPr>
          <w:p>
            <w:pPr>
              <w:ind w:firstLine="0" w:firstLineChars="0"/>
              <w:jc w:val="center"/>
              <w:rPr>
                <w:rFonts w:ascii="仿宋_GB2312"/>
                <w:sz w:val="24"/>
                <w:szCs w:val="24"/>
              </w:rPr>
            </w:pPr>
            <w:r>
              <w:rPr>
                <w:rFonts w:ascii="仿宋_GB2312"/>
                <w:sz w:val="24"/>
                <w:szCs w:val="24"/>
              </w:rPr>
              <w:t>12.61</w:t>
            </w:r>
          </w:p>
        </w:tc>
        <w:tc>
          <w:tcPr>
            <w:tcW w:w="1474" w:type="dxa"/>
          </w:tcPr>
          <w:p>
            <w:pPr>
              <w:ind w:firstLine="0" w:firstLineChars="0"/>
              <w:jc w:val="center"/>
              <w:rPr>
                <w:rFonts w:ascii="仿宋_GB2312"/>
                <w:sz w:val="24"/>
                <w:szCs w:val="24"/>
              </w:rPr>
            </w:pPr>
            <w:r>
              <w:rPr>
                <w:rFonts w:ascii="仿宋_GB2312"/>
                <w:sz w:val="24"/>
                <w:szCs w:val="24"/>
              </w:rPr>
              <w:t>-4.62</w:t>
            </w:r>
          </w:p>
        </w:tc>
        <w:tc>
          <w:tcPr>
            <w:tcW w:w="1417" w:type="dxa"/>
          </w:tcPr>
          <w:p>
            <w:pPr>
              <w:ind w:firstLine="0" w:firstLineChars="0"/>
              <w:jc w:val="center"/>
              <w:rPr>
                <w:rFonts w:ascii="仿宋_GB2312"/>
                <w:sz w:val="24"/>
                <w:szCs w:val="24"/>
              </w:rPr>
            </w:pPr>
            <w:r>
              <w:rPr>
                <w:rFonts w:ascii="仿宋_GB2312"/>
                <w:sz w:val="24"/>
                <w:szCs w:val="24"/>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ascii="仿宋_GB2312"/>
                <w:sz w:val="24"/>
                <w:szCs w:val="24"/>
              </w:rPr>
              <w:t>3.82</w:t>
            </w:r>
          </w:p>
        </w:tc>
        <w:tc>
          <w:tcPr>
            <w:tcW w:w="1446" w:type="dxa"/>
          </w:tcPr>
          <w:p>
            <w:pPr>
              <w:ind w:firstLine="0" w:firstLineChars="0"/>
              <w:jc w:val="center"/>
              <w:rPr>
                <w:rFonts w:ascii="仿宋_GB2312"/>
                <w:sz w:val="24"/>
                <w:szCs w:val="24"/>
              </w:rPr>
            </w:pPr>
            <w:r>
              <w:rPr>
                <w:rFonts w:ascii="仿宋_GB2312"/>
                <w:sz w:val="24"/>
                <w:szCs w:val="24"/>
              </w:rPr>
              <w:t>7.67</w:t>
            </w:r>
          </w:p>
        </w:tc>
        <w:tc>
          <w:tcPr>
            <w:tcW w:w="1446" w:type="dxa"/>
          </w:tcPr>
          <w:p>
            <w:pPr>
              <w:ind w:firstLine="0" w:firstLineChars="0"/>
              <w:jc w:val="center"/>
              <w:rPr>
                <w:rFonts w:ascii="仿宋_GB2312"/>
                <w:sz w:val="24"/>
                <w:szCs w:val="24"/>
              </w:rPr>
            </w:pPr>
            <w:r>
              <w:rPr>
                <w:rFonts w:ascii="仿宋_GB2312"/>
                <w:sz w:val="24"/>
                <w:szCs w:val="24"/>
              </w:rPr>
              <w:t>11.84</w:t>
            </w:r>
          </w:p>
        </w:tc>
        <w:tc>
          <w:tcPr>
            <w:tcW w:w="1474" w:type="dxa"/>
          </w:tcPr>
          <w:p>
            <w:pPr>
              <w:ind w:firstLine="0" w:firstLineChars="0"/>
              <w:jc w:val="center"/>
              <w:rPr>
                <w:rFonts w:ascii="仿宋_GB2312"/>
                <w:sz w:val="24"/>
                <w:szCs w:val="24"/>
              </w:rPr>
            </w:pPr>
            <w:r>
              <w:rPr>
                <w:rFonts w:ascii="仿宋_GB2312"/>
                <w:sz w:val="24"/>
                <w:szCs w:val="24"/>
              </w:rPr>
              <w:t>-3.85</w:t>
            </w:r>
          </w:p>
        </w:tc>
        <w:tc>
          <w:tcPr>
            <w:tcW w:w="1417" w:type="dxa"/>
          </w:tcPr>
          <w:p>
            <w:pPr>
              <w:ind w:firstLine="0" w:firstLineChars="0"/>
              <w:jc w:val="center"/>
              <w:rPr>
                <w:rFonts w:ascii="仿宋_GB2312"/>
                <w:sz w:val="24"/>
                <w:szCs w:val="24"/>
              </w:rPr>
            </w:pPr>
            <w:r>
              <w:rPr>
                <w:rFonts w:ascii="仿宋_GB2312"/>
                <w:sz w:val="24"/>
                <w:szCs w:val="24"/>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20"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ascii="仿宋_GB2312"/>
                <w:sz w:val="24"/>
                <w:szCs w:val="24"/>
              </w:rPr>
              <w:t>3.82</w:t>
            </w:r>
          </w:p>
        </w:tc>
        <w:tc>
          <w:tcPr>
            <w:tcW w:w="1446" w:type="dxa"/>
          </w:tcPr>
          <w:p>
            <w:pPr>
              <w:ind w:firstLine="0" w:firstLineChars="0"/>
              <w:jc w:val="center"/>
              <w:rPr>
                <w:rFonts w:ascii="仿宋_GB2312"/>
                <w:sz w:val="24"/>
                <w:szCs w:val="24"/>
              </w:rPr>
            </w:pPr>
            <w:r>
              <w:rPr>
                <w:rFonts w:ascii="仿宋_GB2312"/>
                <w:sz w:val="24"/>
                <w:szCs w:val="24"/>
              </w:rPr>
              <w:t>7.67</w:t>
            </w:r>
          </w:p>
        </w:tc>
        <w:tc>
          <w:tcPr>
            <w:tcW w:w="1446" w:type="dxa"/>
          </w:tcPr>
          <w:p>
            <w:pPr>
              <w:ind w:firstLine="0" w:firstLineChars="0"/>
              <w:jc w:val="center"/>
              <w:rPr>
                <w:rFonts w:ascii="仿宋_GB2312"/>
                <w:sz w:val="24"/>
                <w:szCs w:val="24"/>
              </w:rPr>
            </w:pPr>
            <w:r>
              <w:rPr>
                <w:rFonts w:ascii="仿宋_GB2312"/>
                <w:sz w:val="24"/>
                <w:szCs w:val="24"/>
              </w:rPr>
              <w:t>11.84</w:t>
            </w:r>
          </w:p>
        </w:tc>
        <w:tc>
          <w:tcPr>
            <w:tcW w:w="1474" w:type="dxa"/>
          </w:tcPr>
          <w:p>
            <w:pPr>
              <w:ind w:firstLine="0" w:firstLineChars="0"/>
              <w:jc w:val="center"/>
              <w:rPr>
                <w:rFonts w:ascii="仿宋_GB2312"/>
                <w:sz w:val="24"/>
                <w:szCs w:val="24"/>
              </w:rPr>
            </w:pPr>
            <w:r>
              <w:rPr>
                <w:rFonts w:ascii="仿宋_GB2312"/>
                <w:sz w:val="24"/>
                <w:szCs w:val="24"/>
              </w:rPr>
              <w:t>-3.85</w:t>
            </w:r>
          </w:p>
        </w:tc>
        <w:tc>
          <w:tcPr>
            <w:tcW w:w="1417" w:type="dxa"/>
          </w:tcPr>
          <w:p>
            <w:pPr>
              <w:ind w:firstLine="0" w:firstLineChars="0"/>
              <w:jc w:val="center"/>
              <w:rPr>
                <w:rFonts w:ascii="仿宋_GB2312"/>
                <w:sz w:val="24"/>
                <w:szCs w:val="24"/>
              </w:rPr>
            </w:pPr>
            <w:r>
              <w:rPr>
                <w:rFonts w:ascii="仿宋_GB2312"/>
                <w:sz w:val="24"/>
                <w:szCs w:val="24"/>
              </w:rPr>
              <w:t>-8.02</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0.77</w:t>
            </w:r>
          </w:p>
        </w:tc>
        <w:tc>
          <w:tcPr>
            <w:tcW w:w="1446" w:type="dxa"/>
          </w:tcPr>
          <w:p>
            <w:pPr>
              <w:ind w:firstLine="0" w:firstLineChars="0"/>
              <w:jc w:val="center"/>
              <w:rPr>
                <w:rFonts w:ascii="仿宋_GB2312"/>
                <w:sz w:val="24"/>
                <w:szCs w:val="24"/>
              </w:rPr>
            </w:pPr>
            <w:r>
              <w:rPr>
                <w:rFonts w:ascii="仿宋_GB2312"/>
                <w:sz w:val="24"/>
                <w:szCs w:val="24"/>
              </w:rPr>
              <w:t>0.77</w:t>
            </w:r>
          </w:p>
        </w:tc>
        <w:tc>
          <w:tcPr>
            <w:tcW w:w="1474" w:type="dxa"/>
          </w:tcPr>
          <w:p>
            <w:pPr>
              <w:ind w:firstLine="0" w:firstLineChars="0"/>
              <w:jc w:val="center"/>
              <w:rPr>
                <w:rFonts w:ascii="仿宋_GB2312"/>
                <w:sz w:val="24"/>
                <w:szCs w:val="24"/>
              </w:rPr>
            </w:pPr>
            <w:r>
              <w:rPr>
                <w:rFonts w:ascii="仿宋_GB2312"/>
                <w:sz w:val="24"/>
                <w:szCs w:val="24"/>
              </w:rPr>
              <w:t>-0.77</w:t>
            </w:r>
          </w:p>
        </w:tc>
        <w:tc>
          <w:tcPr>
            <w:tcW w:w="1417" w:type="dxa"/>
          </w:tcPr>
          <w:p>
            <w:pPr>
              <w:ind w:firstLine="0" w:firstLineChars="0"/>
              <w:jc w:val="center"/>
              <w:rPr>
                <w:rFonts w:ascii="仿宋_GB2312"/>
                <w:sz w:val="24"/>
                <w:szCs w:val="24"/>
              </w:rPr>
            </w:pPr>
            <w:r>
              <w:rPr>
                <w:rFonts w:ascii="仿宋_GB2312"/>
                <w:sz w:val="24"/>
                <w:szCs w:val="24"/>
              </w:rPr>
              <w:t>-0.77</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ascii="仿宋_GB2312"/>
          <w:b/>
          <w:szCs w:val="32"/>
        </w:rPr>
        <w:t>1</w:t>
      </w:r>
      <w:r>
        <w:rPr>
          <w:rFonts w:hint="eastAsia" w:ascii="仿宋_GB2312"/>
          <w:b/>
          <w:szCs w:val="32"/>
        </w:rPr>
        <w:t>．</w:t>
      </w:r>
      <w:r>
        <w:rPr>
          <w:rFonts w:ascii="仿宋_GB2312"/>
          <w:szCs w:val="32"/>
        </w:rPr>
        <w:t>2017</w:t>
      </w:r>
      <w:r>
        <w:rPr>
          <w:rFonts w:hint="eastAsia" w:ascii="仿宋_GB2312"/>
          <w:szCs w:val="32"/>
        </w:rPr>
        <w:t>年度“三公经费”支出总额</w:t>
      </w:r>
      <w:r>
        <w:rPr>
          <w:rFonts w:ascii="仿宋_GB2312"/>
          <w:szCs w:val="32"/>
        </w:rPr>
        <w:t>3.82</w:t>
      </w:r>
      <w:r>
        <w:rPr>
          <w:rFonts w:hint="eastAsia" w:ascii="仿宋_GB2312"/>
          <w:szCs w:val="32"/>
        </w:rPr>
        <w:t>万元，与年初预算相比减少</w:t>
      </w:r>
      <w:r>
        <w:rPr>
          <w:rFonts w:ascii="仿宋_GB2312"/>
          <w:szCs w:val="32"/>
        </w:rPr>
        <w:t>4.62</w:t>
      </w:r>
      <w:r>
        <w:rPr>
          <w:rFonts w:hint="eastAsia" w:ascii="仿宋_GB2312"/>
          <w:szCs w:val="32"/>
        </w:rPr>
        <w:t>万元，</w:t>
      </w:r>
      <w:bookmarkStart w:id="21" w:name="OLE_LINK38"/>
      <w:bookmarkStart w:id="22" w:name="OLE_LINK39"/>
      <w:bookmarkStart w:id="23" w:name="OLE_LINK8"/>
      <w:bookmarkStart w:id="24" w:name="OLE_LINK10"/>
      <w:r>
        <w:rPr>
          <w:rFonts w:hint="eastAsia" w:ascii="仿宋_GB2312"/>
          <w:szCs w:val="32"/>
        </w:rPr>
        <w:t>降低</w:t>
      </w:r>
      <w:r>
        <w:rPr>
          <w:rFonts w:ascii="仿宋_GB2312"/>
          <w:szCs w:val="32"/>
        </w:rPr>
        <w:t>54%</w:t>
      </w:r>
      <w:bookmarkEnd w:id="21"/>
      <w:bookmarkEnd w:id="22"/>
      <w:r>
        <w:rPr>
          <w:rFonts w:hint="eastAsia" w:ascii="仿宋_GB2312"/>
          <w:szCs w:val="32"/>
        </w:rPr>
        <w:t>，</w:t>
      </w:r>
      <w:bookmarkEnd w:id="23"/>
      <w:bookmarkEnd w:id="24"/>
      <w:r>
        <w:rPr>
          <w:rFonts w:hint="eastAsia" w:ascii="仿宋_GB2312"/>
          <w:szCs w:val="32"/>
        </w:rPr>
        <w:t>原因是：实行车改后，严格按照公车使用制度，减少公车使用频率；与</w:t>
      </w:r>
      <w:r>
        <w:rPr>
          <w:rFonts w:ascii="仿宋_GB2312"/>
          <w:szCs w:val="32"/>
        </w:rPr>
        <w:t>2016</w:t>
      </w:r>
      <w:r>
        <w:rPr>
          <w:rFonts w:hint="eastAsia" w:ascii="仿宋_GB2312"/>
          <w:szCs w:val="32"/>
        </w:rPr>
        <w:t>年度决算数相比减少</w:t>
      </w:r>
      <w:r>
        <w:rPr>
          <w:rFonts w:ascii="仿宋_GB2312"/>
          <w:szCs w:val="32"/>
        </w:rPr>
        <w:t>8.79</w:t>
      </w:r>
      <w:r>
        <w:rPr>
          <w:rFonts w:hint="eastAsia" w:ascii="仿宋_GB2312"/>
          <w:szCs w:val="32"/>
        </w:rPr>
        <w:t>万元，降低</w:t>
      </w:r>
      <w:r>
        <w:rPr>
          <w:rFonts w:ascii="仿宋_GB2312"/>
          <w:szCs w:val="32"/>
        </w:rPr>
        <w:t>1.04%</w:t>
      </w:r>
      <w:r>
        <w:rPr>
          <w:rFonts w:hint="eastAsia" w:ascii="仿宋_GB2312"/>
          <w:szCs w:val="32"/>
        </w:rPr>
        <w:t>，原因是：</w:t>
      </w:r>
      <w:bookmarkStart w:id="25" w:name="OLE_LINK44"/>
      <w:bookmarkStart w:id="26" w:name="OLE_LINK45"/>
      <w:r>
        <w:rPr>
          <w:rFonts w:ascii="仿宋_GB2312"/>
          <w:szCs w:val="32"/>
        </w:rPr>
        <w:t>2017</w:t>
      </w:r>
      <w:r>
        <w:rPr>
          <w:rFonts w:hint="eastAsia" w:ascii="仿宋_GB2312"/>
          <w:szCs w:val="32"/>
        </w:rPr>
        <w:t>年车改后，公务用车数量只保留原数量的一半，公车运行费用相对减少，同时，</w:t>
      </w:r>
      <w:r>
        <w:rPr>
          <w:rFonts w:ascii="仿宋_GB2312"/>
          <w:szCs w:val="32"/>
        </w:rPr>
        <w:t>2017</w:t>
      </w:r>
      <w:r>
        <w:rPr>
          <w:rFonts w:hint="eastAsia" w:ascii="仿宋_GB2312"/>
          <w:szCs w:val="32"/>
        </w:rPr>
        <w:t>年没有公务接待支出。</w:t>
      </w:r>
      <w:bookmarkEnd w:id="25"/>
      <w:bookmarkEnd w:id="26"/>
    </w:p>
    <w:p>
      <w:pPr>
        <w:ind w:firstLine="643"/>
        <w:rPr>
          <w:rFonts w:ascii="仿宋_GB2312"/>
          <w:szCs w:val="32"/>
        </w:rPr>
      </w:pPr>
      <w:r>
        <w:rPr>
          <w:rFonts w:ascii="仿宋_GB2312"/>
          <w:b/>
          <w:szCs w:val="32"/>
        </w:rPr>
        <w:t>2</w:t>
      </w:r>
      <w:r>
        <w:rPr>
          <w:rFonts w:hint="eastAsia" w:ascii="仿宋_GB2312"/>
          <w:b/>
          <w:szCs w:val="32"/>
        </w:rPr>
        <w:t>．</w:t>
      </w:r>
      <w:r>
        <w:rPr>
          <w:rFonts w:ascii="仿宋_GB2312"/>
          <w:szCs w:val="32"/>
        </w:rPr>
        <w:t>2017</w:t>
      </w:r>
      <w:r>
        <w:rPr>
          <w:rFonts w:hint="eastAsia" w:ascii="仿宋_GB2312"/>
          <w:szCs w:val="32"/>
        </w:rPr>
        <w:t>年</w:t>
      </w:r>
      <w:bookmarkStart w:id="27" w:name="OLE_LINK17"/>
      <w:r>
        <w:rPr>
          <w:rFonts w:hint="eastAsia" w:ascii="仿宋_GB2312"/>
          <w:szCs w:val="32"/>
        </w:rPr>
        <w:t>度因公出国（境）</w:t>
      </w:r>
      <w:bookmarkStart w:id="28" w:name="OLE_LINK16"/>
      <w:bookmarkStart w:id="29" w:name="OLE_LINK15"/>
      <w:r>
        <w:rPr>
          <w:rFonts w:hint="eastAsia" w:ascii="仿宋_GB2312"/>
          <w:szCs w:val="32"/>
        </w:rPr>
        <w:t>费</w:t>
      </w:r>
      <w:bookmarkEnd w:id="27"/>
      <w:r>
        <w:rPr>
          <w:rFonts w:ascii="仿宋_GB2312"/>
          <w:szCs w:val="32"/>
        </w:rPr>
        <w:t>0</w:t>
      </w:r>
      <w:r>
        <w:rPr>
          <w:rFonts w:hint="eastAsia" w:ascii="仿宋_GB2312"/>
          <w:szCs w:val="32"/>
        </w:rPr>
        <w:t>万元</w:t>
      </w:r>
      <w:bookmarkEnd w:id="28"/>
      <w:bookmarkEnd w:id="29"/>
      <w:r>
        <w:rPr>
          <w:rFonts w:hint="eastAsia" w:ascii="仿宋_GB2312"/>
          <w:szCs w:val="32"/>
        </w:rPr>
        <w:t>，年初预算</w:t>
      </w:r>
      <w:r>
        <w:rPr>
          <w:rFonts w:ascii="仿宋_GB2312"/>
          <w:szCs w:val="32"/>
        </w:rPr>
        <w:t>0</w:t>
      </w:r>
      <w:r>
        <w:rPr>
          <w:rFonts w:hint="eastAsia" w:ascii="仿宋_GB2312"/>
          <w:szCs w:val="32"/>
        </w:rPr>
        <w:t>万元，无增减变化，</w:t>
      </w:r>
      <w:r>
        <w:rPr>
          <w:rFonts w:ascii="仿宋_GB2312"/>
          <w:szCs w:val="32"/>
        </w:rPr>
        <w:t>2016</w:t>
      </w:r>
      <w:r>
        <w:rPr>
          <w:rFonts w:hint="eastAsia" w:ascii="仿宋_GB2312"/>
          <w:szCs w:val="32"/>
        </w:rPr>
        <w:t>年度决算数</w:t>
      </w:r>
      <w:r>
        <w:rPr>
          <w:rFonts w:ascii="仿宋_GB2312"/>
          <w:szCs w:val="32"/>
        </w:rPr>
        <w:t>0</w:t>
      </w:r>
      <w:r>
        <w:rPr>
          <w:rFonts w:hint="eastAsia" w:ascii="仿宋_GB2312"/>
          <w:szCs w:val="32"/>
        </w:rPr>
        <w:t>万元，无增减变化。</w:t>
      </w:r>
      <w:r>
        <w:rPr>
          <w:rFonts w:ascii="仿宋_GB2312"/>
          <w:szCs w:val="32"/>
        </w:rPr>
        <w:t>2017</w:t>
      </w:r>
      <w:r>
        <w:rPr>
          <w:rFonts w:hint="eastAsia" w:ascii="仿宋_GB2312"/>
          <w:szCs w:val="32"/>
        </w:rPr>
        <w:t>年未发生因公出国费用，年初预算未安排</w:t>
      </w:r>
      <w:r>
        <w:rPr>
          <w:rFonts w:ascii="仿宋_GB2312"/>
          <w:szCs w:val="32"/>
        </w:rPr>
        <w:t xml:space="preserve"> </w:t>
      </w:r>
      <w:r>
        <w:rPr>
          <w:rFonts w:hint="eastAsia" w:ascii="仿宋_GB2312"/>
          <w:szCs w:val="32"/>
        </w:rPr>
        <w:t>，</w:t>
      </w:r>
      <w:r>
        <w:rPr>
          <w:rFonts w:ascii="仿宋_GB2312"/>
          <w:szCs w:val="32"/>
        </w:rPr>
        <w:t>2016</w:t>
      </w:r>
      <w:r>
        <w:rPr>
          <w:rFonts w:hint="eastAsia" w:ascii="仿宋_GB2312"/>
          <w:szCs w:val="32"/>
        </w:rPr>
        <w:t>年也未发生因公出国费用。</w:t>
      </w:r>
    </w:p>
    <w:p>
      <w:pPr>
        <w:ind w:firstLine="643"/>
        <w:rPr>
          <w:rFonts w:ascii="仿宋_GB2312"/>
          <w:szCs w:val="32"/>
        </w:rPr>
      </w:pPr>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w:t>
      </w:r>
      <w:bookmarkStart w:id="30" w:name="OLE_LINK19"/>
      <w:bookmarkStart w:id="31" w:name="OLE_LINK18"/>
      <w:r>
        <w:rPr>
          <w:rFonts w:hint="eastAsia" w:ascii="仿宋_GB2312"/>
          <w:szCs w:val="32"/>
        </w:rPr>
        <w:t>度公务用车购置及运行维护费</w:t>
      </w:r>
      <w:bookmarkEnd w:id="30"/>
      <w:bookmarkEnd w:id="31"/>
      <w:r>
        <w:rPr>
          <w:rFonts w:ascii="仿宋_GB2312"/>
          <w:szCs w:val="32"/>
        </w:rPr>
        <w:t>3.82</w:t>
      </w:r>
      <w:r>
        <w:rPr>
          <w:rFonts w:hint="eastAsia" w:ascii="仿宋_GB2312"/>
          <w:szCs w:val="32"/>
        </w:rPr>
        <w:t>万元，与年初预算相比减少</w:t>
      </w:r>
      <w:r>
        <w:rPr>
          <w:rFonts w:ascii="仿宋_GB2312"/>
          <w:szCs w:val="32"/>
        </w:rPr>
        <w:t>3.85</w:t>
      </w:r>
      <w:r>
        <w:rPr>
          <w:rFonts w:hint="eastAsia" w:ascii="仿宋_GB2312"/>
          <w:szCs w:val="32"/>
        </w:rPr>
        <w:t>万元，降低</w:t>
      </w:r>
      <w:r>
        <w:rPr>
          <w:rFonts w:ascii="仿宋_GB2312"/>
          <w:szCs w:val="32"/>
        </w:rPr>
        <w:t>50%</w:t>
      </w:r>
      <w:r>
        <w:rPr>
          <w:rFonts w:hint="eastAsia" w:ascii="仿宋_GB2312"/>
          <w:szCs w:val="32"/>
        </w:rPr>
        <w:t>，原因是：实行车改后，严格执行公车使用制度，减少公车使用频率；与</w:t>
      </w:r>
      <w:r>
        <w:rPr>
          <w:rFonts w:ascii="仿宋_GB2312"/>
          <w:szCs w:val="32"/>
        </w:rPr>
        <w:t>2016</w:t>
      </w:r>
      <w:r>
        <w:rPr>
          <w:rFonts w:hint="eastAsia" w:ascii="仿宋_GB2312"/>
          <w:szCs w:val="32"/>
        </w:rPr>
        <w:t>年度决算数相比减少</w:t>
      </w:r>
      <w:r>
        <w:rPr>
          <w:rFonts w:ascii="仿宋_GB2312"/>
          <w:szCs w:val="32"/>
        </w:rPr>
        <w:t>8.02</w:t>
      </w:r>
      <w:r>
        <w:rPr>
          <w:rFonts w:hint="eastAsia" w:ascii="仿宋_GB2312"/>
          <w:szCs w:val="32"/>
        </w:rPr>
        <w:t>万元，降低</w:t>
      </w:r>
      <w:r>
        <w:rPr>
          <w:rFonts w:ascii="仿宋_GB2312"/>
          <w:szCs w:val="32"/>
        </w:rPr>
        <w:t>1.05%</w:t>
      </w:r>
      <w:r>
        <w:rPr>
          <w:rFonts w:hint="eastAsia" w:ascii="仿宋_GB2312"/>
          <w:szCs w:val="32"/>
        </w:rPr>
        <w:t>，原因是：</w:t>
      </w:r>
      <w:r>
        <w:rPr>
          <w:rFonts w:ascii="仿宋_GB2312"/>
          <w:szCs w:val="32"/>
        </w:rPr>
        <w:t>2017</w:t>
      </w:r>
      <w:r>
        <w:rPr>
          <w:rFonts w:hint="eastAsia" w:ascii="仿宋_GB2312"/>
          <w:szCs w:val="32"/>
        </w:rPr>
        <w:t>年车改后，公务用车数量只保留原数量的一半，公车运行费用相对减少。</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ascii="仿宋_GB2312"/>
          <w:szCs w:val="32"/>
        </w:rPr>
      </w:pPr>
      <w:r>
        <w:rPr>
          <w:rFonts w:hint="eastAsia" w:ascii="仿宋_GB2312"/>
          <w:szCs w:val="32"/>
        </w:rPr>
        <w:t>其中：公务用车维护费</w:t>
      </w:r>
      <w:r>
        <w:rPr>
          <w:rFonts w:ascii="仿宋_GB2312"/>
          <w:szCs w:val="32"/>
        </w:rPr>
        <w:t>,</w:t>
      </w:r>
      <w:r>
        <w:t xml:space="preserve"> </w:t>
      </w:r>
      <w:r>
        <w:rPr>
          <w:rFonts w:hint="eastAsia" w:ascii="仿宋_GB2312"/>
          <w:szCs w:val="32"/>
        </w:rPr>
        <w:t>与年初预算相比减少</w:t>
      </w:r>
      <w:r>
        <w:rPr>
          <w:rFonts w:ascii="仿宋_GB2312"/>
          <w:szCs w:val="32"/>
        </w:rPr>
        <w:t>3.85</w:t>
      </w:r>
      <w:r>
        <w:rPr>
          <w:rFonts w:hint="eastAsia" w:ascii="仿宋_GB2312"/>
          <w:szCs w:val="32"/>
        </w:rPr>
        <w:t>万元，降低</w:t>
      </w:r>
      <w:r>
        <w:rPr>
          <w:rFonts w:ascii="仿宋_GB2312"/>
          <w:szCs w:val="32"/>
        </w:rPr>
        <w:t>50%</w:t>
      </w:r>
      <w:r>
        <w:rPr>
          <w:rFonts w:hint="eastAsia" w:ascii="仿宋_GB2312"/>
          <w:szCs w:val="32"/>
        </w:rPr>
        <w:t>，原因是：实行车改后，严格执行公车使用制度，减少公车使用频率；，与</w:t>
      </w:r>
      <w:r>
        <w:rPr>
          <w:rFonts w:ascii="仿宋_GB2312"/>
          <w:szCs w:val="32"/>
        </w:rPr>
        <w:t>2016</w:t>
      </w:r>
      <w:r>
        <w:rPr>
          <w:rFonts w:hint="eastAsia" w:ascii="仿宋_GB2312"/>
          <w:szCs w:val="32"/>
        </w:rPr>
        <w:t>年度决算数相比减少</w:t>
      </w:r>
      <w:r>
        <w:rPr>
          <w:rFonts w:ascii="仿宋_GB2312"/>
          <w:szCs w:val="32"/>
        </w:rPr>
        <w:t>8.02</w:t>
      </w:r>
      <w:r>
        <w:rPr>
          <w:rFonts w:hint="eastAsia" w:ascii="仿宋_GB2312"/>
          <w:szCs w:val="32"/>
        </w:rPr>
        <w:t>万元，原因是：</w:t>
      </w:r>
      <w:r>
        <w:rPr>
          <w:rFonts w:ascii="仿宋_GB2312"/>
          <w:szCs w:val="32"/>
        </w:rPr>
        <w:t>2017</w:t>
      </w:r>
      <w:r>
        <w:rPr>
          <w:rFonts w:hint="eastAsia" w:ascii="仿宋_GB2312"/>
          <w:szCs w:val="32"/>
        </w:rPr>
        <w:t>年车改后，公务用车数量只保留原数量的一半，公车运行费用相对减少。</w:t>
      </w:r>
    </w:p>
    <w:p>
      <w:pPr>
        <w:ind w:firstLine="643"/>
        <w:rPr>
          <w:rFonts w:ascii="仿宋_GB2312"/>
          <w:szCs w:val="32"/>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w:t>
      </w:r>
      <w:bookmarkStart w:id="32" w:name="OLE_LINK20"/>
      <w:r>
        <w:rPr>
          <w:rFonts w:hint="eastAsia" w:ascii="仿宋_GB2312"/>
          <w:szCs w:val="32"/>
        </w:rPr>
        <w:t>度公务接待费</w:t>
      </w:r>
      <w:bookmarkEnd w:id="32"/>
      <w:r>
        <w:rPr>
          <w:rFonts w:ascii="仿宋_GB2312"/>
          <w:szCs w:val="32"/>
        </w:rPr>
        <w:t>0</w:t>
      </w:r>
      <w:r>
        <w:rPr>
          <w:rFonts w:hint="eastAsia" w:ascii="仿宋_GB2312"/>
          <w:szCs w:val="32"/>
        </w:rPr>
        <w:t>万元，与年初预算相比增减少</w:t>
      </w:r>
      <w:r>
        <w:rPr>
          <w:rFonts w:ascii="仿宋_GB2312"/>
          <w:szCs w:val="32"/>
        </w:rPr>
        <w:t>0.77</w:t>
      </w:r>
      <w:r>
        <w:rPr>
          <w:rFonts w:hint="eastAsia" w:ascii="仿宋_GB2312"/>
          <w:szCs w:val="32"/>
        </w:rPr>
        <w:t>万元，降低</w:t>
      </w:r>
      <w:bookmarkStart w:id="33" w:name="OLE_LINK43"/>
      <w:bookmarkStart w:id="34" w:name="OLE_LINK40"/>
      <w:bookmarkStart w:id="35" w:name="OLE_LINK42"/>
      <w:bookmarkStart w:id="36" w:name="OLE_LINK41"/>
      <w:r>
        <w:rPr>
          <w:rFonts w:ascii="仿宋_GB2312"/>
          <w:szCs w:val="32"/>
        </w:rPr>
        <w:t>100%</w:t>
      </w:r>
      <w:bookmarkEnd w:id="33"/>
      <w:bookmarkEnd w:id="34"/>
      <w:bookmarkEnd w:id="35"/>
      <w:bookmarkEnd w:id="36"/>
      <w:r>
        <w:rPr>
          <w:rFonts w:hint="eastAsia" w:ascii="仿宋_GB2312"/>
          <w:szCs w:val="32"/>
        </w:rPr>
        <w:t>，原因是：本年度没有公务接待支出，与</w:t>
      </w:r>
      <w:r>
        <w:rPr>
          <w:rFonts w:ascii="仿宋_GB2312"/>
          <w:szCs w:val="32"/>
        </w:rPr>
        <w:t>2016</w:t>
      </w:r>
      <w:r>
        <w:rPr>
          <w:rFonts w:hint="eastAsia" w:ascii="仿宋_GB2312"/>
          <w:szCs w:val="32"/>
        </w:rPr>
        <w:t>年度决算数相比减少</w:t>
      </w:r>
      <w:r>
        <w:rPr>
          <w:rFonts w:ascii="仿宋_GB2312"/>
          <w:szCs w:val="32"/>
        </w:rPr>
        <w:t>0.77</w:t>
      </w:r>
      <w:r>
        <w:rPr>
          <w:rFonts w:hint="eastAsia" w:ascii="仿宋_GB2312"/>
          <w:szCs w:val="32"/>
        </w:rPr>
        <w:t>万元，降低</w:t>
      </w:r>
      <w:r>
        <w:rPr>
          <w:rFonts w:ascii="仿宋_GB2312"/>
          <w:szCs w:val="32"/>
        </w:rPr>
        <w:t>100%</w:t>
      </w:r>
      <w:r>
        <w:rPr>
          <w:rFonts w:hint="eastAsia" w:ascii="仿宋_GB2312"/>
          <w:szCs w:val="32"/>
        </w:rPr>
        <w:t>，原因是：本年度没有公务接待支出。</w:t>
      </w:r>
    </w:p>
    <w:p>
      <w:pPr>
        <w:ind w:firstLine="643"/>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pPr>
        <w:ind w:firstLine="64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0</w:t>
      </w:r>
      <w:r>
        <w:rPr>
          <w:rFonts w:hint="eastAsia" w:ascii="仿宋_GB2312"/>
          <w:szCs w:val="32"/>
        </w:rPr>
        <w:t>辆，公务用车保有量</w:t>
      </w:r>
      <w:r>
        <w:rPr>
          <w:rFonts w:ascii="仿宋_GB2312"/>
          <w:szCs w:val="32"/>
        </w:rPr>
        <w:t>4</w:t>
      </w:r>
      <w:r>
        <w:rPr>
          <w:rFonts w:hint="eastAsia" w:ascii="仿宋_GB2312"/>
          <w:szCs w:val="32"/>
        </w:rPr>
        <w:t>辆；</w:t>
      </w:r>
    </w:p>
    <w:p>
      <w:pPr>
        <w:ind w:firstLine="64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0</w:t>
      </w:r>
      <w:r>
        <w:rPr>
          <w:rFonts w:hint="eastAsia" w:ascii="仿宋_GB2312"/>
          <w:szCs w:val="32"/>
        </w:rPr>
        <w:t>人次；</w:t>
      </w:r>
    </w:p>
    <w:p>
      <w:pPr>
        <w:ind w:firstLine="64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（一）预算绩效管理工作开展情况</w:t>
      </w:r>
    </w:p>
    <w:p>
      <w:pPr>
        <w:ind w:firstLine="640"/>
        <w:rPr>
          <w:rFonts w:ascii="仿宋_GB2312"/>
          <w:szCs w:val="32"/>
        </w:rPr>
      </w:pPr>
      <w:r>
        <w:rPr>
          <w:rFonts w:hint="eastAsia" w:ascii="仿宋_GB2312"/>
          <w:szCs w:val="32"/>
        </w:rPr>
        <w:t>我单位于</w:t>
      </w:r>
      <w:r>
        <w:rPr>
          <w:rFonts w:ascii="仿宋_GB2312"/>
          <w:szCs w:val="32"/>
        </w:rPr>
        <w:t>2017</w:t>
      </w:r>
      <w:r>
        <w:rPr>
          <w:rFonts w:hint="eastAsia" w:ascii="仿宋_GB2312"/>
          <w:szCs w:val="32"/>
        </w:rPr>
        <w:t>年重新完善了内部控制体系，加强了单位内部资产管理，优化绩效考核管理机制，进一步细化预算编制与执行，严格按照政府收支分类科目的要求，准确、真实、完整地反映各项支出的经济性质和具体用途，增强预算约束力；切实加强对财务、人事等部门负责人的制度培训，使他们充分认识厉行节约制度实施的重要性和紧迫性，增强贯彻落实制度的责任感和自觉性，各项财经纪律深入人心，形成了学习、宣传、贯彻制度的良好氛围，进一步强化监督管理，加大问责力度。</w:t>
      </w:r>
    </w:p>
    <w:p>
      <w:pPr>
        <w:ind w:firstLine="640"/>
        <w:rPr>
          <w:rFonts w:ascii="仿宋_GB2312"/>
          <w:szCs w:val="32"/>
        </w:rPr>
      </w:pPr>
      <w:r>
        <w:rPr>
          <w:rFonts w:hint="eastAsia" w:ascii="仿宋_GB2312"/>
          <w:szCs w:val="32"/>
        </w:rPr>
        <w:t>（二）预算项目绩效评价开展情况</w:t>
      </w:r>
    </w:p>
    <w:p>
      <w:pPr>
        <w:ind w:firstLine="640"/>
        <w:rPr>
          <w:rFonts w:ascii="仿宋_GB2312"/>
          <w:szCs w:val="32"/>
        </w:rPr>
      </w:pPr>
      <w:r>
        <w:rPr>
          <w:rFonts w:hint="eastAsia" w:ascii="仿宋_GB2312"/>
          <w:szCs w:val="32"/>
        </w:rPr>
        <w:t>加强财务管理，严肃财经纪律，把财经纪律、支出标准的刚性约束力作为高压线，严把支出关口，严格执行各项开支范围、开支标准和有关规定，严控“三公”经费等一般性支出，把预算支出进度与实际工作相结合，严格把控工作进度，确保年初预算项目按照目标圆满完成。</w:t>
      </w:r>
    </w:p>
    <w:p>
      <w:pPr>
        <w:ind w:firstLine="640"/>
        <w:rPr>
          <w:rFonts w:ascii="仿宋_GB2312"/>
          <w:szCs w:val="32"/>
        </w:rPr>
      </w:pPr>
      <w:r>
        <w:rPr>
          <w:rFonts w:hint="eastAsia" w:ascii="仿宋_GB2312"/>
          <w:szCs w:val="32"/>
        </w:rPr>
        <w:t>（三）部门决算量化评价说明。</w:t>
      </w:r>
    </w:p>
    <w:p>
      <w:pPr>
        <w:ind w:firstLine="640"/>
        <w:rPr>
          <w:rFonts w:ascii="仿宋_GB2312"/>
          <w:szCs w:val="32"/>
        </w:rPr>
      </w:pPr>
      <w:r>
        <w:rPr>
          <w:rFonts w:hint="eastAsia" w:ascii="仿宋_GB2312" w:hAnsi="仿宋_GB2312" w:cs="仿宋_GB2312"/>
          <w:szCs w:val="32"/>
        </w:rPr>
        <w:t>部门量化评价说明。我单位绩效预算执行情况通过部门决算软件进行测评后得分为</w:t>
      </w:r>
      <w:r>
        <w:rPr>
          <w:rFonts w:ascii="仿宋_GB2312" w:hAnsi="仿宋_GB2312" w:cs="仿宋_GB2312"/>
          <w:szCs w:val="32"/>
        </w:rPr>
        <w:t>68.5</w:t>
      </w:r>
      <w:r>
        <w:rPr>
          <w:rFonts w:hint="eastAsia" w:ascii="仿宋_GB2312" w:hAnsi="仿宋_GB2312" w:cs="仿宋_GB2312"/>
          <w:szCs w:val="32"/>
        </w:rPr>
        <w:t>分，主要扣分及原因为：</w:t>
      </w:r>
      <w:r>
        <w:rPr>
          <w:rFonts w:ascii="仿宋_GB2312" w:hAnsi="仿宋_GB2312" w:cs="仿宋_GB2312"/>
          <w:szCs w:val="32"/>
        </w:rPr>
        <w:t>1</w:t>
      </w:r>
      <w:r>
        <w:rPr>
          <w:rFonts w:hint="eastAsia" w:ascii="仿宋_GB2312" w:hAnsi="仿宋_GB2312" w:cs="仿宋_GB2312"/>
          <w:szCs w:val="32"/>
        </w:rPr>
        <w:t>、年初结转和结余预决算差异率扣</w:t>
      </w:r>
      <w:r>
        <w:rPr>
          <w:rFonts w:ascii="仿宋_GB2312" w:hAnsi="仿宋_GB2312" w:cs="仿宋_GB2312"/>
          <w:szCs w:val="32"/>
        </w:rPr>
        <w:t>5</w:t>
      </w:r>
      <w:r>
        <w:rPr>
          <w:rFonts w:hint="eastAsia" w:ascii="仿宋_GB2312" w:hAnsi="仿宋_GB2312" w:cs="仿宋_GB2312"/>
          <w:szCs w:val="32"/>
        </w:rPr>
        <w:t>分，原因为年底的在职人员和离退休人员的双薪未能及时发放出去，结转下一年度，造成结转资金金额比较大。</w:t>
      </w:r>
      <w:r>
        <w:rPr>
          <w:rFonts w:ascii="仿宋_GB2312" w:hAnsi="仿宋_GB2312" w:cs="仿宋_GB2312"/>
          <w:szCs w:val="32"/>
        </w:rPr>
        <w:t>2</w:t>
      </w:r>
      <w:r>
        <w:rPr>
          <w:rFonts w:hint="eastAsia" w:ascii="仿宋_GB2312" w:hAnsi="仿宋_GB2312" w:cs="仿宋_GB2312"/>
          <w:szCs w:val="32"/>
        </w:rPr>
        <w:t>、财政拨款收入预决算差异率扣</w:t>
      </w:r>
      <w:r>
        <w:rPr>
          <w:rFonts w:ascii="仿宋_GB2312" w:hAnsi="仿宋_GB2312" w:cs="仿宋_GB2312"/>
          <w:szCs w:val="32"/>
        </w:rPr>
        <w:t>3</w:t>
      </w:r>
      <w:r>
        <w:rPr>
          <w:rFonts w:hint="eastAsia" w:ascii="仿宋_GB2312" w:hAnsi="仿宋_GB2312" w:cs="仿宋_GB2312"/>
          <w:szCs w:val="32"/>
        </w:rPr>
        <w:t>分，原因为按照有关文件要求，</w:t>
      </w:r>
      <w:r>
        <w:rPr>
          <w:rFonts w:ascii="仿宋_GB2312" w:hAnsi="仿宋_GB2312" w:cs="仿宋_GB2312"/>
          <w:szCs w:val="32"/>
        </w:rPr>
        <w:t>2017</w:t>
      </w:r>
      <w:r>
        <w:rPr>
          <w:rFonts w:hint="eastAsia" w:ascii="仿宋_GB2312" w:hAnsi="仿宋_GB2312" w:cs="仿宋_GB2312"/>
          <w:szCs w:val="32"/>
        </w:rPr>
        <w:t>年补发部分津补贴项目，造成人员经费比预算数有所增加。</w:t>
      </w:r>
      <w:r>
        <w:rPr>
          <w:rFonts w:ascii="仿宋_GB2312" w:hAnsi="仿宋_GB2312" w:cs="仿宋_GB2312"/>
          <w:szCs w:val="32"/>
        </w:rPr>
        <w:t>3</w:t>
      </w:r>
      <w:r>
        <w:rPr>
          <w:rFonts w:hint="eastAsia" w:ascii="仿宋_GB2312" w:hAnsi="仿宋_GB2312" w:cs="仿宋_GB2312"/>
          <w:szCs w:val="32"/>
        </w:rPr>
        <w:t>、财政拨款结转和结余率扣</w:t>
      </w:r>
      <w:r>
        <w:rPr>
          <w:rFonts w:ascii="仿宋_GB2312" w:hAnsi="仿宋_GB2312" w:cs="仿宋_GB2312"/>
          <w:szCs w:val="32"/>
        </w:rPr>
        <w:t>2</w:t>
      </w:r>
      <w:r>
        <w:rPr>
          <w:rFonts w:hint="eastAsia" w:ascii="仿宋_GB2312" w:hAnsi="仿宋_GB2312" w:cs="仿宋_GB2312"/>
          <w:szCs w:val="32"/>
        </w:rPr>
        <w:t>分，财政拨款结转和结余上下年变动率扣</w:t>
      </w:r>
      <w:r>
        <w:rPr>
          <w:rFonts w:ascii="仿宋_GB2312" w:hAnsi="仿宋_GB2312" w:cs="仿宋_GB2312"/>
          <w:szCs w:val="32"/>
        </w:rPr>
        <w:t>5</w:t>
      </w:r>
      <w:r>
        <w:rPr>
          <w:rFonts w:hint="eastAsia" w:ascii="仿宋_GB2312" w:hAnsi="仿宋_GB2312" w:cs="仿宋_GB2312"/>
          <w:szCs w:val="32"/>
        </w:rPr>
        <w:t>分，原因为本年度全区重点围绕创城工作开展，造成本部门部分工作计划未能按期进行，因此部分专项项目资金结转下年使用，另外，还有部分人员经费未及时发放，也导致年底结转金额偏高。</w:t>
      </w:r>
      <w:r>
        <w:rPr>
          <w:rFonts w:ascii="仿宋_GB2312" w:hAnsi="仿宋_GB2312" w:cs="仿宋_GB2312"/>
          <w:szCs w:val="32"/>
        </w:rPr>
        <w:t>4</w:t>
      </w:r>
      <w:r>
        <w:rPr>
          <w:rFonts w:hint="eastAsia" w:ascii="仿宋_GB2312" w:hAnsi="仿宋_GB2312" w:cs="仿宋_GB2312"/>
          <w:szCs w:val="32"/>
        </w:rPr>
        <w:t>、财政收回存量资金占上年财政拨款结转和结余比重扣</w:t>
      </w:r>
      <w:r>
        <w:rPr>
          <w:rFonts w:ascii="仿宋_GB2312" w:hAnsi="仿宋_GB2312" w:cs="仿宋_GB2312"/>
          <w:szCs w:val="32"/>
        </w:rPr>
        <w:t>5</w:t>
      </w:r>
      <w:r>
        <w:rPr>
          <w:rFonts w:hint="eastAsia" w:ascii="仿宋_GB2312" w:hAnsi="仿宋_GB2312" w:cs="仿宋_GB2312"/>
          <w:szCs w:val="32"/>
        </w:rPr>
        <w:t>分，原因上年存量资金未及时被使用，年中上缴国库，造成存量资金收回比重增加。</w:t>
      </w:r>
      <w:r>
        <w:rPr>
          <w:rFonts w:ascii="仿宋_GB2312" w:hAnsi="仿宋_GB2312" w:cs="仿宋_GB2312"/>
          <w:szCs w:val="32"/>
        </w:rPr>
        <w:t>5</w:t>
      </w:r>
      <w:r>
        <w:rPr>
          <w:rFonts w:hint="eastAsia" w:ascii="仿宋_GB2312" w:hAnsi="仿宋_GB2312" w:cs="仿宋_GB2312"/>
          <w:szCs w:val="32"/>
        </w:rPr>
        <w:t>、“三公”经费支出预决算差异率扣</w:t>
      </w:r>
      <w:r>
        <w:rPr>
          <w:rFonts w:ascii="仿宋_GB2312" w:hAnsi="仿宋_GB2312" w:cs="仿宋_GB2312"/>
          <w:szCs w:val="32"/>
        </w:rPr>
        <w:t>5</w:t>
      </w:r>
      <w:r>
        <w:rPr>
          <w:rFonts w:hint="eastAsia" w:ascii="仿宋_GB2312" w:hAnsi="仿宋_GB2312" w:cs="仿宋_GB2312"/>
          <w:szCs w:val="32"/>
        </w:rPr>
        <w:t>分，原因是本年度车辆运行费用减少</w:t>
      </w:r>
      <w:r>
        <w:rPr>
          <w:rFonts w:ascii="仿宋_GB2312" w:hAnsi="仿宋_GB2312" w:cs="仿宋_GB2312"/>
          <w:szCs w:val="32"/>
        </w:rPr>
        <w:t>50%</w:t>
      </w:r>
      <w:r>
        <w:rPr>
          <w:rFonts w:hint="eastAsia" w:ascii="仿宋_GB2312" w:hAnsi="仿宋_GB2312" w:cs="仿宋_GB2312"/>
          <w:szCs w:val="32"/>
        </w:rPr>
        <w:t>，没有招待费用支出，因此实际支出金额比预算数减少</w:t>
      </w:r>
      <w:r>
        <w:rPr>
          <w:rFonts w:ascii="仿宋_GB2312" w:hAnsi="仿宋_GB2312" w:cs="仿宋_GB2312"/>
          <w:szCs w:val="32"/>
        </w:rPr>
        <w:t>54.74%</w:t>
      </w:r>
      <w:r>
        <w:rPr>
          <w:rFonts w:hint="eastAsia" w:ascii="仿宋_GB2312" w:hAnsi="仿宋_GB2312" w:cs="仿宋_GB2312"/>
          <w:szCs w:val="32"/>
        </w:rPr>
        <w:t>。</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28.78</w:t>
      </w:r>
      <w:r>
        <w:rPr>
          <w:rFonts w:hint="eastAsia" w:ascii="仿宋_GB2312"/>
          <w:szCs w:val="32"/>
        </w:rPr>
        <w:t>万元，比</w:t>
      </w:r>
      <w:r>
        <w:rPr>
          <w:rFonts w:ascii="仿宋_GB2312"/>
          <w:szCs w:val="32"/>
        </w:rPr>
        <w:t>2016</w:t>
      </w:r>
      <w:r>
        <w:rPr>
          <w:rFonts w:hint="eastAsia" w:ascii="仿宋_GB2312"/>
          <w:szCs w:val="32"/>
        </w:rPr>
        <w:t>年度减少</w:t>
      </w:r>
      <w:r>
        <w:rPr>
          <w:rFonts w:ascii="仿宋_GB2312"/>
          <w:szCs w:val="32"/>
        </w:rPr>
        <w:t>7.91</w:t>
      </w:r>
      <w:r>
        <w:rPr>
          <w:rFonts w:hint="eastAsia" w:ascii="仿宋_GB2312"/>
          <w:szCs w:val="32"/>
        </w:rPr>
        <w:t>万元，</w:t>
      </w:r>
      <w:bookmarkStart w:id="37" w:name="OLE_LINK6"/>
      <w:r>
        <w:rPr>
          <w:rFonts w:hint="eastAsia" w:ascii="仿宋_GB2312"/>
          <w:szCs w:val="32"/>
        </w:rPr>
        <w:t>降低</w:t>
      </w:r>
      <w:r>
        <w:rPr>
          <w:rFonts w:ascii="仿宋_GB2312"/>
          <w:szCs w:val="32"/>
        </w:rPr>
        <w:t>27%</w:t>
      </w:r>
      <w:bookmarkEnd w:id="37"/>
      <w:r>
        <w:rPr>
          <w:rFonts w:hint="eastAsia" w:ascii="仿宋_GB2312"/>
          <w:szCs w:val="32"/>
        </w:rPr>
        <w:t>。主要原因是：</w:t>
      </w:r>
      <w:r>
        <w:rPr>
          <w:rFonts w:hint="eastAsia" w:ascii="仿宋_GB2312" w:hAnsi="仿宋_GB2312" w:cs="仿宋_GB2312"/>
          <w:szCs w:val="32"/>
        </w:rPr>
        <w:t>节约机关运行成本，减少办文办会，提倡高效廉洁的工作作风。</w:t>
      </w:r>
    </w:p>
    <w:p>
      <w:pPr>
        <w:ind w:firstLine="643"/>
        <w:rPr>
          <w:rFonts w:ascii="仿宋_GB2312"/>
          <w:szCs w:val="32"/>
        </w:rPr>
      </w:pPr>
      <w:r>
        <w:rPr>
          <w:rFonts w:ascii="仿宋" w:hAnsi="仿宋" w:eastAsia="仿宋"/>
          <w:b/>
          <w:szCs w:val="32"/>
        </w:rPr>
        <w:t>2</w:t>
      </w:r>
      <w:r>
        <w:rPr>
          <w:rFonts w:hint="eastAsia" w:ascii="仿宋" w:hAnsi="仿宋" w:eastAsia="仿宋"/>
          <w:b/>
          <w:szCs w:val="32"/>
        </w:rPr>
        <w:t>．政府采购情况的说明。</w:t>
      </w:r>
      <w:r>
        <w:rPr>
          <w:rFonts w:ascii="仿宋_GB2312"/>
          <w:szCs w:val="32"/>
        </w:rPr>
        <w:t>2017</w:t>
      </w:r>
      <w:r>
        <w:rPr>
          <w:rFonts w:hint="eastAsia" w:ascii="仿宋_GB2312"/>
          <w:szCs w:val="32"/>
        </w:rPr>
        <w:t>年度本部门政府采购支出总额</w:t>
      </w:r>
      <w:r>
        <w:rPr>
          <w:rFonts w:ascii="仿宋_GB2312"/>
          <w:szCs w:val="32"/>
        </w:rPr>
        <w:t>10.69</w:t>
      </w:r>
      <w:r>
        <w:rPr>
          <w:rFonts w:hint="eastAsia" w:ascii="仿宋_GB2312"/>
          <w:szCs w:val="32"/>
        </w:rPr>
        <w:t>万元，其中：政府采购货物支出</w:t>
      </w:r>
      <w:r>
        <w:rPr>
          <w:rFonts w:ascii="仿宋_GB2312"/>
          <w:szCs w:val="32"/>
        </w:rPr>
        <w:t>3.42</w:t>
      </w:r>
      <w:r>
        <w:rPr>
          <w:rFonts w:hint="eastAsia" w:ascii="仿宋_GB2312"/>
          <w:szCs w:val="32"/>
        </w:rPr>
        <w:t>万元、政府采购工程支出</w:t>
      </w:r>
      <w:r>
        <w:rPr>
          <w:rFonts w:ascii="仿宋_GB2312"/>
          <w:szCs w:val="32"/>
        </w:rPr>
        <w:t>0</w:t>
      </w:r>
      <w:r>
        <w:rPr>
          <w:rFonts w:hint="eastAsia" w:ascii="仿宋_GB2312"/>
          <w:szCs w:val="32"/>
        </w:rPr>
        <w:t>万元、政府采购服务支出</w:t>
      </w:r>
      <w:r>
        <w:rPr>
          <w:rFonts w:ascii="仿宋_GB2312"/>
          <w:szCs w:val="32"/>
        </w:rPr>
        <w:t>7.27</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ascii="仿宋" w:hAnsi="仿宋" w:eastAsia="仿宋"/>
          <w:b/>
          <w:szCs w:val="32"/>
        </w:rPr>
        <w:t>3</w:t>
      </w:r>
      <w:r>
        <w:rPr>
          <w:rFonts w:hint="eastAsia" w:ascii="仿宋" w:hAnsi="仿宋" w:eastAsia="仿宋"/>
          <w:b/>
          <w:szCs w:val="32"/>
        </w:rPr>
        <w:t>．国有资产占用情况。</w:t>
      </w:r>
    </w:p>
    <w:tbl>
      <w:tblPr>
        <w:tblStyle w:val="5"/>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项　　目</w:t>
            </w:r>
          </w:p>
        </w:tc>
        <w:tc>
          <w:tcPr>
            <w:tcW w:w="669"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行次</w:t>
            </w:r>
          </w:p>
        </w:tc>
        <w:tc>
          <w:tcPr>
            <w:tcW w:w="1788"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数量</w:t>
            </w:r>
          </w:p>
        </w:tc>
        <w:tc>
          <w:tcPr>
            <w:tcW w:w="178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价值（万元）</w:t>
            </w:r>
          </w:p>
        </w:tc>
        <w:tc>
          <w:tcPr>
            <w:tcW w:w="6291"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补充资料</w:t>
            </w:r>
            <w:r>
              <w:rPr>
                <w:rFonts w:ascii="宋体" w:hAnsi="宋体" w:eastAsia="宋体" w:cs="Arial"/>
                <w:kern w:val="0"/>
                <w:sz w:val="22"/>
              </w:rPr>
              <w:t xml:space="preserve">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kern w:val="0"/>
                <w:sz w:val="22"/>
              </w:rPr>
            </w:pPr>
          </w:p>
        </w:tc>
        <w:tc>
          <w:tcPr>
            <w:tcW w:w="669"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年初数</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年末数</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年初数</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年末数</w:t>
            </w:r>
          </w:p>
        </w:tc>
        <w:tc>
          <w:tcPr>
            <w:tcW w:w="6291"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栏　　次</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4</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栏　　次</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资产总额</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一、本年坏账损失金额</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一、流动资产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16.60</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85.64</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二、危房面积（平方米）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24</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二、固定资产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116.02</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111.21</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w:t>
            </w:r>
            <w:r>
              <w:rPr>
                <w:rFonts w:hint="eastAsia" w:ascii="宋体" w:hAnsi="宋体" w:eastAsia="宋体" w:cs="Arial"/>
                <w:kern w:val="0"/>
                <w:sz w:val="22"/>
              </w:rPr>
              <w:t>（一）上年年末数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25</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bookmarkStart w:id="38" w:name="_Hlk3187520"/>
            <w:r>
              <w:rPr>
                <w:rFonts w:ascii="宋体" w:hAnsi="宋体" w:eastAsia="宋体" w:cs="Arial"/>
                <w:kern w:val="0"/>
                <w:sz w:val="22"/>
              </w:rPr>
              <w:t xml:space="preserve">  </w:t>
            </w:r>
            <w:r>
              <w:rPr>
                <w:rFonts w:hint="eastAsia" w:ascii="宋体" w:hAnsi="宋体" w:eastAsia="宋体" w:cs="Arial"/>
                <w:kern w:val="0"/>
                <w:sz w:val="22"/>
              </w:rPr>
              <w:t>（一）房屋（平方米）</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24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0.5</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0</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w:t>
            </w:r>
            <w:r>
              <w:rPr>
                <w:rFonts w:hint="eastAsia" w:ascii="宋体" w:hAnsi="宋体" w:eastAsia="宋体" w:cs="Arial"/>
                <w:kern w:val="0"/>
                <w:sz w:val="22"/>
              </w:rPr>
              <w:t>（二）本年增加数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26</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kern w:val="0"/>
                <w:sz w:val="22"/>
              </w:rPr>
            </w:pPr>
            <w:r>
              <w:rPr>
                <w:rFonts w:ascii="宋体" w:hAnsi="宋体" w:eastAsia="宋体" w:cs="Arial"/>
                <w:kern w:val="0"/>
                <w:sz w:val="22"/>
              </w:rPr>
              <w:t>1.</w:t>
            </w:r>
            <w:r>
              <w:rPr>
                <w:rFonts w:hint="eastAsia" w:ascii="宋体" w:hAnsi="宋体" w:eastAsia="宋体" w:cs="Arial"/>
                <w:kern w:val="0"/>
                <w:sz w:val="22"/>
              </w:rPr>
              <w:t>办公用房</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24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0.5</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0</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w:t>
            </w:r>
            <w:r>
              <w:rPr>
                <w:rFonts w:hint="eastAsia" w:ascii="宋体" w:hAnsi="宋体" w:eastAsia="宋体" w:cs="Arial"/>
                <w:kern w:val="0"/>
                <w:sz w:val="22"/>
              </w:rPr>
              <w:t>（三）本年减少数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27</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r>
              <w:rPr>
                <w:rFonts w:ascii="宋体" w:hAnsi="宋体" w:eastAsia="宋体" w:cs="Arial"/>
                <w:kern w:val="0"/>
                <w:sz w:val="22"/>
              </w:rPr>
              <w:t>2.</w:t>
            </w:r>
            <w:r>
              <w:rPr>
                <w:rFonts w:hint="eastAsia" w:ascii="宋体" w:hAnsi="宋体" w:eastAsia="宋体" w:cs="Arial"/>
                <w:kern w:val="0"/>
                <w:sz w:val="22"/>
              </w:rPr>
              <w:t>业务用房</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w:t>
            </w:r>
            <w:r>
              <w:rPr>
                <w:rFonts w:hint="eastAsia" w:ascii="宋体" w:hAnsi="宋体" w:eastAsia="宋体" w:cs="Arial"/>
                <w:kern w:val="0"/>
                <w:sz w:val="22"/>
              </w:rPr>
              <w:t>其中：本年修复数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28</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r>
              <w:rPr>
                <w:rFonts w:ascii="宋体" w:hAnsi="宋体" w:eastAsia="宋体" w:cs="Arial"/>
                <w:kern w:val="0"/>
                <w:sz w:val="22"/>
              </w:rPr>
              <w:t>3.</w:t>
            </w:r>
            <w:r>
              <w:rPr>
                <w:rFonts w:hint="eastAsia" w:ascii="宋体" w:hAnsi="宋体" w:eastAsia="宋体" w:cs="Arial"/>
                <w:kern w:val="0"/>
                <w:sz w:val="22"/>
              </w:rPr>
              <w:t>其他（不含构筑物）</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w:t>
            </w:r>
            <w:r>
              <w:rPr>
                <w:rFonts w:hint="eastAsia" w:ascii="宋体" w:hAnsi="宋体" w:eastAsia="宋体" w:cs="Arial"/>
                <w:kern w:val="0"/>
                <w:sz w:val="22"/>
              </w:rPr>
              <w:t>（四）年末数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29</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（二）车辆（台、辆）</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8</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75.91</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75.91</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三、年末单位负担费用的供暖面积（平方米）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30</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kern w:val="0"/>
                <w:sz w:val="22"/>
              </w:rPr>
            </w:pPr>
            <w:r>
              <w:rPr>
                <w:rFonts w:ascii="宋体" w:hAnsi="宋体" w:eastAsia="宋体" w:cs="Arial"/>
                <w:kern w:val="0"/>
                <w:sz w:val="22"/>
              </w:rPr>
              <w:t>1.</w:t>
            </w:r>
            <w:r>
              <w:rPr>
                <w:rFonts w:hint="eastAsia" w:ascii="宋体" w:hAnsi="宋体" w:eastAsia="宋体" w:cs="Arial"/>
                <w:kern w:val="0"/>
                <w:sz w:val="22"/>
              </w:rPr>
              <w:t>轿车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75.91</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75.91</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四、年末单位出租出借房屋面积（平方米）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31</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kern w:val="0"/>
                <w:sz w:val="22"/>
              </w:rPr>
            </w:pPr>
            <w:r>
              <w:rPr>
                <w:rFonts w:ascii="宋体" w:hAnsi="宋体" w:eastAsia="宋体" w:cs="Arial"/>
                <w:kern w:val="0"/>
                <w:sz w:val="22"/>
              </w:rPr>
              <w:t>2.</w:t>
            </w:r>
            <w:r>
              <w:rPr>
                <w:rFonts w:hint="eastAsia" w:ascii="宋体" w:hAnsi="宋体" w:eastAsia="宋体" w:cs="Arial"/>
                <w:kern w:val="0"/>
                <w:sz w:val="22"/>
              </w:rPr>
              <w:t>越野车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五、年末单位土地证证载面积（平方米）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32</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kern w:val="0"/>
                <w:sz w:val="22"/>
              </w:rPr>
            </w:pPr>
            <w:r>
              <w:rPr>
                <w:rFonts w:ascii="宋体" w:hAnsi="宋体" w:eastAsia="宋体" w:cs="Arial"/>
                <w:kern w:val="0"/>
                <w:sz w:val="22"/>
              </w:rPr>
              <w:t>3.</w:t>
            </w:r>
            <w:r>
              <w:rPr>
                <w:rFonts w:hint="eastAsia" w:ascii="宋体" w:hAnsi="宋体" w:eastAsia="宋体" w:cs="Arial"/>
                <w:kern w:val="0"/>
                <w:sz w:val="22"/>
              </w:rPr>
              <w:t>小型载客汽车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六、年末单位车辆工作用途情况（台、辆）</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4</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kern w:val="0"/>
                <w:sz w:val="22"/>
              </w:rPr>
            </w:pPr>
            <w:r>
              <w:rPr>
                <w:rFonts w:ascii="宋体" w:hAnsi="宋体" w:eastAsia="宋体" w:cs="Arial"/>
                <w:kern w:val="0"/>
                <w:sz w:val="22"/>
              </w:rPr>
              <w:t>4.</w:t>
            </w:r>
            <w:r>
              <w:rPr>
                <w:rFonts w:hint="eastAsia" w:ascii="宋体" w:hAnsi="宋体" w:eastAsia="宋体" w:cs="Arial"/>
                <w:kern w:val="0"/>
                <w:sz w:val="22"/>
              </w:rPr>
              <w:t>大中型载客汽车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1.</w:t>
            </w:r>
            <w:r>
              <w:rPr>
                <w:rFonts w:hint="eastAsia" w:ascii="宋体" w:hAnsi="宋体" w:eastAsia="宋体" w:cs="Arial"/>
                <w:kern w:val="0"/>
                <w:sz w:val="22"/>
              </w:rPr>
              <w:t>副部（省）级及以上领导用车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34</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kern w:val="0"/>
                <w:sz w:val="22"/>
              </w:rPr>
            </w:pPr>
            <w:r>
              <w:rPr>
                <w:rFonts w:ascii="宋体" w:hAnsi="宋体" w:eastAsia="宋体" w:cs="Arial"/>
                <w:kern w:val="0"/>
                <w:sz w:val="22"/>
              </w:rPr>
              <w:t>5.</w:t>
            </w:r>
            <w:r>
              <w:rPr>
                <w:rFonts w:hint="eastAsia" w:ascii="宋体" w:hAnsi="宋体" w:eastAsia="宋体" w:cs="Arial"/>
                <w:kern w:val="0"/>
                <w:sz w:val="22"/>
              </w:rPr>
              <w:t>其他车型</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13</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2.</w:t>
            </w:r>
            <w:r>
              <w:rPr>
                <w:rFonts w:hint="eastAsia" w:ascii="宋体" w:hAnsi="宋体" w:eastAsia="宋体" w:cs="Arial"/>
                <w:kern w:val="0"/>
                <w:sz w:val="22"/>
              </w:rPr>
              <w:t>一般公务用车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35</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4</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（三）单价</w:t>
            </w:r>
            <w:r>
              <w:rPr>
                <w:rFonts w:ascii="宋体" w:hAnsi="宋体" w:eastAsia="宋体" w:cs="Arial"/>
                <w:kern w:val="0"/>
                <w:sz w:val="22"/>
              </w:rPr>
              <w:t>50</w:t>
            </w:r>
            <w:r>
              <w:rPr>
                <w:rFonts w:hint="eastAsia" w:ascii="宋体" w:hAnsi="宋体" w:eastAsia="宋体" w:cs="Arial"/>
                <w:kern w:val="0"/>
                <w:sz w:val="22"/>
              </w:rPr>
              <w:t>万元（含）以上的通用设备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3.</w:t>
            </w:r>
            <w:r>
              <w:rPr>
                <w:rFonts w:hint="eastAsia" w:ascii="宋体" w:hAnsi="宋体" w:eastAsia="宋体" w:cs="Arial"/>
                <w:kern w:val="0"/>
                <w:sz w:val="22"/>
              </w:rPr>
              <w:t>一般执法执勤用车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36</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s="Arial"/>
                <w:kern w:val="0"/>
                <w:sz w:val="22"/>
              </w:rPr>
            </w:pPr>
            <w:r>
              <w:rPr>
                <w:rFonts w:hint="eastAsia" w:ascii="宋体" w:hAnsi="宋体" w:eastAsia="宋体" w:cs="Arial"/>
                <w:kern w:val="0"/>
                <w:sz w:val="22"/>
              </w:rPr>
              <w:t>（四）单价</w:t>
            </w:r>
            <w:r>
              <w:rPr>
                <w:rFonts w:ascii="宋体" w:hAnsi="宋体" w:eastAsia="宋体" w:cs="Arial"/>
                <w:kern w:val="0"/>
                <w:sz w:val="22"/>
              </w:rPr>
              <w:t>100</w:t>
            </w:r>
            <w:r>
              <w:rPr>
                <w:rFonts w:hint="eastAsia" w:ascii="宋体" w:hAnsi="宋体" w:eastAsia="宋体" w:cs="Arial"/>
                <w:kern w:val="0"/>
                <w:sz w:val="22"/>
              </w:rPr>
              <w:t>万元（含）以上的专用设备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4.</w:t>
            </w:r>
            <w:r>
              <w:rPr>
                <w:rFonts w:hint="eastAsia" w:ascii="宋体" w:hAnsi="宋体" w:eastAsia="宋体" w:cs="Arial"/>
                <w:kern w:val="0"/>
                <w:sz w:val="22"/>
              </w:rPr>
              <w:t>特种专业技术用车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37</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（五）其他固定资产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39.61</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r>
              <w:rPr>
                <w:rFonts w:ascii="宋体" w:hAnsi="宋体" w:eastAsia="宋体" w:cs="Arial"/>
                <w:kern w:val="0"/>
                <w:sz w:val="22"/>
              </w:rPr>
              <w:t>35.30</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ascii="宋体" w:hAnsi="宋体" w:eastAsia="宋体" w:cs="Arial"/>
                <w:kern w:val="0"/>
                <w:sz w:val="22"/>
              </w:rPr>
              <w:t xml:space="preserve">    5.</w:t>
            </w:r>
            <w:r>
              <w:rPr>
                <w:rFonts w:hint="eastAsia" w:ascii="宋体" w:hAnsi="宋体" w:eastAsia="宋体" w:cs="Arial"/>
                <w:kern w:val="0"/>
                <w:sz w:val="22"/>
              </w:rPr>
              <w:t>其他用车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38</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bookmarkEnd w:id="38"/>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减：累计折旧及减值准备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39</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三、长期投资</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18</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40</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四、在建工程</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19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41</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五、无形资产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42</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减：累计摊销</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43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六、其他资产</w:t>
            </w:r>
          </w:p>
        </w:tc>
        <w:tc>
          <w:tcPr>
            <w:tcW w:w="669"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22</w:t>
            </w: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891"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kern w:val="0"/>
                <w:sz w:val="22"/>
              </w:rPr>
            </w:pPr>
          </w:p>
        </w:tc>
        <w:tc>
          <w:tcPr>
            <w:tcW w:w="4701"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6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kern w:val="0"/>
                <w:sz w:val="22"/>
              </w:rPr>
            </w:pPr>
            <w:r>
              <w:rPr>
                <w:rFonts w:ascii="宋体" w:hAnsi="宋体" w:eastAsia="宋体" w:cs="Arial"/>
                <w:kern w:val="0"/>
                <w:sz w:val="22"/>
              </w:rPr>
              <w:t>44</w:t>
            </w:r>
          </w:p>
        </w:tc>
        <w:tc>
          <w:tcPr>
            <w:tcW w:w="924"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日，固定资产</w:t>
      </w:r>
      <w:r>
        <w:rPr>
          <w:rFonts w:ascii="仿宋_GB2312"/>
          <w:szCs w:val="32"/>
        </w:rPr>
        <w:t>111.21</w:t>
      </w:r>
      <w:r>
        <w:rPr>
          <w:rFonts w:hint="eastAsia" w:ascii="仿宋_GB2312"/>
          <w:szCs w:val="32"/>
        </w:rPr>
        <w:t>万元，与</w:t>
      </w:r>
      <w:r>
        <w:rPr>
          <w:rFonts w:ascii="仿宋_GB2312"/>
          <w:szCs w:val="32"/>
        </w:rPr>
        <w:t>2016</w:t>
      </w:r>
      <w:r>
        <w:rPr>
          <w:rFonts w:hint="eastAsia" w:ascii="仿宋_GB2312"/>
          <w:szCs w:val="32"/>
        </w:rPr>
        <w:t>年相比减少</w:t>
      </w:r>
      <w:r>
        <w:rPr>
          <w:rFonts w:ascii="仿宋_GB2312"/>
          <w:szCs w:val="32"/>
        </w:rPr>
        <w:t>4.81</w:t>
      </w:r>
      <w:r>
        <w:rPr>
          <w:rFonts w:hint="eastAsia" w:ascii="仿宋_GB2312"/>
          <w:szCs w:val="32"/>
        </w:rPr>
        <w:t>万元，主要原因是：部分通用设备已超过使用年限，进行了报废处理。</w:t>
      </w:r>
    </w:p>
    <w:p>
      <w:pPr>
        <w:ind w:firstLine="640"/>
        <w:rPr>
          <w:rFonts w:ascii="仿宋_GB2312"/>
          <w:szCs w:val="32"/>
        </w:rPr>
      </w:pPr>
      <w:r>
        <w:rPr>
          <w:rFonts w:hint="eastAsia" w:ascii="仿宋_GB2312"/>
          <w:szCs w:val="32"/>
        </w:rPr>
        <w:t>本部门共有车辆</w:t>
      </w:r>
      <w:r>
        <w:rPr>
          <w:rFonts w:ascii="仿宋_GB2312"/>
          <w:szCs w:val="32"/>
        </w:rPr>
        <w:t>4</w:t>
      </w:r>
      <w:r>
        <w:rPr>
          <w:rFonts w:hint="eastAsia" w:ascii="仿宋_GB2312"/>
          <w:szCs w:val="32"/>
        </w:rPr>
        <w:t>辆，其中，一般公务用车</w:t>
      </w:r>
      <w:r>
        <w:rPr>
          <w:rFonts w:ascii="仿宋_GB2312"/>
          <w:szCs w:val="32"/>
        </w:rPr>
        <w:t>4</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0</w:t>
      </w:r>
      <w:r>
        <w:rPr>
          <w:rFonts w:hint="eastAsia" w:ascii="仿宋_GB2312"/>
          <w:szCs w:val="32"/>
        </w:rPr>
        <w:t>辆</w:t>
      </w:r>
      <w:r>
        <w:rPr>
          <w:rFonts w:ascii="仿宋_GB2312"/>
          <w:szCs w:val="32"/>
        </w:rPr>
        <w:t>0</w:t>
      </w:r>
      <w:r>
        <w:rPr>
          <w:rFonts w:hint="eastAsia" w:ascii="仿宋_GB2312"/>
          <w:szCs w:val="32"/>
        </w:rPr>
        <w:t>；单位价值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pPr>
        <w:ind w:firstLine="640"/>
        <w:rPr>
          <w:rFonts w:ascii="仿宋_GB2312" w:hAnsi="仿宋"/>
          <w:szCs w:val="32"/>
        </w:rPr>
      </w:pPr>
      <w:r>
        <w:rPr>
          <w:rFonts w:hint="eastAsia" w:ascii="仿宋_GB2312" w:hAnsi="仿宋"/>
          <w:szCs w:val="32"/>
        </w:rPr>
        <w:t>会议费支出情况。</w:t>
      </w:r>
      <w:bookmarkStart w:id="39" w:name="OLE_LINK47"/>
      <w:bookmarkStart w:id="40" w:name="OLE_LINK46"/>
      <w:r>
        <w:rPr>
          <w:rFonts w:ascii="仿宋_GB2312" w:hAnsi="仿宋"/>
          <w:szCs w:val="32"/>
        </w:rPr>
        <w:t>2017</w:t>
      </w:r>
      <w:r>
        <w:rPr>
          <w:rFonts w:hint="eastAsia" w:ascii="仿宋_GB2312" w:hAnsi="仿宋"/>
          <w:szCs w:val="32"/>
        </w:rPr>
        <w:t>年会议费总计</w:t>
      </w:r>
      <w:r>
        <w:rPr>
          <w:rFonts w:ascii="仿宋_GB2312" w:hAnsi="仿宋"/>
          <w:szCs w:val="32"/>
        </w:rPr>
        <w:t>19.80</w:t>
      </w:r>
      <w:r>
        <w:rPr>
          <w:rFonts w:hint="eastAsia" w:ascii="仿宋_GB2312" w:hAnsi="仿宋"/>
          <w:szCs w:val="32"/>
        </w:rPr>
        <w:t>万元，</w:t>
      </w:r>
      <w:r>
        <w:rPr>
          <w:rFonts w:ascii="仿宋_GB2312" w:hAnsi="仿宋"/>
          <w:szCs w:val="32"/>
        </w:rPr>
        <w:t>2016</w:t>
      </w:r>
      <w:r>
        <w:rPr>
          <w:rFonts w:hint="eastAsia" w:ascii="仿宋_GB2312" w:hAnsi="仿宋"/>
          <w:szCs w:val="32"/>
        </w:rPr>
        <w:t>年支出为</w:t>
      </w:r>
      <w:r>
        <w:rPr>
          <w:rFonts w:ascii="仿宋_GB2312" w:hAnsi="仿宋"/>
          <w:szCs w:val="32"/>
        </w:rPr>
        <w:t>17.10</w:t>
      </w:r>
      <w:r>
        <w:rPr>
          <w:rFonts w:hint="eastAsia" w:ascii="仿宋_GB2312" w:hAnsi="仿宋"/>
          <w:szCs w:val="32"/>
        </w:rPr>
        <w:t>万元，比上年增加</w:t>
      </w:r>
      <w:r>
        <w:rPr>
          <w:rFonts w:ascii="仿宋_GB2312" w:hAnsi="仿宋"/>
          <w:szCs w:val="32"/>
        </w:rPr>
        <w:t>2.7</w:t>
      </w:r>
      <w:r>
        <w:rPr>
          <w:rFonts w:hint="eastAsia" w:ascii="仿宋_GB2312" w:hAnsi="仿宋"/>
          <w:szCs w:val="32"/>
        </w:rPr>
        <w:t>万元，增长</w:t>
      </w:r>
      <w:r>
        <w:rPr>
          <w:rFonts w:ascii="仿宋_GB2312" w:hAnsi="仿宋"/>
          <w:szCs w:val="32"/>
        </w:rPr>
        <w:t>16</w:t>
      </w:r>
      <w:r>
        <w:rPr>
          <w:rFonts w:ascii="仿宋_GB2312"/>
          <w:szCs w:val="32"/>
        </w:rPr>
        <w:t>%</w:t>
      </w:r>
      <w:r>
        <w:rPr>
          <w:rFonts w:hint="eastAsia" w:ascii="仿宋_GB2312" w:hAnsi="仿宋"/>
          <w:szCs w:val="32"/>
        </w:rPr>
        <w:t>。原因是：</w:t>
      </w:r>
      <w:r>
        <w:rPr>
          <w:rFonts w:ascii="仿宋_GB2312" w:hAnsi="仿宋"/>
          <w:szCs w:val="32"/>
        </w:rPr>
        <w:t>2017</w:t>
      </w:r>
      <w:r>
        <w:rPr>
          <w:rFonts w:hint="eastAsia" w:ascii="仿宋_GB2312" w:hAnsi="仿宋"/>
          <w:szCs w:val="32"/>
        </w:rPr>
        <w:t>年年初正逢区政协换届大会，参会人数与会议时间都比上年有所增加。</w:t>
      </w:r>
    </w:p>
    <w:bookmarkEnd w:id="39"/>
    <w:bookmarkEnd w:id="40"/>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w:t>
      </w:r>
      <w:r>
        <w:rPr>
          <w:rFonts w:hint="eastAsia" w:ascii="仿宋" w:hAnsi="仿宋" w:eastAsia="仿宋"/>
          <w:szCs w:val="32"/>
          <w:lang w:eastAsia="zh-CN"/>
        </w:rPr>
        <w:t>原因是：</w:t>
      </w:r>
      <w:r>
        <w:rPr>
          <w:rFonts w:hint="eastAsia" w:ascii="仿宋" w:hAnsi="仿宋" w:eastAsia="仿宋"/>
          <w:szCs w:val="32"/>
          <w:lang w:val="en-US" w:eastAsia="zh-CN"/>
        </w:rPr>
        <w:t>2016年与2017年均没有培训费支出</w:t>
      </w:r>
      <w:r>
        <w:rPr>
          <w:rFonts w:hint="eastAsia" w:ascii="仿宋" w:hAnsi="仿宋" w:eastAsia="仿宋"/>
          <w:szCs w:val="32"/>
        </w:rPr>
        <w:t>。</w:t>
      </w:r>
    </w:p>
    <w:p>
      <w:pPr>
        <w:widowControl/>
        <w:spacing w:line="240" w:lineRule="auto"/>
        <w:ind w:firstLine="0" w:firstLineChars="0"/>
        <w:jc w:val="left"/>
        <w:rPr>
          <w:rFonts w:ascii="黑体" w:hAnsi="黑体" w:eastAsia="黑体"/>
          <w:szCs w:val="32"/>
        </w:rPr>
      </w:pPr>
      <w:bookmarkStart w:id="41" w:name="_GoBack"/>
      <w:bookmarkEnd w:id="41"/>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kern w:val="0"/>
          <w:szCs w:val="32"/>
        </w:rPr>
      </w:pPr>
      <w:r>
        <w:rPr>
          <w:rFonts w:ascii="黑体" w:hAnsi="黑体" w:eastAsia="黑体"/>
          <w:sz w:val="72"/>
          <w:szCs w:val="72"/>
        </w:rPr>
        <w:br w:type="page"/>
      </w:r>
      <w:r>
        <w:rPr>
          <w:rFonts w:hint="eastAsia"/>
          <w:kern w:val="0"/>
          <w:szCs w:val="32"/>
        </w:rPr>
        <w:t>（一）财政拨款收入：本年度从本级财政部门取得的财政拨款，包括一般公共预算财政拨款和政府性基金预算财政拨款。</w:t>
      </w:r>
    </w:p>
    <w:p>
      <w:pPr>
        <w:widowControl/>
        <w:spacing w:line="580" w:lineRule="exact"/>
        <w:ind w:firstLine="640"/>
        <w:rPr>
          <w:kern w:val="0"/>
          <w:szCs w:val="32"/>
        </w:rPr>
      </w:pPr>
      <w:r>
        <w:rPr>
          <w:rFonts w:hint="eastAsia"/>
          <w:kern w:val="0"/>
          <w:szCs w:val="32"/>
        </w:rPr>
        <w:t>（二）事业收入：指事业单位开展专业业务活动及辅助活动所取得的收入。</w:t>
      </w:r>
    </w:p>
    <w:p>
      <w:pPr>
        <w:widowControl/>
        <w:spacing w:line="580" w:lineRule="exact"/>
        <w:ind w:firstLine="640"/>
        <w:rPr>
          <w:kern w:val="0"/>
          <w:szCs w:val="32"/>
        </w:rPr>
      </w:pPr>
      <w:r>
        <w:rPr>
          <w:rFonts w:hint="eastAsia"/>
          <w:kern w:val="0"/>
          <w:szCs w:val="32"/>
        </w:rPr>
        <w:t>（三）其他收入：指除上述</w:t>
      </w:r>
      <w:r>
        <w:rPr>
          <w:kern w:val="0"/>
          <w:szCs w:val="32"/>
        </w:rPr>
        <w:t>“</w:t>
      </w:r>
      <w:r>
        <w:rPr>
          <w:rFonts w:hint="eastAsia"/>
          <w:kern w:val="0"/>
          <w:szCs w:val="32"/>
        </w:rPr>
        <w:t>财政拨款收入</w:t>
      </w:r>
      <w:r>
        <w:rPr>
          <w:kern w:val="0"/>
          <w:szCs w:val="32"/>
        </w:rPr>
        <w:t>”</w:t>
      </w:r>
      <w:r>
        <w:rPr>
          <w:rFonts w:hint="eastAsia"/>
          <w:kern w:val="0"/>
          <w:szCs w:val="32"/>
        </w:rPr>
        <w:t>、</w:t>
      </w:r>
      <w:r>
        <w:rPr>
          <w:kern w:val="0"/>
          <w:szCs w:val="32"/>
        </w:rPr>
        <w:t>“</w:t>
      </w:r>
      <w:r>
        <w:rPr>
          <w:rFonts w:hint="eastAsia"/>
          <w:kern w:val="0"/>
          <w:szCs w:val="32"/>
        </w:rPr>
        <w:t>事业收入</w:t>
      </w:r>
      <w:r>
        <w:rPr>
          <w:kern w:val="0"/>
          <w:szCs w:val="32"/>
        </w:rPr>
        <w:t>”</w:t>
      </w:r>
      <w:r>
        <w:rPr>
          <w:rFonts w:hint="eastAsia"/>
          <w:kern w:val="0"/>
          <w:szCs w:val="32"/>
        </w:rPr>
        <w:t>、</w:t>
      </w:r>
      <w:r>
        <w:rPr>
          <w:kern w:val="0"/>
          <w:szCs w:val="32"/>
        </w:rPr>
        <w:t>“</w:t>
      </w:r>
      <w:r>
        <w:rPr>
          <w:rFonts w:hint="eastAsia"/>
          <w:kern w:val="0"/>
          <w:szCs w:val="32"/>
        </w:rPr>
        <w:t>经营收入</w:t>
      </w:r>
      <w:r>
        <w:rPr>
          <w:kern w:val="0"/>
          <w:szCs w:val="32"/>
        </w:rPr>
        <w:t>”</w:t>
      </w:r>
      <w:r>
        <w:rPr>
          <w:rFonts w:hint="eastAsia"/>
          <w:kern w:val="0"/>
          <w:szCs w:val="32"/>
        </w:rPr>
        <w:t>等以外的收入。</w:t>
      </w:r>
    </w:p>
    <w:p>
      <w:pPr>
        <w:widowControl/>
        <w:spacing w:line="580" w:lineRule="exact"/>
        <w:ind w:firstLine="640"/>
        <w:rPr>
          <w:kern w:val="0"/>
          <w:szCs w:val="32"/>
        </w:rPr>
      </w:pPr>
      <w:r>
        <w:rPr>
          <w:rFonts w:hint="eastAsia"/>
          <w:kern w:val="0"/>
          <w:szCs w:val="32"/>
        </w:rPr>
        <w:t>（四）用事业基金弥补收支差额：指事业单位在用当年的</w:t>
      </w:r>
      <w:r>
        <w:rPr>
          <w:kern w:val="0"/>
          <w:szCs w:val="32"/>
        </w:rPr>
        <w:t>“</w:t>
      </w:r>
      <w:r>
        <w:rPr>
          <w:rFonts w:hint="eastAsia"/>
          <w:kern w:val="0"/>
          <w:szCs w:val="32"/>
        </w:rPr>
        <w:t>财政拨款收入</w:t>
      </w:r>
      <w:r>
        <w:rPr>
          <w:kern w:val="0"/>
          <w:szCs w:val="32"/>
        </w:rPr>
        <w:t>”</w:t>
      </w:r>
      <w:r>
        <w:rPr>
          <w:rFonts w:hint="eastAsia"/>
          <w:kern w:val="0"/>
          <w:szCs w:val="32"/>
        </w:rPr>
        <w:t>、</w:t>
      </w:r>
      <w:r>
        <w:rPr>
          <w:kern w:val="0"/>
          <w:szCs w:val="32"/>
        </w:rPr>
        <w:t>“</w:t>
      </w:r>
      <w:r>
        <w:rPr>
          <w:rFonts w:hint="eastAsia"/>
          <w:kern w:val="0"/>
          <w:szCs w:val="32"/>
        </w:rPr>
        <w:t>财政拨款结转和结余资金</w:t>
      </w:r>
      <w:r>
        <w:rPr>
          <w:kern w:val="0"/>
          <w:szCs w:val="32"/>
        </w:rPr>
        <w:t>”</w:t>
      </w:r>
      <w:r>
        <w:rPr>
          <w:rFonts w:hint="eastAsia"/>
          <w:kern w:val="0"/>
          <w:szCs w:val="32"/>
        </w:rPr>
        <w:t>、</w:t>
      </w:r>
      <w:r>
        <w:rPr>
          <w:kern w:val="0"/>
          <w:szCs w:val="32"/>
        </w:rPr>
        <w:t>“</w:t>
      </w:r>
      <w:r>
        <w:rPr>
          <w:rFonts w:hint="eastAsia"/>
          <w:kern w:val="0"/>
          <w:szCs w:val="32"/>
        </w:rPr>
        <w:t>事业收入</w:t>
      </w:r>
      <w:r>
        <w:rPr>
          <w:kern w:val="0"/>
          <w:szCs w:val="32"/>
        </w:rPr>
        <w:t>”</w:t>
      </w:r>
      <w:r>
        <w:rPr>
          <w:rFonts w:hint="eastAsia"/>
          <w:kern w:val="0"/>
          <w:szCs w:val="32"/>
        </w:rPr>
        <w:t>、</w:t>
      </w:r>
      <w:r>
        <w:rPr>
          <w:kern w:val="0"/>
          <w:szCs w:val="32"/>
        </w:rPr>
        <w:t>“</w:t>
      </w:r>
      <w:r>
        <w:rPr>
          <w:rFonts w:hint="eastAsia"/>
          <w:kern w:val="0"/>
          <w:szCs w:val="32"/>
        </w:rPr>
        <w:t>经营收入</w:t>
      </w:r>
      <w:r>
        <w:rPr>
          <w:kern w:val="0"/>
          <w:szCs w:val="32"/>
        </w:rPr>
        <w:t>”</w:t>
      </w:r>
      <w:r>
        <w:rPr>
          <w:rFonts w:hint="eastAsia"/>
          <w:kern w:val="0"/>
          <w:szCs w:val="32"/>
        </w:rPr>
        <w:t>、</w:t>
      </w:r>
      <w:r>
        <w:rPr>
          <w:kern w:val="0"/>
          <w:szCs w:val="32"/>
        </w:rPr>
        <w:t>“</w:t>
      </w:r>
      <w:r>
        <w:rPr>
          <w:rFonts w:hint="eastAsia"/>
          <w:kern w:val="0"/>
          <w:szCs w:val="32"/>
        </w:rPr>
        <w:t>其他收入</w:t>
      </w:r>
      <w:r>
        <w:rPr>
          <w:kern w:val="0"/>
          <w:szCs w:val="32"/>
        </w:rPr>
        <w:t>”</w:t>
      </w:r>
      <w:r>
        <w:rPr>
          <w:rFonts w:hint="eastAsia"/>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kern w:val="0"/>
          <w:szCs w:val="32"/>
        </w:rPr>
      </w:pPr>
      <w:r>
        <w:rPr>
          <w:rFonts w:hint="eastAsia"/>
          <w:kern w:val="0"/>
          <w:szCs w:val="32"/>
        </w:rPr>
        <w:t>（五）年初结转和结余：指以前年度尚未完成、结转到本年仍按原规定用途继续使用的资金，或项目已完成等产生的结余资金。</w:t>
      </w:r>
    </w:p>
    <w:p>
      <w:pPr>
        <w:widowControl/>
        <w:spacing w:line="580" w:lineRule="exact"/>
        <w:ind w:firstLine="640"/>
        <w:rPr>
          <w:kern w:val="0"/>
          <w:szCs w:val="32"/>
        </w:rPr>
      </w:pPr>
      <w:r>
        <w:rPr>
          <w:rFonts w:hint="eastAsia"/>
          <w:kern w:val="0"/>
          <w:szCs w:val="32"/>
        </w:rPr>
        <w:t>（六）结余分配：指事业单位按照事业单位会计制度的规定从非财政补助结余中分配的事业基金和职工福利基金等。</w:t>
      </w:r>
    </w:p>
    <w:p>
      <w:pPr>
        <w:widowControl/>
        <w:spacing w:line="580" w:lineRule="exact"/>
        <w:ind w:firstLine="640"/>
        <w:rPr>
          <w:kern w:val="0"/>
          <w:szCs w:val="32"/>
        </w:rPr>
      </w:pPr>
      <w:r>
        <w:rPr>
          <w:rFonts w:hint="eastAsia"/>
          <w:kern w:val="0"/>
          <w:szCs w:val="32"/>
        </w:rPr>
        <w:t>（七）年末结转和结余：指单位按有关规定结转到下年或以后年度继续使用的资金，或项目已完成等产生的结余资金。</w:t>
      </w:r>
    </w:p>
    <w:p>
      <w:pPr>
        <w:widowControl/>
        <w:spacing w:line="580" w:lineRule="exact"/>
        <w:ind w:firstLine="640"/>
        <w:rPr>
          <w:kern w:val="0"/>
          <w:szCs w:val="32"/>
        </w:rPr>
      </w:pPr>
      <w:r>
        <w:rPr>
          <w:rFonts w:hint="eastAsia"/>
          <w:kern w:val="0"/>
          <w:szCs w:val="32"/>
        </w:rPr>
        <w:t>（八）基本支出：填列单位为保障机构正常运转、完成日常工作任务而发生的各项支出。</w:t>
      </w:r>
    </w:p>
    <w:p>
      <w:pPr>
        <w:widowControl/>
        <w:spacing w:line="580" w:lineRule="exact"/>
        <w:ind w:firstLine="640"/>
        <w:rPr>
          <w:kern w:val="0"/>
          <w:szCs w:val="32"/>
        </w:rPr>
      </w:pPr>
      <w:r>
        <w:rPr>
          <w:rFonts w:hint="eastAsia"/>
          <w:kern w:val="0"/>
          <w:szCs w:val="32"/>
        </w:rPr>
        <w:t>（九）项目支出：填列单位为完成特定的行政工作任务或事业发展目标，在基本支出之外发生的各项支出</w:t>
      </w:r>
    </w:p>
    <w:p>
      <w:pPr>
        <w:widowControl/>
        <w:spacing w:line="580" w:lineRule="exact"/>
        <w:ind w:firstLine="640"/>
        <w:rPr>
          <w:kern w:val="0"/>
          <w:szCs w:val="32"/>
        </w:rPr>
      </w:pPr>
      <w:r>
        <w:rPr>
          <w:rFonts w:hint="eastAsia"/>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kern w:val="0"/>
          <w:szCs w:val="32"/>
        </w:rPr>
      </w:pPr>
      <w:r>
        <w:rPr>
          <w:rFonts w:hint="eastAsia"/>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kern w:val="0"/>
          <w:szCs w:val="32"/>
        </w:rPr>
      </w:pPr>
      <w:r>
        <w:rPr>
          <w:rFonts w:hint="eastAsia"/>
          <w:kern w:val="0"/>
          <w:szCs w:val="32"/>
        </w:rPr>
        <w:t>（十二）</w:t>
      </w:r>
      <w:r>
        <w:rPr>
          <w:kern w:val="0"/>
          <w:szCs w:val="32"/>
        </w:rPr>
        <w:t>“</w:t>
      </w:r>
      <w:r>
        <w:rPr>
          <w:rFonts w:hint="eastAsia"/>
          <w:kern w:val="0"/>
          <w:szCs w:val="32"/>
        </w:rPr>
        <w:t>三公</w:t>
      </w:r>
      <w:r>
        <w:rPr>
          <w:kern w:val="0"/>
          <w:szCs w:val="32"/>
        </w:rPr>
        <w:t>”</w:t>
      </w:r>
      <w:r>
        <w:rPr>
          <w:rFonts w:hint="eastAsia"/>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kern w:val="0"/>
          <w:szCs w:val="32"/>
        </w:rPr>
      </w:pPr>
      <w:r>
        <w:rPr>
          <w:rFonts w:hint="eastAsia"/>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kern w:val="0"/>
          <w:szCs w:val="32"/>
        </w:rPr>
      </w:pPr>
      <w:r>
        <w:rPr>
          <w:rFonts w:hint="eastAsia"/>
          <w:kern w:val="0"/>
          <w:szCs w:val="32"/>
        </w:rPr>
        <w:t>（十四）公务用车购置：填列单位公务用车车辆购置支出（含车辆购置税）。</w:t>
      </w:r>
    </w:p>
    <w:p>
      <w:pPr>
        <w:widowControl/>
        <w:spacing w:line="580" w:lineRule="exact"/>
        <w:ind w:firstLine="640"/>
        <w:rPr>
          <w:kern w:val="0"/>
          <w:szCs w:val="32"/>
        </w:rPr>
      </w:pPr>
      <w:r>
        <w:rPr>
          <w:rFonts w:hint="eastAsia"/>
          <w:kern w:val="0"/>
          <w:szCs w:val="32"/>
        </w:rPr>
        <w:t>（十五）其他交通工具购置：填列单位除公务用车外的其他各类交通工具（如船舶、飞机）购置支出（含车辆购置税）。</w:t>
      </w:r>
    </w:p>
    <w:p>
      <w:pPr>
        <w:widowControl/>
        <w:spacing w:line="580" w:lineRule="exact"/>
        <w:ind w:firstLine="640"/>
        <w:rPr>
          <w:kern w:val="0"/>
          <w:szCs w:val="32"/>
        </w:rPr>
      </w:pPr>
      <w:r>
        <w:rPr>
          <w:rFonts w:hint="eastAsia"/>
          <w:kern w:val="0"/>
          <w:szCs w:val="32"/>
        </w:rPr>
        <w:t>（十六）</w:t>
      </w:r>
      <w:r>
        <w:rPr>
          <w:kern w:val="0"/>
          <w:szCs w:val="32"/>
        </w:rPr>
        <w:t xml:space="preserve"> </w:t>
      </w:r>
      <w:r>
        <w:rPr>
          <w:rFonts w:hint="eastAsia"/>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8</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D4C24"/>
    <w:rsid w:val="000F00FD"/>
    <w:rsid w:val="00103253"/>
    <w:rsid w:val="0011224D"/>
    <w:rsid w:val="00127C8F"/>
    <w:rsid w:val="00155A0C"/>
    <w:rsid w:val="00172A9E"/>
    <w:rsid w:val="00175A3A"/>
    <w:rsid w:val="0017741E"/>
    <w:rsid w:val="00186B83"/>
    <w:rsid w:val="0019263B"/>
    <w:rsid w:val="001E4F9F"/>
    <w:rsid w:val="001F41FA"/>
    <w:rsid w:val="00204503"/>
    <w:rsid w:val="00231035"/>
    <w:rsid w:val="00231700"/>
    <w:rsid w:val="00256706"/>
    <w:rsid w:val="00271D6D"/>
    <w:rsid w:val="0027309A"/>
    <w:rsid w:val="00273E03"/>
    <w:rsid w:val="00277713"/>
    <w:rsid w:val="0029596B"/>
    <w:rsid w:val="002A3356"/>
    <w:rsid w:val="002D1C92"/>
    <w:rsid w:val="00305FCB"/>
    <w:rsid w:val="00310A7C"/>
    <w:rsid w:val="00312F9F"/>
    <w:rsid w:val="003155B1"/>
    <w:rsid w:val="003209A7"/>
    <w:rsid w:val="0037406E"/>
    <w:rsid w:val="003D144F"/>
    <w:rsid w:val="003F6043"/>
    <w:rsid w:val="00404BA5"/>
    <w:rsid w:val="00405DD5"/>
    <w:rsid w:val="00443128"/>
    <w:rsid w:val="00450D4D"/>
    <w:rsid w:val="004E3970"/>
    <w:rsid w:val="004E7B5F"/>
    <w:rsid w:val="004F1F8E"/>
    <w:rsid w:val="00502034"/>
    <w:rsid w:val="005046AD"/>
    <w:rsid w:val="005320D8"/>
    <w:rsid w:val="005462E5"/>
    <w:rsid w:val="00562ED9"/>
    <w:rsid w:val="00582F26"/>
    <w:rsid w:val="00591A81"/>
    <w:rsid w:val="00593550"/>
    <w:rsid w:val="00594763"/>
    <w:rsid w:val="005C39CD"/>
    <w:rsid w:val="005C5A21"/>
    <w:rsid w:val="005C7CFB"/>
    <w:rsid w:val="005E2EB4"/>
    <w:rsid w:val="005E382E"/>
    <w:rsid w:val="00630D6A"/>
    <w:rsid w:val="00632195"/>
    <w:rsid w:val="00645AA3"/>
    <w:rsid w:val="006508EE"/>
    <w:rsid w:val="00661402"/>
    <w:rsid w:val="00661FC6"/>
    <w:rsid w:val="00682F9B"/>
    <w:rsid w:val="006A1D43"/>
    <w:rsid w:val="006A6FCD"/>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203D"/>
    <w:rsid w:val="00945029"/>
    <w:rsid w:val="00952574"/>
    <w:rsid w:val="00965AC4"/>
    <w:rsid w:val="009A2241"/>
    <w:rsid w:val="009B1D79"/>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760AD"/>
    <w:rsid w:val="00B86180"/>
    <w:rsid w:val="00B96A7F"/>
    <w:rsid w:val="00BA26B2"/>
    <w:rsid w:val="00BA5FD9"/>
    <w:rsid w:val="00BB55D2"/>
    <w:rsid w:val="00BB69FA"/>
    <w:rsid w:val="00BC4069"/>
    <w:rsid w:val="00BC625F"/>
    <w:rsid w:val="00BF1C0F"/>
    <w:rsid w:val="00C36EFE"/>
    <w:rsid w:val="00CD2869"/>
    <w:rsid w:val="00CE7AA1"/>
    <w:rsid w:val="00CF1175"/>
    <w:rsid w:val="00CF7D21"/>
    <w:rsid w:val="00D2211A"/>
    <w:rsid w:val="00D2301D"/>
    <w:rsid w:val="00D34D1F"/>
    <w:rsid w:val="00D4698B"/>
    <w:rsid w:val="00D51081"/>
    <w:rsid w:val="00D82AF5"/>
    <w:rsid w:val="00D87BD4"/>
    <w:rsid w:val="00DE515A"/>
    <w:rsid w:val="00DF3747"/>
    <w:rsid w:val="00E03175"/>
    <w:rsid w:val="00E14D9C"/>
    <w:rsid w:val="00E5216F"/>
    <w:rsid w:val="00E5646B"/>
    <w:rsid w:val="00E7487B"/>
    <w:rsid w:val="00EA4B45"/>
    <w:rsid w:val="00EA5972"/>
    <w:rsid w:val="00EB45A9"/>
    <w:rsid w:val="00EB63A9"/>
    <w:rsid w:val="00EC62AA"/>
    <w:rsid w:val="00ED09E5"/>
    <w:rsid w:val="00ED6876"/>
    <w:rsid w:val="00ED6B4C"/>
    <w:rsid w:val="00EF493B"/>
    <w:rsid w:val="00F0518B"/>
    <w:rsid w:val="00F05F78"/>
    <w:rsid w:val="00F06F8D"/>
    <w:rsid w:val="00F426B8"/>
    <w:rsid w:val="00F475E7"/>
    <w:rsid w:val="00F7462B"/>
    <w:rsid w:val="00F9758A"/>
    <w:rsid w:val="00FC371D"/>
    <w:rsid w:val="00FC3BAC"/>
    <w:rsid w:val="00FD5BCA"/>
    <w:rsid w:val="00FF65FE"/>
    <w:rsid w:val="037C4A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er Char"/>
    <w:basedOn w:val="4"/>
    <w:link w:val="3"/>
    <w:locked/>
    <w:uiPriority w:val="99"/>
    <w:rPr>
      <w:rFonts w:ascii="Calibri" w:hAnsi="Calibri" w:eastAsia="宋体" w:cs="Times New Roman"/>
      <w:kern w:val="0"/>
      <w:sz w:val="18"/>
      <w:szCs w:val="18"/>
    </w:rPr>
  </w:style>
  <w:style w:type="character" w:customStyle="1" w:styleId="8">
    <w:name w:val="Footer Char"/>
    <w:basedOn w:val="4"/>
    <w:link w:val="2"/>
    <w:locked/>
    <w:uiPriority w:val="99"/>
    <w:rPr>
      <w:rFonts w:ascii="Calibri" w:hAnsi="Calibri" w:eastAsia="宋体" w:cs="Times New Roman"/>
      <w:kern w:val="0"/>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gkk</Company>
  <Pages>21</Pages>
  <Words>959</Words>
  <Characters>5472</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2019-03-11T06:48:00Z</dcterms:created>
  <dc:creator>jia</dc:creator>
  <cp:lastModifiedBy>Lenovo</cp:lastModifiedBy>
  <dcterms:modified xsi:type="dcterms:W3CDTF">2019-03-12T01:11:51Z</dcterms:modified>
  <dc:title>2017年度部门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