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color w:val="000000" w:themeColor="text1"/>
          <w:sz w:val="44"/>
          <w:szCs w:val="44"/>
          <w:lang w:val="en-US" w:eastAsia="zh-CN"/>
          <w14:textFill>
            <w14:solidFill>
              <w14:schemeClr w14:val="tx1"/>
            </w14:solidFill>
          </w14:textFill>
        </w:rPr>
      </w:pPr>
      <w:r>
        <w:rPr>
          <w:rFonts w:hint="eastAsia" w:ascii="黑体" w:hAnsi="黑体" w:eastAsia="黑体"/>
          <w:color w:val="000000" w:themeColor="text1"/>
          <w:sz w:val="44"/>
          <w:szCs w:val="44"/>
          <w:lang w:val="en-US" w:eastAsia="zh-CN"/>
          <w14:textFill>
            <w14:solidFill>
              <w14:schemeClr w14:val="tx1"/>
            </w14:solidFill>
          </w14:textFill>
        </w:rPr>
        <w:t>秦皇岛市海港区机构编制委员会办公室</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编办</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编办</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编办</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7"/>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编办</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ind w:firstLine="1273" w:firstLineChars="398"/>
        <w:rPr>
          <w:rFonts w:hint="eastAsia" w:ascii="仿宋_GB2312" w:hAnsi="黑体"/>
          <w:szCs w:val="32"/>
        </w:rPr>
      </w:pPr>
      <w:bookmarkStart w:id="8" w:name="OLE_LINK14"/>
      <w:r>
        <w:rPr>
          <w:rFonts w:hint="eastAsia" w:ascii="仿宋_GB2312" w:hAnsi="黑体"/>
          <w:szCs w:val="32"/>
        </w:rPr>
        <w:t>一、部门职责</w:t>
      </w:r>
    </w:p>
    <w:p>
      <w:pPr>
        <w:ind w:firstLine="640"/>
        <w:rPr>
          <w:rFonts w:ascii="仿宋_GB2312" w:hAnsi="黑体"/>
          <w:szCs w:val="32"/>
        </w:rPr>
      </w:pPr>
      <w:r>
        <w:rPr>
          <w:rFonts w:hint="eastAsia" w:ascii="仿宋_GB2312" w:hAnsi="宋体" w:cs="宋体"/>
          <w:kern w:val="0"/>
          <w:szCs w:val="32"/>
        </w:rPr>
        <w:t>（一）贯彻落实上级关于行政管理体制和机构改革以及机构编制管理的政策法规；组织拟订全区行政管理体制和机构改革以及机构编制管理的政策规定并监督实施；管理和指导全区各级党政机关，人大、政协、法院、检察院机关，各民主党派、人民团体机关的机构编制工作；管理和指导全区事业单位机构编制工作。</w:t>
      </w:r>
      <w:r>
        <w:rPr>
          <w:rFonts w:hint="eastAsia" w:ascii="仿宋_GB2312" w:hAnsi="宋体" w:cs="宋体"/>
          <w:kern w:val="0"/>
          <w:szCs w:val="32"/>
        </w:rPr>
        <w:br w:type="textWrapping"/>
      </w:r>
      <w:r>
        <w:rPr>
          <w:rFonts w:hint="eastAsia" w:ascii="仿宋_GB2312" w:hAnsi="宋体" w:cs="宋体"/>
          <w:kern w:val="0"/>
          <w:szCs w:val="32"/>
        </w:rPr>
        <w:t xml:space="preserve">    （二）组织拟订全区行政管理体制和机构改革的总体方案并组织实施；拟订区委、区政府机构改革方案；审核区委、区政府各部门职能配置、机构设置、人员编制和领导职数；审核镇行政管理体制和机构改革方案；审核并管理全区各级各类人员编制总额。</w:t>
      </w:r>
      <w:r>
        <w:rPr>
          <w:rFonts w:hint="eastAsia" w:ascii="仿宋_GB2312" w:hAnsi="宋体" w:cs="宋体"/>
          <w:kern w:val="0"/>
          <w:szCs w:val="32"/>
        </w:rPr>
        <w:br w:type="textWrapping"/>
      </w:r>
      <w:r>
        <w:rPr>
          <w:rFonts w:hint="eastAsia" w:ascii="仿宋_GB2312" w:hAnsi="宋体" w:cs="宋体"/>
          <w:kern w:val="0"/>
          <w:szCs w:val="32"/>
        </w:rPr>
        <w:t xml:space="preserve">    （三）审核区人大、区政协、区法院、区检察院和区各民主党派、人民团体机关的职能配置、机构设置、人员编制和领导职数；审核区委、区政府或各部门派出机构的职能配置、机构设置、人员编制和领导职数。</w:t>
      </w:r>
      <w:r>
        <w:rPr>
          <w:rFonts w:hint="eastAsia" w:ascii="仿宋_GB2312" w:hAnsi="宋体" w:cs="宋体"/>
          <w:kern w:val="0"/>
          <w:szCs w:val="32"/>
        </w:rPr>
        <w:br w:type="textWrapping"/>
      </w:r>
      <w:r>
        <w:rPr>
          <w:rFonts w:hint="eastAsia" w:ascii="仿宋_GB2312" w:hAnsi="宋体" w:cs="宋体"/>
          <w:kern w:val="0"/>
          <w:szCs w:val="32"/>
        </w:rPr>
        <w:t xml:space="preserve">    （四）组织拟订全区事业单位管理体制和机构改革方案；审核区委、区政府直属事业机构或所属事业单位以及区直各部门所属事业单位的机构编制事宜；负责事业单位机构编制管理方面的其他重要事项，负责镇和街道所属事业单位管理体制改革和机构编制管理工作；负责全区事业单位法人登记管理和监督检查工作。</w:t>
      </w:r>
      <w:r>
        <w:rPr>
          <w:rFonts w:hint="eastAsia" w:ascii="仿宋_GB2312" w:hAnsi="宋体" w:cs="宋体"/>
          <w:kern w:val="0"/>
          <w:szCs w:val="32"/>
        </w:rPr>
        <w:br w:type="textWrapping"/>
      </w:r>
      <w:r>
        <w:rPr>
          <w:rFonts w:hint="eastAsia" w:ascii="仿宋_GB2312" w:hAnsi="宋体" w:cs="宋体"/>
          <w:kern w:val="0"/>
          <w:szCs w:val="32"/>
        </w:rPr>
        <w:t xml:space="preserve">    （五）协调区直各部门之间、区直各部门与镇、街、园区之间的职责分工。</w:t>
      </w:r>
      <w:r>
        <w:rPr>
          <w:rFonts w:hint="eastAsia" w:ascii="仿宋_GB2312" w:hAnsi="宋体" w:cs="宋体"/>
          <w:kern w:val="0"/>
          <w:szCs w:val="32"/>
        </w:rPr>
        <w:br w:type="textWrapping"/>
      </w:r>
      <w:r>
        <w:rPr>
          <w:rFonts w:hint="eastAsia" w:ascii="仿宋_GB2312" w:hAnsi="宋体" w:cs="宋体"/>
          <w:kern w:val="0"/>
          <w:szCs w:val="32"/>
        </w:rPr>
        <w:t xml:space="preserve">    （六）审核全区股级以上机关、事业单位机构的设置与调整事宜。</w:t>
      </w:r>
      <w:r>
        <w:rPr>
          <w:rFonts w:hint="eastAsia" w:ascii="仿宋_GB2312" w:hAnsi="宋体" w:cs="宋体"/>
          <w:kern w:val="0"/>
          <w:szCs w:val="32"/>
        </w:rPr>
        <w:br w:type="textWrapping"/>
      </w:r>
      <w:r>
        <w:rPr>
          <w:rFonts w:hint="eastAsia" w:ascii="仿宋_GB2312" w:hAnsi="宋体" w:cs="宋体"/>
          <w:kern w:val="0"/>
          <w:szCs w:val="32"/>
        </w:rPr>
        <w:t xml:space="preserve">    （七）指导辖区内园区行政管理体制改革工作；审核辖区内园区职能配置、机构设置、人员编制和领导职数。</w:t>
      </w:r>
      <w:r>
        <w:rPr>
          <w:rFonts w:hint="eastAsia" w:ascii="仿宋_GB2312" w:hAnsi="宋体" w:cs="宋体"/>
          <w:kern w:val="0"/>
          <w:szCs w:val="32"/>
        </w:rPr>
        <w:br w:type="textWrapping"/>
      </w:r>
      <w:r>
        <w:rPr>
          <w:rFonts w:hint="eastAsia" w:ascii="仿宋_GB2312" w:hAnsi="宋体" w:cs="宋体"/>
          <w:kern w:val="0"/>
          <w:szCs w:val="32"/>
        </w:rPr>
        <w:t xml:space="preserve">    （八）负责机构编制日常管理；负责机构编制实名制管理以及编制使用核准等工作；建立健全机构编制部门与有关部门的配合制约机制。</w:t>
      </w:r>
      <w:r>
        <w:rPr>
          <w:rFonts w:hint="eastAsia" w:ascii="仿宋_GB2312" w:hAnsi="宋体" w:cs="宋体"/>
          <w:kern w:val="0"/>
          <w:szCs w:val="32"/>
        </w:rPr>
        <w:br w:type="textWrapping"/>
      </w:r>
      <w:r>
        <w:rPr>
          <w:rFonts w:hint="eastAsia" w:ascii="仿宋_GB2312" w:hAnsi="宋体" w:cs="宋体"/>
          <w:kern w:val="0"/>
          <w:szCs w:val="32"/>
        </w:rPr>
        <w:t xml:space="preserve">    （九）负责对全区行政、事业单位管理体制和机构改革及机构编制执行情况的跟踪评估和监督检查，及时报告区编委并上报区委、区政府；负责受理违反机构编制法规、纪律的检举、控告和投诉，对违反机构编制法规、纪律问题进行调查处理。</w:t>
      </w:r>
      <w:r>
        <w:rPr>
          <w:rFonts w:hint="eastAsia" w:ascii="仿宋_GB2312" w:hAnsi="宋体" w:cs="宋体"/>
          <w:kern w:val="0"/>
          <w:szCs w:val="32"/>
        </w:rPr>
        <w:br w:type="textWrapping"/>
      </w:r>
      <w:r>
        <w:rPr>
          <w:rFonts w:hint="eastAsia" w:ascii="仿宋_GB2312" w:hAnsi="宋体" w:cs="宋体"/>
          <w:kern w:val="0"/>
          <w:szCs w:val="32"/>
        </w:rPr>
        <w:t xml:space="preserve">    （十）负责全区机构编制电子政务和信息化建设与管理工作；负责全区机构编制统计工作。</w:t>
      </w:r>
      <w:r>
        <w:rPr>
          <w:rFonts w:hint="eastAsia" w:ascii="仿宋_GB2312" w:hAnsi="宋体" w:cs="宋体"/>
          <w:kern w:val="0"/>
          <w:szCs w:val="32"/>
        </w:rPr>
        <w:br w:type="textWrapping"/>
      </w:r>
      <w:r>
        <w:rPr>
          <w:rFonts w:hint="eastAsia" w:ascii="仿宋_GB2312" w:hAnsi="宋体" w:cs="宋体"/>
          <w:kern w:val="0"/>
          <w:szCs w:val="32"/>
        </w:rPr>
        <w:t xml:space="preserve">    （十一）承办区委、区政府和区机构编制委员会交办的其他事项。</w:t>
      </w:r>
    </w:p>
    <w:p>
      <w:pPr>
        <w:ind w:firstLine="1273" w:firstLineChars="398"/>
        <w:rPr>
          <w:rFonts w:hint="eastAsia"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1650"/>
        <w:gridCol w:w="1682"/>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3"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650"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1682"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93"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秦皇岛市海港区编办</w:t>
            </w:r>
          </w:p>
        </w:tc>
        <w:tc>
          <w:tcPr>
            <w:tcW w:w="1650"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行政机关</w:t>
            </w:r>
          </w:p>
        </w:tc>
        <w:tc>
          <w:tcPr>
            <w:tcW w:w="1682"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财政拨款</w:t>
            </w:r>
          </w:p>
        </w:tc>
      </w:tr>
      <w:bookmarkEnd w:id="8"/>
    </w:tbl>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编办</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编办</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 xml:space="preserve">2017年度决算收入合计 </w:t>
      </w:r>
      <w:r>
        <w:rPr>
          <w:rFonts w:hint="eastAsia" w:ascii="仿宋_GB2312"/>
          <w:szCs w:val="32"/>
          <w:lang w:val="en-US" w:eastAsia="zh-CN"/>
        </w:rPr>
        <w:t>289.11</w:t>
      </w:r>
      <w:r>
        <w:rPr>
          <w:rFonts w:hint="eastAsia" w:ascii="仿宋_GB2312"/>
          <w:szCs w:val="32"/>
        </w:rPr>
        <w:t>万元，决算支出合计</w:t>
      </w:r>
      <w:r>
        <w:rPr>
          <w:rFonts w:hint="eastAsia" w:ascii="仿宋_GB2312"/>
          <w:szCs w:val="32"/>
          <w:lang w:val="en-US" w:eastAsia="zh-CN"/>
        </w:rPr>
        <w:t>300.82</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13.69</w:t>
      </w:r>
      <w:r>
        <w:rPr>
          <w:rFonts w:hint="eastAsia" w:ascii="仿宋_GB2312"/>
          <w:szCs w:val="32"/>
        </w:rPr>
        <w:t>万元，年末结转和结余</w:t>
      </w:r>
      <w:r>
        <w:rPr>
          <w:rFonts w:hint="eastAsia" w:ascii="仿宋_GB2312"/>
          <w:szCs w:val="32"/>
          <w:lang w:val="en-US" w:eastAsia="zh-CN"/>
        </w:rPr>
        <w:t>1.98</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hint="eastAsia" w:ascii="仿宋_GB2312"/>
          <w:szCs w:val="32"/>
          <w:lang w:val="en-US" w:eastAsia="zh-CN"/>
        </w:rPr>
        <w:t>14.16</w:t>
      </w:r>
      <w:r>
        <w:rPr>
          <w:rFonts w:hint="eastAsia" w:ascii="仿宋_GB2312"/>
          <w:szCs w:val="32"/>
        </w:rPr>
        <w:t>万元，原因是：</w:t>
      </w:r>
      <w:r>
        <w:rPr>
          <w:rFonts w:hint="eastAsia" w:ascii="仿宋_GB2312"/>
          <w:szCs w:val="32"/>
          <w:lang w:eastAsia="zh-CN"/>
        </w:rPr>
        <w:t>在职人员工资调整增加人员经费</w:t>
      </w:r>
      <w:r>
        <w:rPr>
          <w:rFonts w:hint="eastAsia" w:ascii="仿宋_GB2312"/>
          <w:szCs w:val="32"/>
        </w:rPr>
        <w:t>；与2</w:t>
      </w:r>
      <w:r>
        <w:rPr>
          <w:rFonts w:ascii="仿宋_GB2312"/>
          <w:szCs w:val="32"/>
        </w:rPr>
        <w:t>016</w:t>
      </w:r>
      <w:r>
        <w:rPr>
          <w:rFonts w:hint="eastAsia" w:ascii="仿宋_GB2312"/>
          <w:szCs w:val="32"/>
        </w:rPr>
        <w:t>年度收入相比，减少</w:t>
      </w:r>
      <w:r>
        <w:rPr>
          <w:rFonts w:hint="eastAsia" w:ascii="仿宋_GB2312"/>
          <w:szCs w:val="32"/>
          <w:lang w:val="en-US" w:eastAsia="zh-CN"/>
        </w:rPr>
        <w:t>19.64</w:t>
      </w:r>
      <w:r>
        <w:rPr>
          <w:rFonts w:hint="eastAsia" w:ascii="仿宋_GB2312"/>
          <w:szCs w:val="32"/>
        </w:rPr>
        <w:t>万元，原因是：</w:t>
      </w:r>
      <w:r>
        <w:rPr>
          <w:rFonts w:hint="eastAsia" w:ascii="仿宋_GB2312"/>
          <w:szCs w:val="32"/>
          <w:lang w:eastAsia="zh-CN"/>
        </w:rPr>
        <w:t>公用经费和专项经费收入相比减少</w:t>
      </w:r>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w:t>
      </w:r>
      <w:r>
        <w:rPr>
          <w:rFonts w:hint="eastAsia" w:ascii="仿宋_GB2312"/>
          <w:szCs w:val="32"/>
          <w:lang w:val="en-US" w:eastAsia="zh-CN"/>
        </w:rPr>
        <w:t>25.87</w:t>
      </w:r>
      <w:r>
        <w:rPr>
          <w:rFonts w:hint="eastAsia" w:ascii="仿宋_GB2312"/>
          <w:szCs w:val="32"/>
        </w:rPr>
        <w:t>万元，原因是：</w:t>
      </w:r>
      <w:r>
        <w:rPr>
          <w:rFonts w:hint="eastAsia" w:ascii="仿宋_GB2312"/>
          <w:szCs w:val="32"/>
          <w:lang w:val="en-US" w:eastAsia="zh-CN"/>
        </w:rPr>
        <w:t>2017年开展行政审批改革工作增加经费支出</w:t>
      </w:r>
      <w:r>
        <w:rPr>
          <w:rFonts w:hint="eastAsia" w:ascii="仿宋_GB2312"/>
          <w:szCs w:val="32"/>
        </w:rPr>
        <w:t>；与2</w:t>
      </w:r>
      <w:r>
        <w:rPr>
          <w:rFonts w:ascii="仿宋_GB2312"/>
          <w:szCs w:val="32"/>
        </w:rPr>
        <w:t>016</w:t>
      </w:r>
      <w:r>
        <w:rPr>
          <w:rFonts w:hint="eastAsia" w:ascii="仿宋_GB2312"/>
          <w:szCs w:val="32"/>
        </w:rPr>
        <w:t>年度支出相比，增加</w:t>
      </w:r>
      <w:r>
        <w:rPr>
          <w:rFonts w:hint="eastAsia" w:ascii="仿宋_GB2312"/>
          <w:szCs w:val="32"/>
          <w:lang w:val="en-US" w:eastAsia="zh-CN"/>
        </w:rPr>
        <w:t>3.27</w:t>
      </w:r>
      <w:r>
        <w:rPr>
          <w:rFonts w:hint="eastAsia" w:ascii="仿宋_GB2312"/>
          <w:szCs w:val="32"/>
        </w:rPr>
        <w:t>万元，原因是：</w:t>
      </w:r>
      <w:r>
        <w:rPr>
          <w:rFonts w:hint="eastAsia" w:ascii="仿宋_GB2312"/>
          <w:szCs w:val="32"/>
          <w:lang w:val="en-US" w:eastAsia="zh-CN"/>
        </w:rPr>
        <w:t>2017年行政审批改革工作增加专项公用经费支出</w:t>
      </w:r>
      <w:r>
        <w:rPr>
          <w:rFonts w:hint="eastAsia" w:ascii="仿宋_GB2312"/>
          <w:szCs w:val="32"/>
        </w:rPr>
        <w:t>。</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ind w:firstLine="640"/>
        <w:rPr>
          <w:rFonts w:hint="eastAsia" w:ascii="仿宋_GB2312"/>
          <w:szCs w:val="32"/>
          <w:lang w:eastAsia="zh-CN"/>
        </w:rPr>
      </w:pPr>
      <w:r>
        <w:rPr>
          <w:rFonts w:hint="eastAsia" w:ascii="仿宋_GB2312"/>
          <w:szCs w:val="32"/>
        </w:rPr>
        <w:t xml:space="preserve">2017年度收入合计 </w:t>
      </w:r>
      <w:r>
        <w:rPr>
          <w:rFonts w:hint="eastAsia" w:ascii="仿宋_GB2312"/>
          <w:szCs w:val="32"/>
          <w:lang w:val="en-US" w:eastAsia="zh-CN"/>
        </w:rPr>
        <w:t>289.11</w:t>
      </w:r>
      <w:r>
        <w:rPr>
          <w:rFonts w:hint="eastAsia" w:ascii="仿宋_GB2312"/>
          <w:szCs w:val="32"/>
        </w:rPr>
        <w:t>万元，其中：财政拨款收入</w:t>
      </w:r>
      <w:r>
        <w:rPr>
          <w:rFonts w:hint="eastAsia" w:ascii="仿宋_GB2312"/>
          <w:szCs w:val="32"/>
          <w:lang w:val="en-US" w:eastAsia="zh-CN"/>
        </w:rPr>
        <w:t>289.11</w:t>
      </w:r>
      <w:r>
        <w:rPr>
          <w:rFonts w:hint="eastAsia" w:ascii="仿宋_GB2312"/>
          <w:szCs w:val="32"/>
        </w:rPr>
        <w:t>万元，占总收入</w:t>
      </w:r>
      <w:r>
        <w:rPr>
          <w:rFonts w:hint="eastAsia" w:ascii="仿宋_GB2312"/>
          <w:szCs w:val="32"/>
          <w:lang w:val="en-US" w:eastAsia="zh-CN"/>
        </w:rPr>
        <w:t>100</w:t>
      </w:r>
      <w:r>
        <w:rPr>
          <w:rFonts w:hint="eastAsia" w:ascii="仿宋_GB2312"/>
          <w:szCs w:val="32"/>
        </w:rPr>
        <w:t>%</w:t>
      </w:r>
      <w:r>
        <w:rPr>
          <w:rFonts w:hint="eastAsia" w:ascii="仿宋_GB2312"/>
          <w:szCs w:val="32"/>
          <w:lang w:eastAsia="zh-CN"/>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hint="eastAsia" w:ascii="仿宋_GB2312"/>
          <w:szCs w:val="32"/>
        </w:rPr>
      </w:pPr>
      <w:r>
        <w:rPr>
          <w:rFonts w:hint="eastAsia" w:ascii="仿宋_GB2312"/>
          <w:szCs w:val="32"/>
        </w:rPr>
        <w:t>2017年度支出合计</w:t>
      </w:r>
      <w:r>
        <w:rPr>
          <w:rFonts w:hint="eastAsia" w:ascii="仿宋_GB2312"/>
          <w:szCs w:val="32"/>
          <w:lang w:val="en-US" w:eastAsia="zh-CN"/>
        </w:rPr>
        <w:t>300.82</w:t>
      </w:r>
      <w:r>
        <w:rPr>
          <w:rFonts w:hint="eastAsia" w:ascii="仿宋_GB2312"/>
          <w:szCs w:val="32"/>
        </w:rPr>
        <w:t>万元，其中：</w:t>
      </w:r>
      <w:bookmarkStart w:id="16" w:name="OLE_LINK35"/>
      <w:r>
        <w:rPr>
          <w:rFonts w:hint="eastAsia" w:ascii="仿宋_GB2312"/>
          <w:szCs w:val="32"/>
        </w:rPr>
        <w:t>基本支出</w:t>
      </w:r>
      <w:r>
        <w:rPr>
          <w:rFonts w:hint="eastAsia" w:ascii="仿宋_GB2312"/>
          <w:szCs w:val="32"/>
          <w:lang w:val="en-US" w:eastAsia="zh-CN"/>
        </w:rPr>
        <w:t>300.82</w:t>
      </w:r>
      <w:r>
        <w:rPr>
          <w:rFonts w:hint="eastAsia" w:ascii="仿宋_GB2312"/>
          <w:szCs w:val="32"/>
        </w:rPr>
        <w:t>万元，占总支出</w:t>
      </w:r>
      <w:r>
        <w:rPr>
          <w:rFonts w:hint="eastAsia" w:ascii="仿宋_GB2312"/>
          <w:szCs w:val="32"/>
          <w:lang w:val="en-US" w:eastAsia="zh-CN"/>
        </w:rPr>
        <w:t>100</w:t>
      </w:r>
      <w:r>
        <w:rPr>
          <w:rFonts w:hint="eastAsia" w:ascii="仿宋_GB2312"/>
          <w:szCs w:val="32"/>
        </w:rPr>
        <w:t>%；</w:t>
      </w:r>
      <w:bookmarkEnd w:id="16"/>
      <w:r>
        <w:rPr>
          <w:rFonts w:hint="eastAsia" w:ascii="仿宋_GB2312"/>
          <w:szCs w:val="32"/>
        </w:rPr>
        <w:t>项目支出</w:t>
      </w:r>
      <w:r>
        <w:rPr>
          <w:rFonts w:hint="eastAsia" w:ascii="仿宋_GB2312"/>
          <w:szCs w:val="32"/>
          <w:lang w:val="en-US" w:eastAsia="zh-CN"/>
        </w:rPr>
        <w:t>0</w:t>
      </w:r>
      <w:r>
        <w:rPr>
          <w:rFonts w:hint="eastAsia" w:ascii="仿宋_GB2312"/>
          <w:szCs w:val="32"/>
        </w:rPr>
        <w:t>万元，占总支出</w:t>
      </w:r>
      <w:r>
        <w:rPr>
          <w:rFonts w:hint="eastAsia" w:ascii="仿宋_GB2312"/>
          <w:szCs w:val="32"/>
          <w:lang w:val="en-US" w:eastAsia="zh-CN"/>
        </w:rPr>
        <w:t>0</w:t>
      </w:r>
      <w:r>
        <w:rPr>
          <w:rFonts w:hint="eastAsia" w:ascii="仿宋_GB2312"/>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7" w:name="OLE_LINK29"/>
      <w:r>
        <w:rPr>
          <w:rFonts w:hint="eastAsia" w:ascii="仿宋_GB2312"/>
          <w:szCs w:val="32"/>
        </w:rPr>
        <w:t>2017年度财政拨款收入决算合计</w:t>
      </w:r>
      <w:r>
        <w:rPr>
          <w:rFonts w:hint="eastAsia" w:ascii="仿宋_GB2312"/>
          <w:szCs w:val="32"/>
          <w:lang w:val="en-US" w:eastAsia="zh-CN"/>
        </w:rPr>
        <w:t>289.11</w:t>
      </w:r>
      <w:r>
        <w:rPr>
          <w:rFonts w:hint="eastAsia" w:ascii="仿宋_GB2312"/>
          <w:szCs w:val="32"/>
        </w:rPr>
        <w:t>万元，财政拨款支出决算合计</w:t>
      </w:r>
      <w:r>
        <w:rPr>
          <w:rFonts w:hint="eastAsia" w:ascii="仿宋_GB2312"/>
          <w:szCs w:val="32"/>
          <w:lang w:val="en-US" w:eastAsia="zh-CN"/>
        </w:rPr>
        <w:t>300.82</w:t>
      </w:r>
      <w:r>
        <w:rPr>
          <w:rFonts w:hint="eastAsia" w:ascii="仿宋_GB2312"/>
          <w:szCs w:val="32"/>
        </w:rPr>
        <w:t>万元，年初结转和结余</w:t>
      </w:r>
      <w:r>
        <w:rPr>
          <w:rFonts w:hint="eastAsia" w:ascii="仿宋_GB2312"/>
          <w:szCs w:val="32"/>
          <w:lang w:val="en-US" w:eastAsia="zh-CN"/>
        </w:rPr>
        <w:t>13.69</w:t>
      </w:r>
      <w:r>
        <w:rPr>
          <w:rFonts w:hint="eastAsia" w:ascii="仿宋_GB2312"/>
          <w:szCs w:val="32"/>
        </w:rPr>
        <w:t>万元，年末结转和结余</w:t>
      </w:r>
      <w:r>
        <w:rPr>
          <w:rFonts w:hint="eastAsia" w:ascii="仿宋_GB2312"/>
          <w:szCs w:val="32"/>
          <w:lang w:val="en-US" w:eastAsia="zh-CN"/>
        </w:rPr>
        <w:t>1.98</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hint="eastAsia" w:ascii="仿宋_GB2312"/>
          <w:szCs w:val="32"/>
          <w:lang w:val="en-US" w:eastAsia="zh-CN"/>
        </w:rPr>
        <w:t>14.16</w:t>
      </w:r>
      <w:r>
        <w:rPr>
          <w:rFonts w:hint="eastAsia" w:ascii="仿宋_GB2312"/>
          <w:szCs w:val="32"/>
        </w:rPr>
        <w:t>万元，原因是</w:t>
      </w:r>
      <w:r>
        <w:rPr>
          <w:rFonts w:hint="eastAsia" w:ascii="仿宋_GB2312"/>
          <w:szCs w:val="32"/>
          <w:lang w:eastAsia="zh-CN"/>
        </w:rPr>
        <w:t>：在职人员调整工资增加人员经费</w:t>
      </w:r>
      <w:r>
        <w:rPr>
          <w:rFonts w:hint="eastAsia" w:ascii="仿宋_GB2312"/>
          <w:szCs w:val="32"/>
        </w:rPr>
        <w:t>；与2</w:t>
      </w:r>
      <w:r>
        <w:rPr>
          <w:rFonts w:ascii="仿宋_GB2312"/>
          <w:szCs w:val="32"/>
        </w:rPr>
        <w:t>016</w:t>
      </w:r>
      <w:r>
        <w:rPr>
          <w:rFonts w:hint="eastAsia" w:ascii="仿宋_GB2312"/>
          <w:szCs w:val="32"/>
        </w:rPr>
        <w:t>年度相比，减少</w:t>
      </w:r>
      <w:r>
        <w:rPr>
          <w:rFonts w:hint="eastAsia" w:ascii="仿宋_GB2312"/>
          <w:szCs w:val="32"/>
          <w:lang w:val="en-US" w:eastAsia="zh-CN"/>
        </w:rPr>
        <w:t>19.64</w:t>
      </w:r>
      <w:r>
        <w:rPr>
          <w:rFonts w:hint="eastAsia" w:ascii="仿宋_GB2312"/>
          <w:szCs w:val="32"/>
        </w:rPr>
        <w:t>万元，原因是：</w:t>
      </w:r>
      <w:r>
        <w:rPr>
          <w:rFonts w:hint="eastAsia" w:ascii="仿宋_GB2312"/>
          <w:szCs w:val="32"/>
          <w:lang w:eastAsia="zh-CN"/>
        </w:rPr>
        <w:t>因人员调出人员经费减少，公用经费和专项经费相比也减少</w:t>
      </w:r>
      <w:r>
        <w:rPr>
          <w:rFonts w:hint="eastAsia" w:ascii="仿宋_GB2312"/>
          <w:szCs w:val="32"/>
        </w:rPr>
        <w:t>。</w:t>
      </w:r>
      <w:bookmarkEnd w:id="17"/>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w:t>
      </w:r>
      <w:r>
        <w:rPr>
          <w:rFonts w:hint="eastAsia" w:ascii="仿宋_GB2312"/>
          <w:szCs w:val="32"/>
          <w:lang w:val="en-US" w:eastAsia="zh-CN"/>
        </w:rPr>
        <w:t>25.87</w:t>
      </w:r>
      <w:r>
        <w:rPr>
          <w:rFonts w:hint="eastAsia" w:ascii="仿宋_GB2312"/>
          <w:szCs w:val="32"/>
        </w:rPr>
        <w:t>万元，原因是：</w:t>
      </w:r>
      <w:r>
        <w:rPr>
          <w:rFonts w:hint="eastAsia" w:ascii="仿宋_GB2312"/>
          <w:szCs w:val="32"/>
          <w:lang w:val="en-US" w:eastAsia="zh-CN"/>
        </w:rPr>
        <w:t>2017年开展行政审批改革工作增加专项经费支出</w:t>
      </w:r>
      <w:r>
        <w:rPr>
          <w:rFonts w:hint="eastAsia" w:ascii="仿宋_GB2312"/>
          <w:szCs w:val="32"/>
        </w:rPr>
        <w:t>；与2</w:t>
      </w:r>
      <w:r>
        <w:rPr>
          <w:rFonts w:ascii="仿宋_GB2312"/>
          <w:szCs w:val="32"/>
        </w:rPr>
        <w:t>016</w:t>
      </w:r>
      <w:r>
        <w:rPr>
          <w:rFonts w:hint="eastAsia" w:ascii="仿宋_GB2312"/>
          <w:szCs w:val="32"/>
        </w:rPr>
        <w:t>年度支出相比，增加</w:t>
      </w:r>
      <w:r>
        <w:rPr>
          <w:rFonts w:hint="eastAsia" w:ascii="仿宋_GB2312"/>
          <w:szCs w:val="32"/>
          <w:lang w:val="en-US" w:eastAsia="zh-CN"/>
        </w:rPr>
        <w:t>3.27</w:t>
      </w:r>
      <w:r>
        <w:rPr>
          <w:rFonts w:hint="eastAsia" w:ascii="仿宋_GB2312"/>
          <w:szCs w:val="32"/>
        </w:rPr>
        <w:t>万元，原因是：</w:t>
      </w:r>
      <w:r>
        <w:rPr>
          <w:rFonts w:hint="eastAsia" w:ascii="仿宋_GB2312"/>
          <w:szCs w:val="32"/>
          <w:lang w:val="en-US" w:eastAsia="zh-CN"/>
        </w:rPr>
        <w:t>2017年行政审批改革工作增加专项公用经费支出</w:t>
      </w:r>
      <w:r>
        <w:rPr>
          <w:rFonts w:hint="eastAsia" w:ascii="仿宋_GB2312"/>
          <w:szCs w:val="32"/>
        </w:rPr>
        <w:t>。</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6"/>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rPr>
              <w:t>0</w:t>
            </w:r>
            <w:r>
              <w:rPr>
                <w:rFonts w:hint="eastAsia" w:ascii="仿宋_GB2312"/>
                <w:sz w:val="24"/>
                <w:szCs w:val="24"/>
                <w:lang w:val="en-US" w:eastAsia="zh-CN"/>
              </w:rPr>
              <w:t>.35</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rPr>
              <w:t>0</w:t>
            </w:r>
            <w:r>
              <w:rPr>
                <w:rFonts w:hint="eastAsia" w:ascii="仿宋_GB2312"/>
                <w:sz w:val="24"/>
                <w:szCs w:val="24"/>
                <w:lang w:val="en-US" w:eastAsia="zh-CN"/>
              </w:rPr>
              <w:t>.64</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w:t>
            </w:r>
            <w:r>
              <w:rPr>
                <w:rFonts w:hint="eastAsia" w:ascii="仿宋_GB2312"/>
                <w:sz w:val="24"/>
                <w:szCs w:val="24"/>
              </w:rPr>
              <w:t>0</w:t>
            </w:r>
            <w:r>
              <w:rPr>
                <w:rFonts w:hint="eastAsia" w:ascii="仿宋_GB2312"/>
                <w:sz w:val="24"/>
                <w:szCs w:val="24"/>
                <w:lang w:val="en-US" w:eastAsia="zh-CN"/>
              </w:rPr>
              <w:t>.35</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rPr>
              <w:t>0</w:t>
            </w:r>
            <w:r>
              <w:rPr>
                <w:rFonts w:hint="eastAsia" w:ascii="仿宋_GB2312"/>
                <w:sz w:val="24"/>
                <w:szCs w:val="24"/>
                <w:lang w:val="en-US" w:eastAsia="zh-CN"/>
              </w:rPr>
              <w:t>.64</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w:t>
            </w:r>
          </w:p>
        </w:tc>
        <w:tc>
          <w:tcPr>
            <w:tcW w:w="1417"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jc w:val="center"/>
              <w:rPr>
                <w:rFonts w:hint="eastAsia" w:ascii="仿宋_GB2312"/>
                <w:sz w:val="24"/>
                <w:szCs w:val="24"/>
              </w:rPr>
            </w:pPr>
            <w:bookmarkStart w:id="18" w:name="_Hlk3185114"/>
            <w:r>
              <w:rPr>
                <w:rFonts w:hint="eastAsia" w:ascii="仿宋_GB2312"/>
                <w:sz w:val="24"/>
                <w:szCs w:val="24"/>
              </w:rPr>
              <w:t>其中：公务用车购置费</w:t>
            </w:r>
          </w:p>
        </w:tc>
        <w:tc>
          <w:tcPr>
            <w:tcW w:w="1446" w:type="dxa"/>
            <w:vAlign w:val="center"/>
          </w:tcPr>
          <w:p>
            <w:pPr>
              <w:spacing w:line="400" w:lineRule="exact"/>
              <w:ind w:firstLine="0" w:firstLineChars="0"/>
              <w:jc w:val="center"/>
              <w:rPr>
                <w:rFonts w:hint="eastAsia" w:ascii="仿宋_GB2312"/>
                <w:sz w:val="24"/>
                <w:szCs w:val="24"/>
              </w:rPr>
            </w:pPr>
            <w:r>
              <w:rPr>
                <w:rFonts w:hint="eastAsia" w:ascii="仿宋_GB2312"/>
                <w:sz w:val="24"/>
                <w:szCs w:val="24"/>
              </w:rPr>
              <w:t>0</w:t>
            </w:r>
          </w:p>
        </w:tc>
        <w:tc>
          <w:tcPr>
            <w:tcW w:w="1446" w:type="dxa"/>
            <w:vAlign w:val="center"/>
          </w:tcPr>
          <w:p>
            <w:pPr>
              <w:spacing w:line="400" w:lineRule="exact"/>
              <w:ind w:firstLine="0" w:firstLineChars="0"/>
              <w:jc w:val="center"/>
              <w:rPr>
                <w:rFonts w:hint="eastAsia" w:ascii="仿宋_GB2312"/>
                <w:sz w:val="24"/>
                <w:szCs w:val="24"/>
              </w:rPr>
            </w:pPr>
            <w:r>
              <w:rPr>
                <w:rFonts w:hint="eastAsia" w:ascii="仿宋_GB2312"/>
                <w:sz w:val="24"/>
                <w:szCs w:val="24"/>
              </w:rPr>
              <w:t>0</w:t>
            </w:r>
          </w:p>
        </w:tc>
        <w:tc>
          <w:tcPr>
            <w:tcW w:w="1446" w:type="dxa"/>
            <w:vAlign w:val="center"/>
          </w:tcPr>
          <w:p>
            <w:pPr>
              <w:spacing w:line="400" w:lineRule="exact"/>
              <w:ind w:firstLine="0" w:firstLineChars="0"/>
              <w:jc w:val="center"/>
              <w:rPr>
                <w:rFonts w:hint="eastAsia" w:ascii="仿宋_GB2312"/>
                <w:sz w:val="24"/>
                <w:szCs w:val="24"/>
              </w:rPr>
            </w:pPr>
            <w:r>
              <w:rPr>
                <w:rFonts w:hint="eastAsia" w:ascii="仿宋_GB2312"/>
                <w:sz w:val="24"/>
                <w:szCs w:val="24"/>
              </w:rPr>
              <w:t>0</w:t>
            </w:r>
          </w:p>
        </w:tc>
        <w:tc>
          <w:tcPr>
            <w:tcW w:w="1474" w:type="dxa"/>
            <w:vAlign w:val="center"/>
          </w:tcPr>
          <w:p>
            <w:pPr>
              <w:spacing w:line="400" w:lineRule="exact"/>
              <w:ind w:firstLine="0" w:firstLineChars="0"/>
              <w:jc w:val="center"/>
              <w:rPr>
                <w:rFonts w:hint="eastAsia" w:ascii="仿宋_GB2312"/>
                <w:sz w:val="24"/>
                <w:szCs w:val="24"/>
              </w:rPr>
            </w:pPr>
            <w:r>
              <w:rPr>
                <w:rFonts w:hint="eastAsia" w:ascii="仿宋_GB2312"/>
                <w:sz w:val="24"/>
                <w:szCs w:val="24"/>
              </w:rPr>
              <w:t>0</w:t>
            </w:r>
          </w:p>
        </w:tc>
        <w:tc>
          <w:tcPr>
            <w:tcW w:w="1417" w:type="dxa"/>
            <w:vAlign w:val="center"/>
          </w:tcPr>
          <w:p>
            <w:pPr>
              <w:spacing w:line="400" w:lineRule="exact"/>
              <w:ind w:firstLine="0" w:firstLineChars="0"/>
              <w:jc w:val="center"/>
              <w:rPr>
                <w:rFonts w:hint="eastAsia" w:ascii="仿宋_GB2312"/>
                <w:sz w:val="24"/>
                <w:szCs w:val="24"/>
                <w:lang w:val="en-US" w:eastAsia="zh-CN"/>
              </w:rPr>
            </w:pPr>
            <w:r>
              <w:rPr>
                <w:rFonts w:hint="eastAsia" w:ascii="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jc w:val="center"/>
              <w:rPr>
                <w:rFonts w:hint="eastAsia" w:ascii="仿宋_GB2312"/>
                <w:sz w:val="24"/>
                <w:szCs w:val="24"/>
              </w:rPr>
            </w:pPr>
            <w:r>
              <w:rPr>
                <w:rFonts w:hint="eastAsia" w:ascii="仿宋_GB2312"/>
                <w:sz w:val="24"/>
                <w:szCs w:val="24"/>
              </w:rPr>
              <w:t>其中：公务用车维护费</w:t>
            </w:r>
          </w:p>
        </w:tc>
        <w:tc>
          <w:tcPr>
            <w:tcW w:w="1446" w:type="dxa"/>
            <w:vAlign w:val="center"/>
          </w:tcPr>
          <w:p>
            <w:pPr>
              <w:spacing w:line="400" w:lineRule="exact"/>
              <w:ind w:firstLine="0" w:firstLineChars="0"/>
              <w:jc w:val="center"/>
              <w:rPr>
                <w:rFonts w:hint="eastAsia" w:ascii="仿宋_GB2312"/>
                <w:sz w:val="24"/>
                <w:szCs w:val="24"/>
              </w:rPr>
            </w:pPr>
            <w:r>
              <w:rPr>
                <w:rFonts w:hint="eastAsia" w:ascii="仿宋_GB2312"/>
                <w:sz w:val="24"/>
                <w:szCs w:val="24"/>
              </w:rPr>
              <w:t>0</w:t>
            </w:r>
          </w:p>
        </w:tc>
        <w:tc>
          <w:tcPr>
            <w:tcW w:w="1446" w:type="dxa"/>
            <w:vAlign w:val="center"/>
          </w:tcPr>
          <w:p>
            <w:pPr>
              <w:spacing w:line="400" w:lineRule="exact"/>
              <w:ind w:firstLine="0" w:firstLineChars="0"/>
              <w:jc w:val="center"/>
              <w:rPr>
                <w:rFonts w:hint="eastAsia" w:ascii="仿宋_GB2312"/>
                <w:sz w:val="24"/>
                <w:szCs w:val="24"/>
              </w:rPr>
            </w:pPr>
            <w:r>
              <w:rPr>
                <w:rFonts w:hint="eastAsia" w:ascii="仿宋_GB2312"/>
                <w:sz w:val="24"/>
                <w:szCs w:val="24"/>
              </w:rPr>
              <w:t>0</w:t>
            </w:r>
          </w:p>
        </w:tc>
        <w:tc>
          <w:tcPr>
            <w:tcW w:w="1446" w:type="dxa"/>
            <w:vAlign w:val="center"/>
          </w:tcPr>
          <w:p>
            <w:pPr>
              <w:spacing w:line="400" w:lineRule="exact"/>
              <w:ind w:firstLine="0" w:firstLineChars="0"/>
              <w:jc w:val="center"/>
              <w:rPr>
                <w:rFonts w:hint="eastAsia" w:ascii="仿宋_GB2312"/>
                <w:sz w:val="24"/>
                <w:szCs w:val="24"/>
                <w:lang w:val="en-US" w:eastAsia="zh-CN"/>
              </w:rPr>
            </w:pPr>
            <w:r>
              <w:rPr>
                <w:rFonts w:hint="eastAsia" w:ascii="仿宋_GB2312"/>
                <w:sz w:val="24"/>
                <w:szCs w:val="24"/>
              </w:rPr>
              <w:t>0</w:t>
            </w:r>
            <w:r>
              <w:rPr>
                <w:rFonts w:hint="eastAsia" w:ascii="仿宋_GB2312"/>
                <w:sz w:val="24"/>
                <w:szCs w:val="24"/>
                <w:lang w:val="en-US" w:eastAsia="zh-CN"/>
              </w:rPr>
              <w:t>.64</w:t>
            </w:r>
          </w:p>
        </w:tc>
        <w:tc>
          <w:tcPr>
            <w:tcW w:w="1474" w:type="dxa"/>
            <w:vAlign w:val="center"/>
          </w:tcPr>
          <w:p>
            <w:pPr>
              <w:spacing w:line="400" w:lineRule="exact"/>
              <w:ind w:firstLine="0" w:firstLineChars="0"/>
              <w:jc w:val="center"/>
              <w:rPr>
                <w:rFonts w:hint="eastAsia" w:ascii="仿宋_GB2312"/>
                <w:sz w:val="24"/>
                <w:szCs w:val="24"/>
              </w:rPr>
            </w:pPr>
            <w:r>
              <w:rPr>
                <w:rFonts w:hint="eastAsia" w:ascii="仿宋_GB2312"/>
                <w:sz w:val="24"/>
                <w:szCs w:val="24"/>
              </w:rPr>
              <w:t>0</w:t>
            </w:r>
          </w:p>
        </w:tc>
        <w:tc>
          <w:tcPr>
            <w:tcW w:w="1417" w:type="dxa"/>
            <w:vAlign w:val="center"/>
          </w:tcPr>
          <w:p>
            <w:pPr>
              <w:spacing w:line="400" w:lineRule="exact"/>
              <w:ind w:firstLine="0" w:firstLineChars="0"/>
              <w:jc w:val="center"/>
              <w:rPr>
                <w:rFonts w:hint="eastAsia" w:ascii="仿宋_GB2312"/>
                <w:sz w:val="24"/>
                <w:szCs w:val="24"/>
                <w:lang w:val="en-US" w:eastAsia="zh-CN"/>
              </w:rPr>
            </w:pPr>
            <w:r>
              <w:rPr>
                <w:rFonts w:hint="eastAsia" w:ascii="仿宋_GB2312"/>
                <w:sz w:val="24"/>
                <w:szCs w:val="24"/>
                <w:lang w:val="en-US" w:eastAsia="zh-CN"/>
              </w:rPr>
              <w:t>-0.64</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rPr>
              <w:t>0</w:t>
            </w:r>
            <w:r>
              <w:rPr>
                <w:rFonts w:hint="eastAsia" w:ascii="仿宋_GB2312"/>
                <w:sz w:val="24"/>
                <w:szCs w:val="24"/>
                <w:lang w:val="en-US" w:eastAsia="zh-CN"/>
              </w:rPr>
              <w:t>.35</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w:t>
            </w:r>
            <w:r>
              <w:rPr>
                <w:rFonts w:hint="eastAsia" w:ascii="仿宋_GB2312"/>
                <w:sz w:val="24"/>
                <w:szCs w:val="24"/>
              </w:rPr>
              <w:t>0</w:t>
            </w:r>
            <w:r>
              <w:rPr>
                <w:rFonts w:hint="eastAsia" w:ascii="仿宋_GB2312"/>
                <w:sz w:val="24"/>
                <w:szCs w:val="24"/>
                <w:lang w:val="en-US" w:eastAsia="zh-CN"/>
              </w:rPr>
              <w:t>.35</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0</w:t>
      </w:r>
      <w:r>
        <w:rPr>
          <w:rFonts w:hint="eastAsia" w:ascii="仿宋_GB2312"/>
          <w:szCs w:val="32"/>
        </w:rPr>
        <w:t>万元，与年初预算相比减少</w:t>
      </w:r>
      <w:r>
        <w:rPr>
          <w:rFonts w:hint="eastAsia" w:ascii="仿宋_GB2312"/>
          <w:szCs w:val="32"/>
          <w:lang w:val="en-US" w:eastAsia="zh-CN"/>
        </w:rPr>
        <w:t>0.35</w:t>
      </w:r>
      <w:r>
        <w:rPr>
          <w:rFonts w:hint="eastAsia" w:ascii="仿宋_GB2312"/>
          <w:szCs w:val="32"/>
        </w:rPr>
        <w:t>万元，原因是：</w:t>
      </w:r>
      <w:r>
        <w:rPr>
          <w:rFonts w:hint="eastAsia" w:ascii="仿宋_GB2312"/>
          <w:szCs w:val="32"/>
          <w:lang w:val="en-US" w:eastAsia="zh-CN"/>
        </w:rPr>
        <w:t>2017年度未发生“三公经费”支出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hint="eastAsia" w:ascii="仿宋_GB2312"/>
          <w:szCs w:val="32"/>
          <w:lang w:val="en-US" w:eastAsia="zh-CN"/>
        </w:rPr>
        <w:t>0.64</w:t>
      </w:r>
      <w:r>
        <w:rPr>
          <w:rFonts w:hint="eastAsia" w:ascii="仿宋_GB2312"/>
          <w:szCs w:val="32"/>
        </w:rPr>
        <w:t>万元，原因是：</w:t>
      </w:r>
      <w:r>
        <w:rPr>
          <w:rFonts w:hint="eastAsia" w:ascii="仿宋_GB2312"/>
          <w:szCs w:val="32"/>
          <w:lang w:val="en-US" w:eastAsia="zh-CN"/>
        </w:rPr>
        <w:t>2017年未发生三公经费支出，2016年4月公车制度改革，2017年公车运行费用无支出</w:t>
      </w:r>
      <w:r>
        <w:rPr>
          <w:rFonts w:hint="eastAsia" w:ascii="仿宋_GB2312"/>
          <w:szCs w:val="32"/>
        </w:rPr>
        <w:t>。</w:t>
      </w:r>
    </w:p>
    <w:p>
      <w:pPr>
        <w:ind w:firstLine="643"/>
        <w:rPr>
          <w:rFonts w:ascii="仿宋_GB2312"/>
          <w:color w:val="000000" w:themeColor="text1"/>
          <w:szCs w:val="32"/>
          <w14:textFill>
            <w14:solidFill>
              <w14:schemeClr w14:val="tx1"/>
            </w14:solidFill>
          </w14:textFill>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2017年未发生因公出国费用</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年初预算未安排，</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eastAsia="zh-CN"/>
          <w14:textFill>
            <w14:solidFill>
              <w14:schemeClr w14:val="tx1"/>
            </w14:solidFill>
          </w14:textFill>
        </w:rPr>
        <w:t>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hint="eastAsia" w:ascii="仿宋_GB2312"/>
          <w:szCs w:val="32"/>
          <w:lang w:val="en-US" w:eastAsia="zh-CN"/>
        </w:rPr>
        <w:t>0</w:t>
      </w:r>
      <w:r>
        <w:rPr>
          <w:rFonts w:hint="eastAsia" w:ascii="仿宋_GB2312"/>
          <w:szCs w:val="32"/>
        </w:rPr>
        <w:t>万元，年初预算</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2016年度决算数为0.64万元，</w:t>
      </w:r>
      <w:r>
        <w:rPr>
          <w:rFonts w:hint="eastAsia" w:ascii="仿宋_GB2312"/>
          <w:szCs w:val="32"/>
        </w:rPr>
        <w:t>原因是：</w:t>
      </w:r>
      <w:r>
        <w:rPr>
          <w:rFonts w:hint="eastAsia" w:ascii="仿宋_GB2312"/>
          <w:szCs w:val="32"/>
          <w:lang w:val="en-US" w:eastAsia="zh-CN"/>
        </w:rPr>
        <w:t>2017年度未发生公务用车购置及运行维护费，</w:t>
      </w:r>
      <w:r>
        <w:rPr>
          <w:rFonts w:hint="eastAsia" w:ascii="仿宋_GB2312"/>
          <w:szCs w:val="32"/>
          <w:lang w:eastAsia="zh-CN"/>
        </w:rPr>
        <w:t>因公务用车改革我单位取消公务用车</w:t>
      </w:r>
      <w:r>
        <w:rPr>
          <w:rFonts w:hint="eastAsia" w:ascii="仿宋_GB2312"/>
          <w:szCs w:val="32"/>
        </w:rPr>
        <w:t>，</w:t>
      </w:r>
      <w:r>
        <w:rPr>
          <w:rFonts w:hint="eastAsia" w:ascii="仿宋_GB2312"/>
          <w:szCs w:val="32"/>
          <w:lang w:val="en-US" w:eastAsia="zh-CN"/>
        </w:rPr>
        <w:t>年初预算未安排，2016年也未发生公务用车购置及运行维护费</w:t>
      </w:r>
      <w:r>
        <w:rPr>
          <w:rFonts w:hint="eastAsia" w:ascii="仿宋_GB2312"/>
          <w:szCs w:val="32"/>
        </w:rPr>
        <w:t>。</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3"/>
        <w:rPr>
          <w:rFonts w:hint="eastAsia" w:ascii="仿宋_GB2312"/>
          <w:szCs w:val="32"/>
          <w:lang w:val="en-US" w:eastAsia="zh-CN"/>
        </w:rPr>
      </w:pPr>
      <w:r>
        <w:rPr>
          <w:rFonts w:hint="eastAsia" w:ascii="仿宋_GB2312"/>
          <w:color w:val="000000" w:themeColor="text1"/>
          <w:szCs w:val="32"/>
          <w14:textFill>
            <w14:solidFill>
              <w14:schemeClr w14:val="tx1"/>
            </w14:solidFill>
          </w14:textFill>
        </w:rPr>
        <w:t>其中：公务用车维护费,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2016年度决算数为0.64万元，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eastAsia="zh-CN"/>
          <w14:textFill>
            <w14:solidFill>
              <w14:schemeClr w14:val="tx1"/>
            </w14:solidFill>
          </w14:textFill>
        </w:rPr>
        <w:t>因公务用车改革我办取消公务用车</w:t>
      </w:r>
      <w:r>
        <w:rPr>
          <w:rFonts w:hint="eastAsia" w:ascii="仿宋_GB2312"/>
          <w:color w:val="000000" w:themeColor="text1"/>
          <w:szCs w:val="32"/>
          <w14:textFill>
            <w14:solidFill>
              <w14:schemeClr w14:val="tx1"/>
            </w14:solidFill>
          </w14:textFill>
        </w:rPr>
        <w:t>，</w:t>
      </w:r>
      <w:r>
        <w:rPr>
          <w:rFonts w:hint="eastAsia" w:ascii="仿宋_GB2312"/>
          <w:szCs w:val="32"/>
          <w:lang w:val="en-US" w:eastAsia="zh-CN"/>
        </w:rPr>
        <w:t>2017年度未发生公务用车维护费，年初预算未安排。</w:t>
      </w:r>
    </w:p>
    <w:p>
      <w:pPr>
        <w:ind w:firstLine="643"/>
        <w:rPr>
          <w:rFonts w:hint="eastAsia" w:ascii="仿宋_GB2312" w:eastAsia="仿宋_GB2312"/>
          <w:szCs w:val="32"/>
          <w:lang w:val="en-US" w:eastAsia="zh-CN"/>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安排</w:t>
      </w:r>
      <w:r>
        <w:rPr>
          <w:rFonts w:hint="eastAsia" w:ascii="仿宋_GB2312"/>
          <w:szCs w:val="32"/>
          <w:lang w:val="en-US" w:eastAsia="zh-CN"/>
        </w:rPr>
        <w:t>0.35</w:t>
      </w:r>
      <w:r>
        <w:rPr>
          <w:rFonts w:hint="eastAsia" w:ascii="仿宋_GB2312"/>
          <w:szCs w:val="32"/>
        </w:rPr>
        <w:t>万元，2</w:t>
      </w:r>
      <w:r>
        <w:rPr>
          <w:rFonts w:ascii="仿宋_GB2312"/>
          <w:szCs w:val="32"/>
        </w:rPr>
        <w:t>016</w:t>
      </w:r>
      <w:r>
        <w:rPr>
          <w:rFonts w:hint="eastAsia" w:ascii="仿宋_GB2312"/>
          <w:szCs w:val="32"/>
        </w:rPr>
        <w:t>年度决算数</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2017年度未发生公务接待费</w:t>
      </w:r>
      <w:r>
        <w:rPr>
          <w:rFonts w:hint="eastAsia" w:ascii="仿宋_GB2312"/>
          <w:szCs w:val="32"/>
        </w:rPr>
        <w:t>，</w:t>
      </w:r>
      <w:r>
        <w:rPr>
          <w:rFonts w:hint="eastAsia" w:ascii="仿宋_GB2312"/>
          <w:szCs w:val="32"/>
          <w:lang w:val="en-US" w:eastAsia="zh-CN"/>
        </w:rPr>
        <w:t>2016年度也未发生公务接待费。</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1</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hint="eastAsia" w:ascii="仿宋_GB2312"/>
          <w:szCs w:val="32"/>
        </w:rPr>
      </w:pPr>
      <w:r>
        <w:rPr>
          <w:rFonts w:hint="eastAsia" w:ascii="仿宋_GB2312"/>
          <w:szCs w:val="32"/>
        </w:rPr>
        <w:t>（一）预算绩效管理工作开展情况</w:t>
      </w:r>
    </w:p>
    <w:p>
      <w:pPr>
        <w:ind w:firstLine="640"/>
        <w:rPr>
          <w:rFonts w:ascii="仿宋_GB2312"/>
          <w:szCs w:val="32"/>
        </w:rPr>
      </w:pPr>
      <w:r>
        <w:rPr>
          <w:rFonts w:hint="eastAsia" w:ascii="仿宋_GB2312"/>
          <w:szCs w:val="32"/>
        </w:rPr>
        <w:t>根据区财政预算绩效管理要求，我办以“部门职责</w:t>
      </w:r>
      <w:r>
        <w:rPr>
          <w:rFonts w:ascii="仿宋_GB2312"/>
          <w:szCs w:val="32"/>
        </w:rPr>
        <w:t>—</w:t>
      </w:r>
      <w:r>
        <w:rPr>
          <w:rFonts w:hint="eastAsia" w:ascii="仿宋_GB2312"/>
          <w:szCs w:val="32"/>
        </w:rPr>
        <w:t>工作活动”为依据，确定部门预算项目和预算额度，清晰描述预算项目开支范围和内容，确定预算项目的绩效目标、绩效指标和评价标准，为预算绩效控制、绩效分析、绩效评价打下好的基础。</w:t>
      </w:r>
    </w:p>
    <w:p>
      <w:pPr>
        <w:ind w:firstLine="640"/>
        <w:rPr>
          <w:rFonts w:hint="eastAsia" w:ascii="仿宋_GB2312"/>
          <w:szCs w:val="32"/>
        </w:rPr>
      </w:pPr>
      <w:r>
        <w:rPr>
          <w:rFonts w:hint="eastAsia" w:ascii="仿宋_GB2312"/>
          <w:szCs w:val="32"/>
        </w:rPr>
        <w:t>（二）预算项目绩效评价开展情况</w:t>
      </w:r>
    </w:p>
    <w:p>
      <w:pPr>
        <w:ind w:firstLine="640"/>
        <w:rPr>
          <w:rFonts w:ascii="仿宋_GB2312"/>
          <w:szCs w:val="32"/>
        </w:rPr>
      </w:pPr>
      <w:r>
        <w:rPr>
          <w:rFonts w:hint="eastAsia" w:ascii="仿宋_GB2312"/>
          <w:szCs w:val="32"/>
        </w:rPr>
        <w:t>我办始终坚持把预算绩效管理作为一项重点工作来抓，构建“部门职责</w:t>
      </w:r>
      <w:r>
        <w:rPr>
          <w:rFonts w:ascii="仿宋_GB2312"/>
          <w:szCs w:val="32"/>
        </w:rPr>
        <w:t>—</w:t>
      </w:r>
      <w:r>
        <w:rPr>
          <w:rFonts w:hint="eastAsia" w:ascii="仿宋_GB2312"/>
          <w:szCs w:val="32"/>
        </w:rPr>
        <w:t>工作活动</w:t>
      </w:r>
      <w:r>
        <w:rPr>
          <w:rFonts w:ascii="仿宋_GB2312"/>
          <w:szCs w:val="32"/>
        </w:rPr>
        <w:t>—</w:t>
      </w:r>
      <w:r>
        <w:rPr>
          <w:rFonts w:hint="eastAsia" w:ascii="仿宋_GB2312"/>
          <w:szCs w:val="32"/>
        </w:rPr>
        <w:t>预算项目”三个层级的绩效预算管理结构，建立预算项目全周期管理机制。通过实施以结果为导向、以绩效提高为目标的一系列管理措施，有效提高了财政资金使用效益。</w:t>
      </w:r>
    </w:p>
    <w:p>
      <w:pPr>
        <w:ind w:firstLine="640"/>
        <w:rPr>
          <w:rFonts w:hint="eastAsia" w:ascii="仿宋_GB2312"/>
          <w:szCs w:val="32"/>
        </w:rPr>
      </w:pPr>
      <w:r>
        <w:rPr>
          <w:rFonts w:hint="eastAsia" w:ascii="仿宋_GB2312"/>
          <w:szCs w:val="32"/>
        </w:rPr>
        <w:t>（三）预算项目绩效自评选例</w:t>
      </w:r>
    </w:p>
    <w:p>
      <w:pPr>
        <w:ind w:left="640" w:leftChars="200" w:firstLine="0" w:firstLineChars="0"/>
        <w:rPr>
          <w:rFonts w:hint="eastAsia" w:ascii="仿宋_GB2312"/>
          <w:szCs w:val="32"/>
          <w:lang w:eastAsia="zh-CN"/>
        </w:rPr>
      </w:pPr>
      <w:r>
        <w:rPr>
          <w:rFonts w:hint="eastAsia" w:ascii="仿宋_GB2312"/>
          <w:szCs w:val="32"/>
        </w:rPr>
        <w:t>按照中央和省、市、区绩效评价要求，我办高度重视</w:t>
      </w:r>
      <w:r>
        <w:rPr>
          <w:rFonts w:hint="eastAsia" w:ascii="仿宋_GB2312"/>
          <w:szCs w:val="32"/>
          <w:lang w:eastAsia="zh-CN"/>
        </w:rPr>
        <w:t>，确保</w:t>
      </w:r>
    </w:p>
    <w:p>
      <w:pPr>
        <w:ind w:left="0" w:leftChars="0" w:firstLine="0" w:firstLineChars="0"/>
        <w:rPr>
          <w:rFonts w:hint="eastAsia" w:ascii="仿宋_GB2312" w:eastAsia="仿宋_GB2312"/>
          <w:szCs w:val="32"/>
          <w:lang w:eastAsia="zh-CN"/>
        </w:rPr>
      </w:pPr>
      <w:r>
        <w:rPr>
          <w:rFonts w:hint="eastAsia" w:ascii="仿宋_GB2312"/>
          <w:szCs w:val="32"/>
          <w:lang w:eastAsia="zh-CN"/>
        </w:rPr>
        <w:t>全年各项工作顺利完成。</w:t>
      </w:r>
    </w:p>
    <w:p>
      <w:pPr>
        <w:ind w:firstLine="640"/>
        <w:rPr>
          <w:rFonts w:hint="eastAsia" w:ascii="仿宋_GB2312"/>
          <w:szCs w:val="32"/>
        </w:rPr>
      </w:pPr>
      <w:r>
        <w:rPr>
          <w:rFonts w:hint="eastAsia" w:ascii="仿宋_GB2312"/>
          <w:szCs w:val="32"/>
        </w:rPr>
        <w:t>（四）部门决算量化评价说明</w:t>
      </w:r>
    </w:p>
    <w:p>
      <w:pPr>
        <w:spacing w:line="560" w:lineRule="exact"/>
        <w:ind w:firstLine="645" w:firstLineChars="0"/>
        <w:rPr>
          <w:rFonts w:ascii="仿宋_GB2312" w:cs="仿宋_GB2312"/>
          <w:szCs w:val="32"/>
        </w:rPr>
      </w:pPr>
      <w:r>
        <w:rPr>
          <w:rFonts w:hint="eastAsia" w:ascii="仿宋_GB2312" w:cs="仿宋_GB2312"/>
          <w:szCs w:val="32"/>
        </w:rPr>
        <w:t>我部门绩效预算执行情况通过部门决算软件进行测评后得分为83分，主要减分情况和原因：</w:t>
      </w:r>
    </w:p>
    <w:p>
      <w:pPr>
        <w:spacing w:line="560" w:lineRule="exact"/>
        <w:ind w:firstLine="645" w:firstLineChars="0"/>
        <w:rPr>
          <w:rFonts w:ascii="仿宋_GB2312" w:cs="仿宋_GB2312"/>
          <w:szCs w:val="32"/>
        </w:rPr>
      </w:pPr>
      <w:r>
        <w:rPr>
          <w:rFonts w:hint="eastAsia" w:ascii="仿宋_GB2312" w:cs="仿宋_GB2312"/>
          <w:szCs w:val="32"/>
        </w:rPr>
        <w:t>1、财政拨款收入预决算差异率扣减1分，原因为当年基本工资标准进行调整人员性支出，导致我部门本年实际收入大于年初预算；</w:t>
      </w:r>
    </w:p>
    <w:p>
      <w:pPr>
        <w:spacing w:line="560" w:lineRule="exact"/>
        <w:ind w:firstLine="645" w:firstLineChars="0"/>
        <w:rPr>
          <w:rFonts w:ascii="仿宋_GB2312" w:cs="仿宋_GB2312"/>
          <w:szCs w:val="32"/>
        </w:rPr>
      </w:pPr>
      <w:r>
        <w:rPr>
          <w:rFonts w:hint="eastAsia" w:ascii="仿宋_GB2312" w:cs="仿宋_GB2312"/>
          <w:szCs w:val="32"/>
        </w:rPr>
        <w:t>2、年初结转和结余预决算差异率扣减5分，因上年度有结余资金，此款不列入本年度预算中；</w:t>
      </w:r>
    </w:p>
    <w:p>
      <w:pPr>
        <w:spacing w:line="560" w:lineRule="exact"/>
        <w:ind w:firstLine="645" w:firstLineChars="0"/>
        <w:rPr>
          <w:rFonts w:ascii="仿宋_GB2312" w:cs="仿宋_GB2312"/>
          <w:szCs w:val="32"/>
        </w:rPr>
      </w:pPr>
      <w:r>
        <w:rPr>
          <w:rFonts w:hint="eastAsia" w:ascii="仿宋_GB2312" w:cs="仿宋_GB2312"/>
          <w:szCs w:val="32"/>
        </w:rPr>
        <w:t>3、人员经费预决算差异率扣减1分，原因为本年工资调整实际支出比年初预算增加；</w:t>
      </w:r>
    </w:p>
    <w:p>
      <w:pPr>
        <w:spacing w:line="560" w:lineRule="exact"/>
        <w:ind w:firstLine="645" w:firstLineChars="0"/>
        <w:rPr>
          <w:rFonts w:ascii="仿宋_GB2312" w:cs="仿宋_GB2312"/>
          <w:szCs w:val="32"/>
        </w:rPr>
      </w:pPr>
      <w:r>
        <w:rPr>
          <w:rFonts w:hint="eastAsia" w:ascii="仿宋_GB2312" w:cs="仿宋_GB2312"/>
          <w:szCs w:val="32"/>
        </w:rPr>
        <w:t>4、公用经费预决算差异率扣减1.5分，原因为本年度因行政审批制度改革增加公用经费支出；</w:t>
      </w:r>
    </w:p>
    <w:p>
      <w:pPr>
        <w:spacing w:line="560" w:lineRule="exact"/>
        <w:ind w:firstLine="645" w:firstLineChars="0"/>
        <w:rPr>
          <w:rFonts w:ascii="仿宋_GB2312" w:cs="仿宋_GB2312"/>
          <w:szCs w:val="32"/>
        </w:rPr>
      </w:pPr>
      <w:r>
        <w:rPr>
          <w:rFonts w:hint="eastAsia" w:ascii="仿宋_GB2312" w:cs="仿宋_GB2312"/>
          <w:szCs w:val="32"/>
        </w:rPr>
        <w:t>5、财政拨款结转和结余扣减0.5分，主要原因为本年财政拨款结转同比上年减少；</w:t>
      </w:r>
    </w:p>
    <w:p>
      <w:pPr>
        <w:spacing w:line="560" w:lineRule="exact"/>
        <w:ind w:firstLine="645" w:firstLineChars="0"/>
        <w:rPr>
          <w:rFonts w:ascii="仿宋_GB2312" w:cs="仿宋_GB2312"/>
          <w:szCs w:val="32"/>
        </w:rPr>
      </w:pPr>
      <w:r>
        <w:rPr>
          <w:rFonts w:hint="eastAsia" w:ascii="仿宋_GB2312" w:cs="仿宋_GB2312"/>
          <w:szCs w:val="32"/>
        </w:rPr>
        <w:t>5、财政收回存量资金占上年财政拨款结转和结余比重扣减3分，主要原因为财政收回上年的结余资金；</w:t>
      </w:r>
    </w:p>
    <w:p>
      <w:pPr>
        <w:spacing w:line="560" w:lineRule="exact"/>
        <w:ind w:firstLine="645" w:firstLineChars="0"/>
        <w:rPr>
          <w:rFonts w:ascii="仿宋_GB2312" w:cs="仿宋_GB2312"/>
          <w:szCs w:val="32"/>
        </w:rPr>
      </w:pPr>
      <w:r>
        <w:rPr>
          <w:rFonts w:hint="eastAsia" w:ascii="仿宋_GB2312" w:cs="仿宋_GB2312"/>
          <w:szCs w:val="32"/>
        </w:rPr>
        <w:t>6、“三公经费”预决算差异率扣减5分，原因为本年度预算安排了三公经费，2017年未</w:t>
      </w:r>
      <w:r>
        <w:rPr>
          <w:rFonts w:hint="eastAsia" w:ascii="仿宋_GB2312" w:cs="仿宋_GB2312"/>
          <w:szCs w:val="32"/>
          <w:lang w:eastAsia="zh-CN"/>
        </w:rPr>
        <w:t>发生</w:t>
      </w:r>
      <w:r>
        <w:rPr>
          <w:rFonts w:hint="eastAsia" w:ascii="仿宋_GB2312" w:cs="仿宋_GB2312"/>
          <w:szCs w:val="32"/>
        </w:rPr>
        <w:t>三公经费</w:t>
      </w:r>
      <w:r>
        <w:rPr>
          <w:rFonts w:hint="eastAsia" w:ascii="仿宋_GB2312" w:cs="仿宋_GB2312"/>
          <w:szCs w:val="32"/>
          <w:lang w:eastAsia="zh-CN"/>
        </w:rPr>
        <w:t>支出</w:t>
      </w:r>
      <w:r>
        <w:rPr>
          <w:rFonts w:hint="eastAsia" w:ascii="仿宋_GB2312" w:cs="仿宋_GB2312"/>
          <w:szCs w:val="32"/>
        </w:rPr>
        <w:t>。</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szCs w:val="32"/>
          <w:lang w:val="en-US" w:eastAsia="zh-CN"/>
        </w:rPr>
        <w:t>33.18</w:t>
      </w:r>
      <w:r>
        <w:rPr>
          <w:rFonts w:hint="eastAsia" w:ascii="仿宋_GB2312"/>
          <w:szCs w:val="32"/>
        </w:rPr>
        <w:t>万元，比201</w:t>
      </w:r>
      <w:r>
        <w:rPr>
          <w:rFonts w:ascii="仿宋_GB2312"/>
          <w:szCs w:val="32"/>
        </w:rPr>
        <w:t>6</w:t>
      </w:r>
      <w:r>
        <w:rPr>
          <w:rFonts w:hint="eastAsia" w:ascii="仿宋_GB2312"/>
          <w:szCs w:val="32"/>
        </w:rPr>
        <w:t>年度增加</w:t>
      </w:r>
      <w:r>
        <w:rPr>
          <w:rFonts w:hint="eastAsia" w:ascii="仿宋_GB2312"/>
          <w:szCs w:val="32"/>
          <w:lang w:val="en-US" w:eastAsia="zh-CN"/>
        </w:rPr>
        <w:t>8.43</w:t>
      </w:r>
      <w:r>
        <w:rPr>
          <w:rFonts w:hint="eastAsia" w:ascii="仿宋_GB2312"/>
          <w:szCs w:val="32"/>
        </w:rPr>
        <w:t>万元，增长</w:t>
      </w:r>
      <w:r>
        <w:rPr>
          <w:rFonts w:hint="eastAsia" w:ascii="仿宋_GB2312"/>
          <w:szCs w:val="32"/>
          <w:lang w:val="en-US" w:eastAsia="zh-CN"/>
        </w:rPr>
        <w:t>34</w:t>
      </w:r>
      <w:r>
        <w:rPr>
          <w:rFonts w:hint="eastAsia" w:ascii="仿宋_GB2312"/>
          <w:szCs w:val="32"/>
        </w:rPr>
        <w:t>%。主要原因是：</w:t>
      </w:r>
      <w:r>
        <w:rPr>
          <w:rFonts w:hint="eastAsia" w:ascii="仿宋_GB2312"/>
          <w:szCs w:val="32"/>
          <w:lang w:val="en-US" w:eastAsia="zh-CN"/>
        </w:rPr>
        <w:t>2017年度开展</w:t>
      </w:r>
      <w:r>
        <w:rPr>
          <w:rFonts w:hint="eastAsia" w:ascii="仿宋_GB2312"/>
          <w:szCs w:val="32"/>
          <w:lang w:eastAsia="zh-CN"/>
        </w:rPr>
        <w:t>行政审批改革增加办公费及印刷费</w:t>
      </w:r>
      <w:r>
        <w:rPr>
          <w:rFonts w:hint="eastAsia" w:ascii="仿宋_GB2312"/>
          <w:szCs w:val="32"/>
        </w:rPr>
        <w:t>。</w:t>
      </w:r>
    </w:p>
    <w:p>
      <w:pPr>
        <w:ind w:firstLine="643"/>
        <w:rPr>
          <w:rFonts w:hint="eastAsia"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hint="eastAsia" w:ascii="仿宋_GB2312"/>
          <w:szCs w:val="32"/>
          <w:lang w:val="en-US" w:eastAsia="zh-CN"/>
        </w:rPr>
        <w:t>19.93</w:t>
      </w:r>
      <w:r>
        <w:rPr>
          <w:rFonts w:hint="eastAsia" w:ascii="仿宋_GB2312"/>
          <w:szCs w:val="32"/>
        </w:rPr>
        <w:t>万元，其中：政府采购货物支出</w:t>
      </w:r>
      <w:r>
        <w:rPr>
          <w:rFonts w:hint="eastAsia" w:ascii="仿宋_GB2312"/>
          <w:szCs w:val="32"/>
          <w:lang w:val="en-US" w:eastAsia="zh-CN"/>
        </w:rPr>
        <w:t>19.93</w:t>
      </w:r>
      <w:r>
        <w:rPr>
          <w:rFonts w:hint="eastAsia" w:ascii="仿宋_GB2312"/>
          <w:szCs w:val="32"/>
        </w:rPr>
        <w:t>万元、政府采购工程支出</w:t>
      </w:r>
      <w:r>
        <w:rPr>
          <w:rFonts w:hint="eastAsia" w:ascii="仿宋_GB2312"/>
          <w:szCs w:val="32"/>
          <w:lang w:val="en-US" w:eastAsia="zh-CN"/>
        </w:rPr>
        <w:t>0</w:t>
      </w:r>
      <w:r>
        <w:rPr>
          <w:rFonts w:hint="eastAsia" w:ascii="仿宋_GB2312"/>
          <w:szCs w:val="32"/>
        </w:rPr>
        <w:t>万元、政府采购服务支出</w:t>
      </w:r>
      <w:r>
        <w:rPr>
          <w:rFonts w:hint="eastAsia" w:ascii="仿宋_GB2312"/>
          <w:szCs w:val="32"/>
          <w:lang w:val="en-US" w:eastAsia="zh-CN"/>
        </w:rPr>
        <w:t>0</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5"/>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64.15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54.78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14.44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2.15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49.71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52.63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19"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19.90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19.90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19.90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19.90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29.81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32.73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19"/>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3"/>
                <w:szCs w:val="13"/>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截至201</w:t>
      </w:r>
      <w:r>
        <w:rPr>
          <w:rFonts w:ascii="仿宋_GB2312"/>
          <w:color w:val="000000" w:themeColor="text1"/>
          <w:szCs w:val="32"/>
          <w14:textFill>
            <w14:solidFill>
              <w14:schemeClr w14:val="tx1"/>
            </w14:solidFill>
          </w14:textFill>
        </w:rPr>
        <w:t>7</w:t>
      </w:r>
      <w:r>
        <w:rPr>
          <w:rFonts w:hint="eastAsia" w:ascii="仿宋_GB2312"/>
          <w:color w:val="000000" w:themeColor="text1"/>
          <w:szCs w:val="32"/>
          <w14:textFill>
            <w14:solidFill>
              <w14:schemeClr w14:val="tx1"/>
            </w14:solidFill>
          </w14:textFill>
        </w:rPr>
        <w:t>年12月31日，固定资产</w:t>
      </w:r>
      <w:r>
        <w:rPr>
          <w:rFonts w:hint="eastAsia" w:ascii="仿宋_GB2312"/>
          <w:color w:val="000000" w:themeColor="text1"/>
          <w:szCs w:val="32"/>
          <w:lang w:val="en-US" w:eastAsia="zh-CN"/>
          <w14:textFill>
            <w14:solidFill>
              <w14:schemeClr w14:val="tx1"/>
            </w14:solidFill>
          </w14:textFill>
        </w:rPr>
        <w:t>52.63</w:t>
      </w:r>
      <w:r>
        <w:rPr>
          <w:rFonts w:hint="eastAsia" w:ascii="仿宋_GB2312"/>
          <w:color w:val="000000" w:themeColor="text1"/>
          <w:szCs w:val="32"/>
          <w14:textFill>
            <w14:solidFill>
              <w14:schemeClr w14:val="tx1"/>
            </w14:solidFill>
          </w14:textFill>
        </w:rPr>
        <w:t>万元，与2016年相比增加</w:t>
      </w:r>
      <w:r>
        <w:rPr>
          <w:rFonts w:hint="eastAsia" w:ascii="仿宋_GB2312"/>
          <w:color w:val="000000" w:themeColor="text1"/>
          <w:szCs w:val="32"/>
          <w:lang w:val="en-US" w:eastAsia="zh-CN"/>
          <w14:textFill>
            <w14:solidFill>
              <w14:schemeClr w14:val="tx1"/>
            </w14:solidFill>
          </w14:textFill>
        </w:rPr>
        <w:t>2.92</w:t>
      </w:r>
      <w:r>
        <w:rPr>
          <w:rFonts w:hint="eastAsia" w:ascii="仿宋_GB2312"/>
          <w:color w:val="000000" w:themeColor="text1"/>
          <w:szCs w:val="32"/>
          <w14:textFill>
            <w14:solidFill>
              <w14:schemeClr w14:val="tx1"/>
            </w14:solidFill>
          </w14:textFill>
        </w:rPr>
        <w:t>万元，主要原因是：</w:t>
      </w:r>
      <w:r>
        <w:rPr>
          <w:rFonts w:hint="eastAsia" w:ascii="仿宋_GB2312"/>
          <w:color w:val="000000" w:themeColor="text1"/>
          <w:szCs w:val="32"/>
          <w:lang w:eastAsia="zh-CN"/>
          <w14:textFill>
            <w14:solidFill>
              <w14:schemeClr w14:val="tx1"/>
            </w14:solidFill>
          </w14:textFill>
        </w:rPr>
        <w:t>购置电脑、打印机、路由器等办公设备，价值</w:t>
      </w:r>
      <w:r>
        <w:rPr>
          <w:rFonts w:hint="eastAsia" w:ascii="仿宋_GB2312"/>
          <w:color w:val="000000" w:themeColor="text1"/>
          <w:szCs w:val="32"/>
          <w:lang w:val="en-US" w:eastAsia="zh-CN"/>
          <w14:textFill>
            <w14:solidFill>
              <w14:schemeClr w14:val="tx1"/>
            </w14:solidFill>
          </w14:textFill>
        </w:rPr>
        <w:t>2.92万元。</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1</w:t>
      </w:r>
      <w:r>
        <w:rPr>
          <w:rFonts w:hint="eastAsia" w:ascii="仿宋_GB2312"/>
          <w:szCs w:val="32"/>
        </w:rPr>
        <w:t>辆，其中，一般公务用车</w:t>
      </w:r>
      <w:r>
        <w:rPr>
          <w:rFonts w:hint="eastAsia" w:ascii="仿宋_GB2312"/>
          <w:szCs w:val="32"/>
          <w:lang w:val="en-US" w:eastAsia="zh-CN"/>
        </w:rPr>
        <w:t>1</w:t>
      </w:r>
      <w:r>
        <w:rPr>
          <w:rFonts w:hint="eastAsia" w:ascii="仿宋_GB2312"/>
          <w:szCs w:val="32"/>
        </w:rPr>
        <w:t>辆。</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会议费支出情况。</w:t>
      </w:r>
      <w:bookmarkStart w:id="20" w:name="OLE_LINK47"/>
      <w:bookmarkStart w:id="21" w:name="OLE_LINK46"/>
      <w:r>
        <w:rPr>
          <w:rFonts w:hint="eastAsia" w:ascii="仿宋_GB2312"/>
          <w:color w:val="000000" w:themeColor="text1"/>
          <w:szCs w:val="32"/>
          <w14:textFill>
            <w14:solidFill>
              <w14:schemeClr w14:val="tx1"/>
            </w14:solidFill>
          </w14:textFill>
        </w:rPr>
        <w:t>2017年会议费总计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万元，原因是：</w:t>
      </w:r>
      <w:r>
        <w:rPr>
          <w:rFonts w:hint="eastAsia" w:ascii="仿宋_GB2312"/>
          <w:color w:val="000000" w:themeColor="text1"/>
          <w:szCs w:val="32"/>
          <w:lang w:val="en-US" w:eastAsia="zh-CN"/>
          <w14:textFill>
            <w14:solidFill>
              <w14:schemeClr w14:val="tx1"/>
            </w14:solidFill>
          </w14:textFill>
        </w:rPr>
        <w:t>2017年度未发生会议费支出，2016年也未发生会议费支出</w:t>
      </w:r>
      <w:r>
        <w:rPr>
          <w:rFonts w:hint="eastAsia" w:ascii="仿宋_GB2312"/>
          <w:color w:val="000000" w:themeColor="text1"/>
          <w:szCs w:val="32"/>
          <w14:textFill>
            <w14:solidFill>
              <w14:schemeClr w14:val="tx1"/>
            </w14:solidFill>
          </w14:textFill>
        </w:rPr>
        <w:t>。</w:t>
      </w:r>
    </w:p>
    <w:bookmarkEnd w:id="20"/>
    <w:bookmarkEnd w:id="21"/>
    <w:p>
      <w:pPr>
        <w:ind w:firstLine="640"/>
        <w:rPr>
          <w:rFonts w:hint="eastAsia" w:ascii="仿宋_GB2312"/>
          <w:color w:val="000000" w:themeColor="text1"/>
          <w:szCs w:val="32"/>
          <w:lang w:val="en-US"/>
          <w14:textFill>
            <w14:solidFill>
              <w14:schemeClr w14:val="tx1"/>
            </w14:solidFill>
          </w14:textFill>
        </w:rPr>
      </w:pPr>
      <w:r>
        <w:rPr>
          <w:rFonts w:hint="eastAsia" w:ascii="仿宋_GB2312"/>
          <w:color w:val="000000" w:themeColor="text1"/>
          <w:szCs w:val="32"/>
          <w14:textFill>
            <w14:solidFill>
              <w14:schemeClr w14:val="tx1"/>
            </w14:solidFill>
          </w14:textFill>
        </w:rPr>
        <w:t>培训费支出情况。2017年培训费总计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2017年度未发生培训费支出，</w:t>
      </w:r>
      <w:bookmarkStart w:id="22" w:name="_GoBack"/>
      <w:bookmarkEnd w:id="22"/>
      <w:r>
        <w:rPr>
          <w:rFonts w:hint="eastAsia" w:ascii="仿宋_GB2312"/>
          <w:color w:val="000000" w:themeColor="text1"/>
          <w:szCs w:val="32"/>
          <w:lang w:val="en-US" w:eastAsia="zh-CN"/>
          <w14:textFill>
            <w14:solidFill>
              <w14:schemeClr w14:val="tx1"/>
            </w14:solidFill>
          </w14:textFill>
        </w:rPr>
        <w:t>2016年也未发生培训费支出。</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22078"/>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23719B7"/>
    <w:rsid w:val="0B192985"/>
    <w:rsid w:val="37AF31B8"/>
    <w:rsid w:val="3FF24568"/>
    <w:rsid w:val="40E924F9"/>
    <w:rsid w:val="634B781B"/>
    <w:rsid w:val="6CB7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rFonts w:ascii="Calibri" w:hAnsi="Calibri" w:eastAsia="宋体" w:cs="Times New Roman"/>
      <w:kern w:val="0"/>
      <w:sz w:val="18"/>
      <w:szCs w:val="18"/>
    </w:rPr>
  </w:style>
  <w:style w:type="character" w:customStyle="1" w:styleId="8">
    <w:name w:val="页脚 字符"/>
    <w:basedOn w:val="4"/>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0</TotalTime>
  <ScaleCrop>false</ScaleCrop>
  <LinksUpToDate>false</LinksUpToDate>
  <CharactersWithSpaces>5302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2019-03-12T03:06:00Z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