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海港区住房和城建部门</w:t>
      </w:r>
    </w:p>
    <w:p>
      <w:pPr>
        <w:widowControl/>
        <w:spacing w:line="580" w:lineRule="exact"/>
        <w:ind w:firstLine="3080" w:firstLineChars="700"/>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bookmarkStart w:id="0" w:name="_Hlk527034732"/>
      <w:r>
        <w:rPr>
          <w:rFonts w:hint="eastAsia" w:eastAsia="黑体"/>
          <w:szCs w:val="32"/>
        </w:rPr>
        <w:t>海港区住房和城建</w:t>
      </w:r>
      <w:bookmarkEnd w:id="0"/>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海港区住房和城建</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海港区住房和城建</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1" w:name="OLE_LINK21"/>
      <w:r>
        <w:rPr>
          <w:szCs w:val="32"/>
        </w:rPr>
        <w:t>一、收入支出决算总体情况说明</w:t>
      </w:r>
    </w:p>
    <w:bookmarkEnd w:id="1"/>
    <w:p>
      <w:pPr>
        <w:widowControl/>
        <w:spacing w:line="580" w:lineRule="exact"/>
        <w:ind w:left="640" w:firstLine="640"/>
        <w:rPr>
          <w:szCs w:val="32"/>
        </w:rPr>
      </w:pPr>
      <w:bookmarkStart w:id="2" w:name="OLE_LINK22"/>
      <w:r>
        <w:rPr>
          <w:szCs w:val="32"/>
        </w:rPr>
        <w:t>二、收入决算情况说明</w:t>
      </w:r>
    </w:p>
    <w:p>
      <w:pPr>
        <w:widowControl/>
        <w:spacing w:line="580" w:lineRule="exact"/>
        <w:ind w:left="640" w:firstLine="640"/>
        <w:rPr>
          <w:szCs w:val="32"/>
        </w:rPr>
      </w:pPr>
      <w:r>
        <w:rPr>
          <w:szCs w:val="32"/>
        </w:rPr>
        <w:t>三、支出决算情况说明</w:t>
      </w:r>
    </w:p>
    <w:bookmarkEnd w:id="2"/>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3" w:name="OLE_LINK27"/>
      <w:bookmarkStart w:id="4" w:name="OLE_LINK26"/>
      <w:bookmarkStart w:id="5" w:name="OLE_LINK25"/>
      <w:r>
        <w:rPr>
          <w:szCs w:val="32"/>
        </w:rPr>
        <w:t>六、预算绩效管理工作开展情况说明</w:t>
      </w:r>
    </w:p>
    <w:bookmarkEnd w:id="3"/>
    <w:bookmarkEnd w:id="4"/>
    <w:bookmarkEnd w:id="5"/>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6" w:name="OLE_LINK28"/>
      <w:r>
        <w:rPr>
          <w:szCs w:val="32"/>
        </w:rPr>
        <w:t>4.其他需要说明的情况</w:t>
      </w:r>
    </w:p>
    <w:bookmarkEnd w:id="6"/>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7"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8"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海港区住房和城建部门概况</w:t>
      </w: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7"/>
    <w:p>
      <w:pPr>
        <w:widowControl/>
        <w:spacing w:line="580" w:lineRule="exact"/>
        <w:ind w:left="0" w:leftChars="0" w:firstLine="640" w:firstLineChars="200"/>
        <w:rPr>
          <w:rFonts w:ascii="仿宋_GB2312" w:hAnsi="黑体"/>
          <w:szCs w:val="32"/>
        </w:rPr>
      </w:pPr>
      <w:bookmarkStart w:id="9" w:name="OLE_LINK14"/>
      <w:r>
        <w:rPr>
          <w:rFonts w:hint="eastAsia" w:ascii="仿宋_GB2312" w:hAnsi="黑体"/>
          <w:szCs w:val="32"/>
        </w:rPr>
        <w:t>一、部门职责</w:t>
      </w:r>
    </w:p>
    <w:p>
      <w:pPr>
        <w:widowControl/>
        <w:spacing w:line="580" w:lineRule="exact"/>
        <w:rPr>
          <w:szCs w:val="32"/>
        </w:rPr>
      </w:pPr>
      <w:r>
        <w:rPr>
          <w:rFonts w:hint="eastAsia"/>
          <w:szCs w:val="32"/>
        </w:rPr>
        <w:t>1、贯彻执行国家、市区有关城市管理的方针、政策、法律和规定，组织制定城市管理规范性文件、发展规划、年度计划及各项措施，并负责组织实施。</w:t>
      </w:r>
    </w:p>
    <w:p>
      <w:pPr>
        <w:widowControl/>
        <w:spacing w:line="580" w:lineRule="exact"/>
        <w:rPr>
          <w:szCs w:val="32"/>
        </w:rPr>
      </w:pPr>
      <w:r>
        <w:rPr>
          <w:rFonts w:hint="eastAsia"/>
          <w:szCs w:val="32"/>
        </w:rPr>
        <w:t>负责修定、完善、实施城市卫生专业规划、落实各类环卫作业标准、综合协调各项环卫业务,对外宣传各项政策。</w:t>
      </w:r>
    </w:p>
    <w:p>
      <w:pPr>
        <w:widowControl/>
        <w:spacing w:line="580" w:lineRule="exact"/>
        <w:rPr>
          <w:szCs w:val="32"/>
        </w:rPr>
      </w:pPr>
      <w:r>
        <w:rPr>
          <w:rFonts w:hint="eastAsia"/>
          <w:szCs w:val="32"/>
        </w:rPr>
        <w:t>负责全区城乡容貌秩序管理综合执法，对迎宾线、城市出入口等重点地域容貌秩序实施直接综合执法。</w:t>
      </w:r>
    </w:p>
    <w:p>
      <w:pPr>
        <w:widowControl/>
        <w:spacing w:line="580" w:lineRule="exact"/>
        <w:rPr>
          <w:szCs w:val="32"/>
        </w:rPr>
      </w:pPr>
      <w:r>
        <w:rPr>
          <w:rFonts w:hint="eastAsia"/>
          <w:szCs w:val="32"/>
        </w:rPr>
        <w:t>按照国家、省、市、区有关城市管理方面的法律、法规和规定，依法监督纠正本辖区内违反城市管理法律、法规行为。</w:t>
      </w:r>
    </w:p>
    <w:p>
      <w:pPr>
        <w:widowControl/>
        <w:spacing w:line="580" w:lineRule="exact"/>
        <w:rPr>
          <w:szCs w:val="32"/>
        </w:rPr>
      </w:pPr>
      <w:r>
        <w:rPr>
          <w:rFonts w:hint="eastAsia"/>
          <w:szCs w:val="32"/>
        </w:rPr>
        <w:t>按照国家、省、市、区有关城市管理方面的法律、法规和规定，依法监督纠正本辖区内违反城市管理法律、法规行为</w:t>
      </w:r>
    </w:p>
    <w:p>
      <w:pPr>
        <w:widowControl/>
        <w:spacing w:line="580" w:lineRule="exact"/>
        <w:rPr>
          <w:szCs w:val="32"/>
        </w:rPr>
      </w:pPr>
      <w:r>
        <w:rPr>
          <w:rFonts w:hint="eastAsia"/>
          <w:szCs w:val="32"/>
        </w:rPr>
        <w:t>负责辖区内户外广告（包括流动广告）、牌匾、灯饰、条幅、橱窗的设置审批管理和统一监督管理；负责对城市区户外庆典、商业促销活动、临时占道棚亭、摊点及占用城市道路设置临时性市场的审批管理。</w:t>
      </w:r>
    </w:p>
    <w:p>
      <w:pPr>
        <w:widowControl/>
        <w:spacing w:line="580" w:lineRule="exact"/>
        <w:rPr>
          <w:szCs w:val="32"/>
        </w:rPr>
      </w:pPr>
      <w:r>
        <w:rPr>
          <w:rFonts w:hint="eastAsia"/>
          <w:szCs w:val="32"/>
        </w:rPr>
        <w:t>负责各类户外广告的设计、现场勘查、审批及管理工作</w:t>
      </w:r>
    </w:p>
    <w:p>
      <w:pPr>
        <w:widowControl/>
        <w:spacing w:line="580" w:lineRule="exact"/>
        <w:rPr>
          <w:szCs w:val="32"/>
        </w:rPr>
      </w:pPr>
      <w:r>
        <w:rPr>
          <w:rFonts w:hint="eastAsia"/>
          <w:szCs w:val="32"/>
        </w:rPr>
        <w:t>负责全区城乡容貌秩序管理的组织协调，对全区城市管理监察和市容环卫实施业务领导和统一监督管理。负责全区城乡环境卫生管理和监察，组织制定环境卫生管理制度的年度计划。统筹安排全区环卫系统的基本建设项目和环卫设备更新改造计划，对新建、改建、扩建市容环卫配套设施的设计方案进行审查，对方案的实施进行监督和验收。负责各类生活垃圾的清运处理，建筑垃圾的排放管理。负责生活垃圾无害化处理和综合利用的管理监察工作。</w:t>
      </w:r>
    </w:p>
    <w:p>
      <w:pPr>
        <w:widowControl/>
        <w:spacing w:line="580" w:lineRule="exact"/>
        <w:rPr>
          <w:szCs w:val="32"/>
        </w:rPr>
      </w:pPr>
      <w:r>
        <w:rPr>
          <w:rFonts w:hint="eastAsia"/>
          <w:szCs w:val="32"/>
        </w:rPr>
        <w:t>负责各类生活垃圾的清运处理，建筑垃圾的排放管理。负责生活垃圾无害化处理和综合利用的管理监察工作。负责垃圾处理厂管理</w:t>
      </w:r>
    </w:p>
    <w:p>
      <w:pPr>
        <w:widowControl/>
        <w:spacing w:line="580" w:lineRule="exact"/>
        <w:rPr>
          <w:szCs w:val="32"/>
        </w:rPr>
      </w:pPr>
      <w:r>
        <w:rPr>
          <w:rFonts w:hint="eastAsia"/>
          <w:szCs w:val="32"/>
        </w:rPr>
        <w:t>负责辖区内主次干道、街巷路、非自管居民区、单位和门店的卫生清扫、保洁、垃圾清运及城乡一体化工作，监督指导辖区内各单位、门店落实门前“五包”和清雪工作</w:t>
      </w:r>
    </w:p>
    <w:p>
      <w:pPr>
        <w:widowControl/>
        <w:spacing w:line="580" w:lineRule="exact"/>
        <w:rPr>
          <w:szCs w:val="32"/>
        </w:rPr>
      </w:pPr>
      <w:r>
        <w:rPr>
          <w:rFonts w:hint="eastAsia"/>
          <w:szCs w:val="32"/>
        </w:rPr>
        <w:t>负责公厕管理、私厕监督检查、辖区内的粪便清掏清运、消杀保洁</w:t>
      </w:r>
    </w:p>
    <w:p>
      <w:pPr>
        <w:widowControl/>
        <w:spacing w:line="580" w:lineRule="exact"/>
        <w:rPr>
          <w:szCs w:val="32"/>
        </w:rPr>
      </w:pPr>
      <w:r>
        <w:rPr>
          <w:rFonts w:hint="eastAsia"/>
          <w:szCs w:val="32"/>
        </w:rPr>
        <w:t>2、管辖范围内市政设施的接收、维护、管理、养护及新建改建工作</w:t>
      </w:r>
    </w:p>
    <w:p>
      <w:pPr>
        <w:widowControl/>
        <w:spacing w:line="580" w:lineRule="exact"/>
        <w:rPr>
          <w:szCs w:val="32"/>
        </w:rPr>
      </w:pPr>
      <w:r>
        <w:rPr>
          <w:rFonts w:hint="eastAsia"/>
          <w:szCs w:val="32"/>
        </w:rPr>
        <w:t>负责道路挖掘申请、审查挖掘和修复方案，负责征收相关费用。监督挖掘及修复过程，检查验收修复质量等管辖范围内市政设施的接收、维护、管理、养护及新建改建工作。</w:t>
      </w:r>
    </w:p>
    <w:p>
      <w:pPr>
        <w:widowControl/>
        <w:spacing w:line="580" w:lineRule="exact"/>
        <w:rPr>
          <w:szCs w:val="32"/>
        </w:rPr>
      </w:pPr>
      <w:r>
        <w:rPr>
          <w:rFonts w:hint="eastAsia"/>
          <w:szCs w:val="32"/>
        </w:rPr>
        <w:t>3、负责区直管公房的经营管理和维修管理工作</w:t>
      </w:r>
    </w:p>
    <w:p>
      <w:pPr>
        <w:widowControl/>
        <w:spacing w:line="580" w:lineRule="exact"/>
        <w:rPr>
          <w:szCs w:val="32"/>
        </w:rPr>
      </w:pPr>
      <w:r>
        <w:rPr>
          <w:rFonts w:hint="eastAsia"/>
          <w:szCs w:val="32"/>
        </w:rPr>
        <w:t>贯彻实施城市绿化法律法规；参与编制城市绿化规划，负责制定年度绿化计划；负责区政府和上级业务部门交办的各项绿化指标和任务；综合管理全区绿化美化工作，主管市区道路、游园、绿地及街心花园花草树木的栽植和养护管理；对全区各单位庭院的附属绿地及门前“三包”的绿化美化工作进行监督、检查、指导，组织开展庭院绿化达标竞赛活动；对居民小区的绿化美化实施监督、指导、组织开展群众性的花展活动；负责对城市绿化设计、施工单位的资质审核和申报以及砍伐树木的审批工作；依法查处违反城市绿化法律、法规的行为。</w:t>
      </w:r>
    </w:p>
    <w:p>
      <w:pPr>
        <w:widowControl/>
        <w:spacing w:line="580" w:lineRule="exact"/>
        <w:rPr>
          <w:szCs w:val="32"/>
        </w:rPr>
      </w:pPr>
      <w:r>
        <w:rPr>
          <w:rFonts w:hint="eastAsia"/>
          <w:szCs w:val="32"/>
        </w:rPr>
        <w:t>4、责对国土资源管理法律法规的贯彻执行情况进行监督检查;负责对土地规划﹑计划﹑农地转用﹑土地征用﹑土地资产处置﹑土地使用权交易行为﹑土地登记的监督检查;依法查处各类土地﹑矿产违法案件;负责行政复议﹑行政应诉和国土资源的信访工作;调查处理土地权属纠纷。</w:t>
      </w:r>
    </w:p>
    <w:p>
      <w:pPr>
        <w:ind w:firstLine="1273" w:firstLineChars="398"/>
        <w:rPr>
          <w:rFonts w:ascii="仿宋_GB2312" w:hAnsi="黑体"/>
          <w:szCs w:val="32"/>
        </w:rPr>
      </w:pPr>
    </w:p>
    <w:p>
      <w:pPr>
        <w:ind w:firstLine="1273" w:firstLineChars="398"/>
        <w:rPr>
          <w:rFonts w:ascii="仿宋_GB2312" w:hAnsi="黑体"/>
          <w:szCs w:val="32"/>
        </w:rPr>
      </w:pPr>
      <w:r>
        <w:rPr>
          <w:rFonts w:hint="eastAsia" w:ascii="仿宋_GB2312" w:hAnsi="黑体"/>
          <w:szCs w:val="32"/>
        </w:rPr>
        <w:t>二、部门决算单位构成</w:t>
      </w:r>
    </w:p>
    <w:tbl>
      <w:tblPr>
        <w:tblStyle w:val="4"/>
        <w:tblW w:w="10340" w:type="dxa"/>
        <w:jc w:val="center"/>
        <w:tblInd w:w="0" w:type="dxa"/>
        <w:tblLayout w:type="fixed"/>
        <w:tblCellMar>
          <w:top w:w="64" w:type="dxa"/>
          <w:left w:w="108" w:type="dxa"/>
          <w:bottom w:w="0" w:type="dxa"/>
          <w:right w:w="94" w:type="dxa"/>
        </w:tblCellMar>
      </w:tblPr>
      <w:tblGrid>
        <w:gridCol w:w="4528"/>
        <w:gridCol w:w="1701"/>
        <w:gridCol w:w="1418"/>
        <w:gridCol w:w="2693"/>
      </w:tblGrid>
      <w:tr>
        <w:tblPrEx>
          <w:tblLayout w:type="fixed"/>
          <w:tblCellMar>
            <w:top w:w="64" w:type="dxa"/>
            <w:left w:w="108" w:type="dxa"/>
            <w:bottom w:w="0" w:type="dxa"/>
            <w:right w:w="94" w:type="dxa"/>
          </w:tblCellMar>
        </w:tblPrEx>
        <w:trPr>
          <w:trHeight w:val="90"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beforeLines="50" w:afterLines="50" w:line="240" w:lineRule="auto"/>
              <w:ind w:firstLine="420"/>
              <w:jc w:val="center"/>
              <w:rPr>
                <w:rFonts w:ascii="仿宋_GB2312"/>
                <w:sz w:val="28"/>
                <w:szCs w:val="28"/>
              </w:rPr>
            </w:pPr>
            <w:r>
              <w:rPr>
                <w:rFonts w:hint="eastAsia" w:ascii="仿宋_GB2312"/>
                <w:sz w:val="28"/>
                <w:szCs w:val="28"/>
              </w:rPr>
              <w:t>单位名称</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beforeLines="50" w:afterLines="50" w:line="240" w:lineRule="auto"/>
              <w:ind w:left="0" w:leftChars="0" w:firstLine="0" w:firstLineChars="0"/>
              <w:jc w:val="center"/>
              <w:rPr>
                <w:rFonts w:ascii="仿宋_GB2312"/>
                <w:sz w:val="28"/>
                <w:szCs w:val="28"/>
              </w:rPr>
            </w:pPr>
            <w:r>
              <w:rPr>
                <w:rFonts w:hint="eastAsia" w:ascii="仿宋_GB2312"/>
                <w:sz w:val="28"/>
                <w:szCs w:val="28"/>
              </w:rPr>
              <w:t>单位性质</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beforeLines="50" w:afterLines="50" w:line="240" w:lineRule="auto"/>
              <w:ind w:left="0" w:leftChars="0" w:firstLine="0" w:firstLineChars="0"/>
              <w:jc w:val="both"/>
              <w:rPr>
                <w:rFonts w:ascii="仿宋_GB2312"/>
                <w:sz w:val="28"/>
                <w:szCs w:val="28"/>
              </w:rPr>
            </w:pPr>
            <w:r>
              <w:rPr>
                <w:rFonts w:hint="eastAsia" w:ascii="仿宋_GB2312"/>
                <w:sz w:val="28"/>
                <w:szCs w:val="28"/>
              </w:rPr>
              <w:t>单位规格</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beforeLines="50" w:afterLines="50" w:line="240" w:lineRule="auto"/>
              <w:ind w:firstLine="420"/>
              <w:jc w:val="center"/>
              <w:rPr>
                <w:rFonts w:ascii="仿宋_GB2312"/>
                <w:sz w:val="28"/>
                <w:szCs w:val="28"/>
              </w:rPr>
            </w:pPr>
            <w:r>
              <w:rPr>
                <w:rFonts w:hint="eastAsia" w:ascii="仿宋_GB2312"/>
                <w:sz w:val="28"/>
                <w:szCs w:val="28"/>
              </w:rPr>
              <w:t>经费保障形式</w:t>
            </w:r>
          </w:p>
        </w:tc>
      </w:tr>
      <w:tr>
        <w:tblPrEx>
          <w:tblLayout w:type="fixed"/>
          <w:tblCellMar>
            <w:top w:w="64" w:type="dxa"/>
            <w:left w:w="108" w:type="dxa"/>
            <w:bottom w:w="0" w:type="dxa"/>
            <w:right w:w="94" w:type="dxa"/>
          </w:tblCellMar>
        </w:tblPrEx>
        <w:trPr>
          <w:trHeight w:val="317"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left"/>
              <w:rPr>
                <w:rFonts w:ascii="方正书宋_GBK" w:eastAsia="方正书宋_GBK"/>
                <w:sz w:val="21"/>
                <w:szCs w:val="21"/>
              </w:rPr>
            </w:pPr>
            <w:r>
              <w:rPr>
                <w:rFonts w:hint="eastAsia" w:ascii="方正书宋_GBK" w:eastAsia="方正书宋_GBK"/>
                <w:sz w:val="21"/>
                <w:szCs w:val="21"/>
              </w:rPr>
              <w:t>秦皇岛市海港区城市管理综合执法局</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hint="eastAsia" w:ascii="方正书宋_GBK" w:eastAsia="方正书宋_GBK"/>
                <w:sz w:val="21"/>
                <w:szCs w:val="21"/>
                <w:lang w:eastAsia="zh-CN"/>
              </w:rPr>
            </w:pPr>
            <w:r>
              <w:rPr>
                <w:rFonts w:hint="eastAsia" w:ascii="方正书宋_GBK" w:eastAsia="方正书宋_GBK"/>
                <w:sz w:val="21"/>
                <w:szCs w:val="21"/>
              </w:rPr>
              <w:t>事业</w:t>
            </w:r>
            <w:r>
              <w:rPr>
                <w:rFonts w:hint="eastAsia" w:ascii="方正书宋_GBK" w:eastAsia="方正书宋_GBK"/>
                <w:sz w:val="21"/>
                <w:szCs w:val="21"/>
                <w:lang w:eastAsia="zh-CN"/>
              </w:rPr>
              <w:t>单位</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正科级</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财政性资金基本保证</w:t>
            </w:r>
          </w:p>
        </w:tc>
      </w:tr>
      <w:tr>
        <w:tblPrEx>
          <w:tblLayout w:type="fixed"/>
          <w:tblCellMar>
            <w:top w:w="64" w:type="dxa"/>
            <w:left w:w="108" w:type="dxa"/>
            <w:bottom w:w="0" w:type="dxa"/>
            <w:right w:w="94" w:type="dxa"/>
          </w:tblCellMar>
        </w:tblPrEx>
        <w:trPr>
          <w:trHeight w:val="314"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left"/>
              <w:rPr>
                <w:rFonts w:ascii="方正书宋_GBK" w:eastAsia="方正书宋_GBK"/>
                <w:sz w:val="21"/>
                <w:szCs w:val="21"/>
              </w:rPr>
            </w:pPr>
            <w:r>
              <w:rPr>
                <w:rFonts w:hint="eastAsia" w:ascii="方正书宋_GBK" w:eastAsia="方正书宋_GBK"/>
                <w:sz w:val="21"/>
                <w:szCs w:val="21"/>
              </w:rPr>
              <w:t>秦皇岛市海港区市政工程管理处</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事业</w:t>
            </w:r>
            <w:r>
              <w:rPr>
                <w:rFonts w:hint="eastAsia" w:ascii="方正书宋_GBK" w:eastAsia="方正书宋_GBK"/>
                <w:sz w:val="21"/>
                <w:szCs w:val="21"/>
                <w:lang w:eastAsia="zh-CN"/>
              </w:rPr>
              <w:t>单位</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正科级</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财政性资金基本保证</w:t>
            </w:r>
          </w:p>
        </w:tc>
      </w:tr>
      <w:tr>
        <w:tblPrEx>
          <w:tblLayout w:type="fixed"/>
          <w:tblCellMar>
            <w:top w:w="64" w:type="dxa"/>
            <w:left w:w="108" w:type="dxa"/>
            <w:bottom w:w="0" w:type="dxa"/>
            <w:right w:w="94" w:type="dxa"/>
          </w:tblCellMar>
        </w:tblPrEx>
        <w:trPr>
          <w:trHeight w:val="314"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left"/>
              <w:rPr>
                <w:rFonts w:ascii="方正书宋_GBK" w:eastAsia="方正书宋_GBK"/>
                <w:sz w:val="21"/>
                <w:szCs w:val="21"/>
              </w:rPr>
            </w:pPr>
            <w:r>
              <w:rPr>
                <w:rFonts w:hint="eastAsia" w:ascii="方正书宋_GBK" w:eastAsia="方正书宋_GBK"/>
                <w:sz w:val="21"/>
                <w:szCs w:val="21"/>
              </w:rPr>
              <w:t>秦皇岛市海港区城建管理调度中心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事业</w:t>
            </w:r>
            <w:r>
              <w:rPr>
                <w:rFonts w:hint="eastAsia" w:ascii="方正书宋_GBK" w:eastAsia="方正书宋_GBK"/>
                <w:sz w:val="21"/>
                <w:szCs w:val="21"/>
                <w:lang w:eastAsia="zh-CN"/>
              </w:rPr>
              <w:t>单位</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正科级</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财政性资金基本保证</w:t>
            </w:r>
          </w:p>
        </w:tc>
      </w:tr>
      <w:tr>
        <w:tblPrEx>
          <w:tblLayout w:type="fixed"/>
          <w:tblCellMar>
            <w:top w:w="64" w:type="dxa"/>
            <w:left w:w="108" w:type="dxa"/>
            <w:bottom w:w="0" w:type="dxa"/>
            <w:right w:w="94" w:type="dxa"/>
          </w:tblCellMar>
        </w:tblPrEx>
        <w:trPr>
          <w:trHeight w:val="314"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left"/>
              <w:rPr>
                <w:rFonts w:ascii="方正书宋_GBK" w:eastAsia="方正书宋_GBK"/>
                <w:sz w:val="21"/>
                <w:szCs w:val="21"/>
              </w:rPr>
            </w:pPr>
            <w:r>
              <w:rPr>
                <w:rFonts w:hint="eastAsia" w:ascii="方正书宋_GBK" w:eastAsia="方正书宋_GBK"/>
                <w:sz w:val="21"/>
                <w:szCs w:val="21"/>
              </w:rPr>
              <w:t>秦皇岛市海港区园林局</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事业</w:t>
            </w:r>
            <w:bookmarkStart w:id="26" w:name="_GoBack"/>
            <w:bookmarkEnd w:id="26"/>
            <w:r>
              <w:rPr>
                <w:rFonts w:hint="eastAsia" w:ascii="方正书宋_GBK" w:eastAsia="方正书宋_GBK"/>
                <w:sz w:val="21"/>
                <w:szCs w:val="21"/>
                <w:lang w:eastAsia="zh-CN"/>
              </w:rPr>
              <w:t>单位</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正科级</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财政性资金基本保证</w:t>
            </w:r>
          </w:p>
        </w:tc>
      </w:tr>
      <w:tr>
        <w:tblPrEx>
          <w:tblLayout w:type="fixed"/>
          <w:tblCellMar>
            <w:top w:w="64" w:type="dxa"/>
            <w:left w:w="108" w:type="dxa"/>
            <w:bottom w:w="0" w:type="dxa"/>
            <w:right w:w="94" w:type="dxa"/>
          </w:tblCellMar>
        </w:tblPrEx>
        <w:trPr>
          <w:trHeight w:val="314"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left"/>
              <w:rPr>
                <w:rFonts w:ascii="方正书宋_GBK" w:eastAsia="方正书宋_GBK"/>
                <w:sz w:val="21"/>
                <w:szCs w:val="21"/>
              </w:rPr>
            </w:pPr>
            <w:r>
              <w:rPr>
                <w:rFonts w:hint="eastAsia" w:ascii="方正书宋_GBK" w:eastAsia="方正书宋_GBK"/>
                <w:sz w:val="21"/>
                <w:szCs w:val="21"/>
              </w:rPr>
              <w:t>秦皇岛市海港区住房保障和房产管理局</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事业</w:t>
            </w:r>
            <w:r>
              <w:rPr>
                <w:rFonts w:hint="eastAsia" w:ascii="方正书宋_GBK" w:eastAsia="方正书宋_GBK"/>
                <w:sz w:val="21"/>
                <w:szCs w:val="21"/>
                <w:lang w:eastAsia="zh-CN"/>
              </w:rPr>
              <w:t>单位</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正科级</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财政性资金基本保证</w:t>
            </w:r>
          </w:p>
        </w:tc>
      </w:tr>
      <w:tr>
        <w:tblPrEx>
          <w:tblLayout w:type="fixed"/>
          <w:tblCellMar>
            <w:top w:w="64" w:type="dxa"/>
            <w:left w:w="108" w:type="dxa"/>
            <w:bottom w:w="0" w:type="dxa"/>
            <w:right w:w="94" w:type="dxa"/>
          </w:tblCellMar>
        </w:tblPrEx>
        <w:trPr>
          <w:trHeight w:val="314"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left"/>
              <w:rPr>
                <w:rFonts w:ascii="方正书宋_GBK" w:eastAsia="方正书宋_GBK"/>
                <w:sz w:val="21"/>
                <w:szCs w:val="21"/>
              </w:rPr>
            </w:pPr>
            <w:r>
              <w:rPr>
                <w:rFonts w:hint="eastAsia" w:ascii="方正书宋_GBK" w:eastAsia="方正书宋_GBK"/>
                <w:sz w:val="21"/>
                <w:szCs w:val="21"/>
              </w:rPr>
              <w:t>秦皇岛市海港区城乡建设局</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hint="eastAsia" w:ascii="方正书宋_GBK" w:eastAsia="方正书宋_GBK"/>
                <w:sz w:val="21"/>
                <w:szCs w:val="21"/>
                <w:lang w:eastAsia="zh-CN"/>
              </w:rPr>
            </w:pPr>
            <w:r>
              <w:rPr>
                <w:rFonts w:hint="eastAsia" w:ascii="方正书宋_GBK" w:eastAsia="方正书宋_GBK"/>
                <w:sz w:val="21"/>
                <w:szCs w:val="21"/>
              </w:rPr>
              <w:t>行政</w:t>
            </w:r>
            <w:r>
              <w:rPr>
                <w:rFonts w:hint="eastAsia" w:ascii="方正书宋_GBK" w:eastAsia="方正书宋_GBK"/>
                <w:sz w:val="21"/>
                <w:szCs w:val="21"/>
                <w:lang w:eastAsia="zh-CN"/>
              </w:rPr>
              <w:t>机关</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正科级</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财政性资金基本保证</w:t>
            </w:r>
          </w:p>
        </w:tc>
      </w:tr>
      <w:tr>
        <w:tblPrEx>
          <w:tblLayout w:type="fixed"/>
          <w:tblCellMar>
            <w:top w:w="64" w:type="dxa"/>
            <w:left w:w="108" w:type="dxa"/>
            <w:bottom w:w="0" w:type="dxa"/>
            <w:right w:w="94" w:type="dxa"/>
          </w:tblCellMar>
        </w:tblPrEx>
        <w:trPr>
          <w:trHeight w:val="314"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left"/>
              <w:rPr>
                <w:rFonts w:ascii="方正书宋_GBK" w:eastAsia="方正书宋_GBK"/>
                <w:sz w:val="21"/>
                <w:szCs w:val="21"/>
              </w:rPr>
            </w:pPr>
            <w:r>
              <w:rPr>
                <w:rFonts w:hint="eastAsia" w:ascii="方正书宋_GBK" w:eastAsia="方正书宋_GBK"/>
                <w:sz w:val="21"/>
                <w:szCs w:val="21"/>
              </w:rPr>
              <w:t>秦皇岛市海港区城市建设综合开发办公室</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事业</w:t>
            </w:r>
            <w:r>
              <w:rPr>
                <w:rFonts w:hint="eastAsia" w:ascii="方正书宋_GBK" w:eastAsia="方正书宋_GBK"/>
                <w:sz w:val="21"/>
                <w:szCs w:val="21"/>
                <w:lang w:eastAsia="zh-CN"/>
              </w:rPr>
              <w:t>单位</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正科级</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财政性资金基本保证</w:t>
            </w:r>
          </w:p>
        </w:tc>
      </w:tr>
      <w:tr>
        <w:tblPrEx>
          <w:tblLayout w:type="fixed"/>
          <w:tblCellMar>
            <w:top w:w="64" w:type="dxa"/>
            <w:left w:w="108" w:type="dxa"/>
            <w:bottom w:w="0" w:type="dxa"/>
            <w:right w:w="94" w:type="dxa"/>
          </w:tblCellMar>
        </w:tblPrEx>
        <w:trPr>
          <w:trHeight w:val="313"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left"/>
              <w:rPr>
                <w:rFonts w:ascii="方正书宋_GBK" w:eastAsia="方正书宋_GBK"/>
                <w:sz w:val="21"/>
                <w:szCs w:val="21"/>
              </w:rPr>
            </w:pPr>
            <w:r>
              <w:rPr>
                <w:rFonts w:hint="eastAsia" w:ascii="方正书宋_GBK" w:eastAsia="方正书宋_GBK"/>
                <w:sz w:val="21"/>
                <w:szCs w:val="21"/>
              </w:rPr>
              <w:t>秦皇岛市海港区工程建设造价管理站</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事业</w:t>
            </w:r>
            <w:r>
              <w:rPr>
                <w:rFonts w:hint="eastAsia" w:ascii="方正书宋_GBK" w:eastAsia="方正书宋_GBK"/>
                <w:sz w:val="21"/>
                <w:szCs w:val="21"/>
                <w:lang w:eastAsia="zh-CN"/>
              </w:rPr>
              <w:t>单位</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其他</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hint="eastAsia" w:ascii="方正书宋_GBK" w:eastAsia="方正书宋_GBK"/>
                <w:sz w:val="21"/>
                <w:szCs w:val="21"/>
                <w:lang w:eastAsia="zh-CN"/>
              </w:rPr>
            </w:pPr>
            <w:r>
              <w:rPr>
                <w:rFonts w:hint="eastAsia" w:ascii="方正书宋_GBK" w:eastAsia="方正书宋_GBK"/>
                <w:sz w:val="21"/>
                <w:szCs w:val="21"/>
                <w:lang w:eastAsia="zh-CN"/>
              </w:rPr>
              <w:t>经费自理事业单位</w:t>
            </w:r>
          </w:p>
        </w:tc>
      </w:tr>
      <w:tr>
        <w:tblPrEx>
          <w:tblLayout w:type="fixed"/>
          <w:tblCellMar>
            <w:top w:w="64" w:type="dxa"/>
            <w:left w:w="108" w:type="dxa"/>
            <w:bottom w:w="0" w:type="dxa"/>
            <w:right w:w="94" w:type="dxa"/>
          </w:tblCellMar>
        </w:tblPrEx>
        <w:trPr>
          <w:trHeight w:val="80" w:hRule="atLeast"/>
          <w:jc w:val="center"/>
        </w:trPr>
        <w:tc>
          <w:tcPr>
            <w:tcW w:w="452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left"/>
              <w:rPr>
                <w:rFonts w:ascii="方正书宋_GBK" w:eastAsia="方正书宋_GBK"/>
                <w:sz w:val="21"/>
                <w:szCs w:val="21"/>
              </w:rPr>
            </w:pPr>
            <w:r>
              <w:rPr>
                <w:rFonts w:hint="eastAsia" w:ascii="方正书宋_GBK" w:eastAsia="方正书宋_GBK"/>
                <w:sz w:val="21"/>
                <w:szCs w:val="21"/>
              </w:rPr>
              <w:t>秦皇岛火车站广场管理处</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事业</w:t>
            </w:r>
            <w:r>
              <w:rPr>
                <w:rFonts w:hint="eastAsia" w:ascii="方正书宋_GBK" w:eastAsia="方正书宋_GBK"/>
                <w:sz w:val="21"/>
                <w:szCs w:val="21"/>
                <w:lang w:eastAsia="zh-CN"/>
              </w:rPr>
              <w:t>单位</w:t>
            </w:r>
          </w:p>
        </w:tc>
        <w:tc>
          <w:tcPr>
            <w:tcW w:w="1418"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正科级</w:t>
            </w:r>
          </w:p>
        </w:tc>
        <w:tc>
          <w:tcPr>
            <w:tcW w:w="2693"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财政拨款</w:t>
            </w:r>
          </w:p>
        </w:tc>
      </w:tr>
    </w:tbl>
    <w:p>
      <w:pPr>
        <w:ind w:firstLine="1273" w:firstLineChars="398"/>
        <w:rPr>
          <w:rFonts w:ascii="仿宋_GB2312" w:hAnsi="黑体"/>
          <w:szCs w:val="32"/>
        </w:rPr>
      </w:pP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10"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海港区住房和城建部门部门201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10"/>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海港区住房和城建部门部门201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1" w:name="OLE_LINK1"/>
      <w:bookmarkStart w:id="12" w:name="OLE_LINK2"/>
    </w:p>
    <w:p>
      <w:pPr>
        <w:ind w:firstLine="640"/>
        <w:rPr>
          <w:rFonts w:ascii="仿宋_GB2312"/>
          <w:szCs w:val="32"/>
        </w:rPr>
      </w:pPr>
      <w:bookmarkStart w:id="13" w:name="OLE_LINK23"/>
      <w:r>
        <w:rPr>
          <w:rFonts w:hint="eastAsia" w:ascii="仿宋_GB2312"/>
          <w:szCs w:val="32"/>
        </w:rPr>
        <w:t>2017年度决算收入合计</w:t>
      </w:r>
      <w:r>
        <w:rPr>
          <w:rFonts w:ascii="仿宋_GB2312"/>
          <w:szCs w:val="32"/>
        </w:rPr>
        <w:t>88,826.28</w:t>
      </w:r>
      <w:r>
        <w:rPr>
          <w:rFonts w:hint="eastAsia" w:ascii="仿宋_GB2312"/>
          <w:szCs w:val="32"/>
        </w:rPr>
        <w:t>万元，决算支出合计</w:t>
      </w:r>
      <w:r>
        <w:rPr>
          <w:rFonts w:ascii="仿宋_GB2312"/>
          <w:szCs w:val="32"/>
        </w:rPr>
        <w:t>73,883.32</w:t>
      </w:r>
      <w:r>
        <w:rPr>
          <w:rFonts w:hint="eastAsia" w:ascii="仿宋_GB2312"/>
          <w:szCs w:val="32"/>
        </w:rPr>
        <w:t>万元，</w:t>
      </w:r>
      <w:bookmarkStart w:id="14" w:name="OLE_LINK37"/>
      <w:r>
        <w:rPr>
          <w:rFonts w:hint="eastAsia" w:ascii="仿宋_GB2312"/>
          <w:szCs w:val="32"/>
        </w:rPr>
        <w:t>年初结转和结余</w:t>
      </w:r>
      <w:r>
        <w:rPr>
          <w:rFonts w:ascii="仿宋_GB2312"/>
          <w:szCs w:val="32"/>
        </w:rPr>
        <w:t>5,243.53</w:t>
      </w:r>
      <w:r>
        <w:rPr>
          <w:rFonts w:hint="eastAsia" w:ascii="仿宋_GB2312"/>
          <w:szCs w:val="32"/>
        </w:rPr>
        <w:t>万元，年末结转和结余</w:t>
      </w:r>
      <w:r>
        <w:rPr>
          <w:rFonts w:ascii="仿宋_GB2312"/>
          <w:szCs w:val="32"/>
        </w:rPr>
        <w:t>20,186.50</w:t>
      </w:r>
      <w:r>
        <w:rPr>
          <w:rFonts w:hint="eastAsia" w:ascii="仿宋_GB2312"/>
          <w:szCs w:val="32"/>
        </w:rPr>
        <w:t>万元</w:t>
      </w:r>
      <w:bookmarkEnd w:id="14"/>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年度收入与年初预算对比增加5</w:t>
      </w:r>
      <w:r>
        <w:rPr>
          <w:rFonts w:ascii="仿宋_GB2312"/>
          <w:szCs w:val="32"/>
        </w:rPr>
        <w:t>8669.34</w:t>
      </w:r>
      <w:r>
        <w:rPr>
          <w:rFonts w:hint="eastAsia" w:ascii="仿宋_GB2312"/>
          <w:szCs w:val="32"/>
        </w:rPr>
        <w:t>万元，原因是：财政拨款收入增加；与2</w:t>
      </w:r>
      <w:r>
        <w:rPr>
          <w:rFonts w:ascii="仿宋_GB2312"/>
          <w:szCs w:val="32"/>
        </w:rPr>
        <w:t>016</w:t>
      </w:r>
      <w:r>
        <w:rPr>
          <w:rFonts w:hint="eastAsia" w:ascii="仿宋_GB2312"/>
          <w:szCs w:val="32"/>
        </w:rPr>
        <w:t>年度收入相比，增加7</w:t>
      </w:r>
      <w:r>
        <w:rPr>
          <w:rFonts w:ascii="仿宋_GB2312"/>
          <w:szCs w:val="32"/>
        </w:rPr>
        <w:t>2,055.08</w:t>
      </w:r>
      <w:r>
        <w:rPr>
          <w:rFonts w:hint="eastAsia" w:ascii="仿宋_GB2312"/>
          <w:szCs w:val="32"/>
        </w:rPr>
        <w:t>万元，原因是：人员调资经费增加。</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年度支出与年初预算对比增加4</w:t>
      </w:r>
      <w:r>
        <w:rPr>
          <w:rFonts w:ascii="仿宋_GB2312"/>
          <w:szCs w:val="32"/>
        </w:rPr>
        <w:t>3726.38</w:t>
      </w:r>
      <w:r>
        <w:rPr>
          <w:rFonts w:hint="eastAsia" w:ascii="仿宋_GB2312"/>
          <w:szCs w:val="32"/>
        </w:rPr>
        <w:t>万元，原因是：支出增加；与2</w:t>
      </w:r>
      <w:r>
        <w:rPr>
          <w:rFonts w:ascii="仿宋_GB2312"/>
          <w:szCs w:val="32"/>
        </w:rPr>
        <w:t>016</w:t>
      </w:r>
      <w:r>
        <w:rPr>
          <w:rFonts w:hint="eastAsia" w:ascii="仿宋_GB2312"/>
          <w:szCs w:val="32"/>
        </w:rPr>
        <w:t>年度支出相比，增加6</w:t>
      </w:r>
      <w:r>
        <w:rPr>
          <w:rFonts w:ascii="仿宋_GB2312"/>
          <w:szCs w:val="32"/>
        </w:rPr>
        <w:t>1,508.36</w:t>
      </w:r>
      <w:r>
        <w:rPr>
          <w:rFonts w:hint="eastAsia" w:ascii="仿宋_GB2312"/>
          <w:szCs w:val="32"/>
        </w:rPr>
        <w:t>万元，原因是：人员调资增加经费支出。</w:t>
      </w:r>
    </w:p>
    <w:bookmarkEnd w:id="11"/>
    <w:bookmarkEnd w:id="12"/>
    <w:bookmarkEnd w:id="13"/>
    <w:p>
      <w:pPr>
        <w:ind w:firstLine="643"/>
        <w:rPr>
          <w:rFonts w:ascii="楷体" w:hAnsi="楷体" w:eastAsia="楷体"/>
          <w:b/>
          <w:szCs w:val="32"/>
        </w:rPr>
      </w:pPr>
      <w:bookmarkStart w:id="15" w:name="OLE_LINK4"/>
      <w:bookmarkStart w:id="16"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w:t>
      </w:r>
      <w:r>
        <w:rPr>
          <w:rFonts w:ascii="仿宋" w:hAnsi="仿宋" w:eastAsia="仿宋"/>
          <w:szCs w:val="32"/>
        </w:rPr>
        <w:t>88,826.28</w:t>
      </w:r>
      <w:r>
        <w:rPr>
          <w:rFonts w:hint="eastAsia" w:ascii="仿宋" w:hAnsi="仿宋" w:eastAsia="仿宋"/>
          <w:szCs w:val="32"/>
        </w:rPr>
        <w:t>万元，其中：财政拨款收入</w:t>
      </w:r>
      <w:r>
        <w:rPr>
          <w:rFonts w:ascii="仿宋" w:hAnsi="仿宋" w:eastAsia="仿宋"/>
          <w:szCs w:val="32"/>
        </w:rPr>
        <w:t>88,826.2</w:t>
      </w:r>
      <w:r>
        <w:rPr>
          <w:rFonts w:hint="eastAsia" w:ascii="仿宋" w:hAnsi="仿宋" w:eastAsia="仿宋"/>
          <w:szCs w:val="32"/>
        </w:rPr>
        <w:t>8万元，占总收入</w:t>
      </w:r>
      <w:r>
        <w:rPr>
          <w:rFonts w:ascii="仿宋" w:hAnsi="仿宋" w:eastAsia="仿宋"/>
          <w:szCs w:val="32"/>
        </w:rPr>
        <w:t>100%</w:t>
      </w:r>
      <w:r>
        <w:rPr>
          <w:rFonts w:hint="eastAsia" w:ascii="仿宋" w:hAnsi="仿宋" w:eastAsia="仿宋"/>
          <w:szCs w:val="32"/>
        </w:rPr>
        <w:t>；</w:t>
      </w:r>
      <w:bookmarkStart w:id="17" w:name="OLE_LINK33"/>
      <w:bookmarkStart w:id="18" w:name="OLE_LINK32"/>
      <w:r>
        <w:rPr>
          <w:rFonts w:hint="eastAsia" w:ascii="仿宋" w:hAnsi="仿宋" w:eastAsia="仿宋"/>
          <w:szCs w:val="32"/>
        </w:rPr>
        <w:t>事业收入0万元，占总收入0%</w:t>
      </w:r>
      <w:bookmarkEnd w:id="17"/>
      <w:bookmarkEnd w:id="18"/>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ascii="仿宋" w:hAnsi="仿宋" w:eastAsia="仿宋"/>
          <w:szCs w:val="32"/>
        </w:rPr>
        <w:t>73,883.32</w:t>
      </w:r>
      <w:r>
        <w:rPr>
          <w:rFonts w:hint="eastAsia" w:ascii="仿宋" w:hAnsi="仿宋" w:eastAsia="仿宋"/>
          <w:szCs w:val="32"/>
        </w:rPr>
        <w:t>万元，其中：</w:t>
      </w:r>
      <w:bookmarkStart w:id="19" w:name="OLE_LINK35"/>
      <w:r>
        <w:rPr>
          <w:rFonts w:hint="eastAsia" w:ascii="仿宋" w:hAnsi="仿宋" w:eastAsia="仿宋"/>
          <w:szCs w:val="32"/>
        </w:rPr>
        <w:t>基本支出</w:t>
      </w:r>
      <w:r>
        <w:rPr>
          <w:rFonts w:ascii="仿宋" w:hAnsi="仿宋" w:eastAsia="仿宋"/>
          <w:szCs w:val="32"/>
        </w:rPr>
        <w:t>27,958.28</w:t>
      </w:r>
      <w:r>
        <w:rPr>
          <w:rFonts w:hint="eastAsia" w:ascii="仿宋" w:hAnsi="仿宋" w:eastAsia="仿宋"/>
          <w:szCs w:val="32"/>
        </w:rPr>
        <w:t>万元，占总支出</w:t>
      </w:r>
      <w:r>
        <w:rPr>
          <w:rFonts w:ascii="仿宋" w:hAnsi="仿宋" w:eastAsia="仿宋"/>
          <w:szCs w:val="32"/>
        </w:rPr>
        <w:t>37</w:t>
      </w:r>
      <w:r>
        <w:rPr>
          <w:rFonts w:hint="eastAsia" w:ascii="仿宋" w:hAnsi="仿宋" w:eastAsia="仿宋"/>
          <w:szCs w:val="32"/>
        </w:rPr>
        <w:t>%；</w:t>
      </w:r>
      <w:bookmarkEnd w:id="19"/>
      <w:r>
        <w:rPr>
          <w:rFonts w:hint="eastAsia" w:ascii="仿宋" w:hAnsi="仿宋" w:eastAsia="仿宋"/>
          <w:szCs w:val="32"/>
        </w:rPr>
        <w:t>项目支出</w:t>
      </w:r>
      <w:r>
        <w:rPr>
          <w:rFonts w:ascii="仿宋" w:hAnsi="仿宋" w:eastAsia="仿宋"/>
          <w:szCs w:val="32"/>
        </w:rPr>
        <w:t>45,925.04</w:t>
      </w:r>
      <w:r>
        <w:rPr>
          <w:rFonts w:hint="eastAsia" w:ascii="仿宋" w:hAnsi="仿宋" w:eastAsia="仿宋"/>
          <w:szCs w:val="32"/>
        </w:rPr>
        <w:t>万元，占总支出</w:t>
      </w:r>
      <w:r>
        <w:rPr>
          <w:rFonts w:ascii="仿宋" w:hAnsi="仿宋" w:eastAsia="仿宋"/>
          <w:szCs w:val="32"/>
        </w:rPr>
        <w:t>63</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5"/>
      <w:bookmarkEnd w:id="16"/>
      <w:r>
        <w:rPr>
          <w:rFonts w:hint="eastAsia" w:ascii="楷体" w:hAnsi="楷体" w:eastAsia="楷体"/>
          <w:b/>
          <w:szCs w:val="32"/>
        </w:rPr>
        <w:t>收入支出决算总体情况说明</w:t>
      </w:r>
    </w:p>
    <w:p>
      <w:pPr>
        <w:ind w:firstLine="640"/>
        <w:rPr>
          <w:rFonts w:ascii="仿宋_GB2312"/>
          <w:szCs w:val="32"/>
        </w:rPr>
      </w:pPr>
      <w:bookmarkStart w:id="20" w:name="OLE_LINK29"/>
      <w:r>
        <w:rPr>
          <w:rFonts w:hint="eastAsia" w:ascii="仿宋_GB2312"/>
          <w:szCs w:val="32"/>
        </w:rPr>
        <w:t>2017年度财政拨款收入决算合计</w:t>
      </w:r>
      <w:r>
        <w:rPr>
          <w:rFonts w:ascii="仿宋_GB2312"/>
          <w:szCs w:val="32"/>
        </w:rPr>
        <w:t>88,826.28</w:t>
      </w:r>
      <w:r>
        <w:rPr>
          <w:rFonts w:hint="eastAsia" w:ascii="仿宋_GB2312"/>
          <w:szCs w:val="32"/>
        </w:rPr>
        <w:t>万元，财政拨款支出决算合计</w:t>
      </w:r>
      <w:r>
        <w:rPr>
          <w:rFonts w:ascii="仿宋_GB2312"/>
          <w:szCs w:val="32"/>
        </w:rPr>
        <w:t>73,883.32</w:t>
      </w:r>
      <w:r>
        <w:rPr>
          <w:rFonts w:hint="eastAsia" w:ascii="仿宋_GB2312"/>
          <w:szCs w:val="32"/>
        </w:rPr>
        <w:t>万元，年初结转和结余</w:t>
      </w:r>
      <w:r>
        <w:rPr>
          <w:rFonts w:ascii="仿宋_GB2312"/>
          <w:szCs w:val="32"/>
        </w:rPr>
        <w:t>5,243.53</w:t>
      </w:r>
      <w:r>
        <w:rPr>
          <w:rFonts w:hint="eastAsia" w:ascii="仿宋_GB2312"/>
          <w:szCs w:val="32"/>
        </w:rPr>
        <w:t>万元，年末结转和结余</w:t>
      </w:r>
      <w:r>
        <w:rPr>
          <w:rFonts w:ascii="仿宋_GB2312"/>
          <w:szCs w:val="32"/>
        </w:rPr>
        <w:t>20,186.50</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年度财政拨款收入与年初预算对比增加5</w:t>
      </w:r>
      <w:r>
        <w:rPr>
          <w:rFonts w:ascii="仿宋_GB2312"/>
          <w:szCs w:val="32"/>
        </w:rPr>
        <w:t>8669.34</w:t>
      </w:r>
      <w:r>
        <w:rPr>
          <w:rFonts w:hint="eastAsia" w:ascii="仿宋_GB2312"/>
          <w:szCs w:val="32"/>
        </w:rPr>
        <w:t>万元，原因是：财政拨款收入增加；与2</w:t>
      </w:r>
      <w:r>
        <w:rPr>
          <w:rFonts w:ascii="仿宋_GB2312"/>
          <w:szCs w:val="32"/>
        </w:rPr>
        <w:t>016</w:t>
      </w:r>
      <w:r>
        <w:rPr>
          <w:rFonts w:hint="eastAsia" w:ascii="仿宋_GB2312"/>
          <w:szCs w:val="32"/>
        </w:rPr>
        <w:t>年度相比，增加7</w:t>
      </w:r>
      <w:r>
        <w:rPr>
          <w:rFonts w:ascii="仿宋_GB2312"/>
          <w:szCs w:val="32"/>
        </w:rPr>
        <w:t>2,055.08</w:t>
      </w:r>
      <w:r>
        <w:rPr>
          <w:rFonts w:hint="eastAsia" w:ascii="仿宋_GB2312"/>
          <w:szCs w:val="32"/>
        </w:rPr>
        <w:t>万元，原因是：人员调资增加经费收入。</w:t>
      </w:r>
      <w:bookmarkEnd w:id="20"/>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年度财政拨款支出与年初预算对比增加4</w:t>
      </w:r>
      <w:r>
        <w:rPr>
          <w:rFonts w:ascii="仿宋_GB2312"/>
          <w:szCs w:val="32"/>
        </w:rPr>
        <w:t>3726.38</w:t>
      </w:r>
      <w:r>
        <w:rPr>
          <w:rFonts w:hint="eastAsia" w:ascii="仿宋_GB2312"/>
          <w:szCs w:val="32"/>
        </w:rPr>
        <w:t>万元，原因是：支出增加；与2</w:t>
      </w:r>
      <w:r>
        <w:rPr>
          <w:rFonts w:ascii="仿宋_GB2312"/>
          <w:szCs w:val="32"/>
        </w:rPr>
        <w:t>016</w:t>
      </w:r>
      <w:r>
        <w:rPr>
          <w:rFonts w:hint="eastAsia" w:ascii="仿宋_GB2312"/>
          <w:szCs w:val="32"/>
        </w:rPr>
        <w:t>年度支出相比，增加6</w:t>
      </w:r>
      <w:r>
        <w:rPr>
          <w:rFonts w:ascii="仿宋_GB2312"/>
          <w:szCs w:val="32"/>
        </w:rPr>
        <w:t>1,508.36</w:t>
      </w:r>
      <w:r>
        <w:rPr>
          <w:rFonts w:hint="eastAsia" w:ascii="仿宋_GB2312"/>
          <w:szCs w:val="32"/>
        </w:rPr>
        <w:t>万元，原因是：人员调资增加经费支出。</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bookmarkStart w:id="21" w:name="_Hlk527037364"/>
            <w:r>
              <w:rPr>
                <w:rFonts w:ascii="仿宋_GB2312"/>
                <w:sz w:val="24"/>
                <w:szCs w:val="24"/>
              </w:rPr>
              <w:t>42.86</w:t>
            </w:r>
            <w:bookmarkEnd w:id="21"/>
          </w:p>
        </w:tc>
        <w:tc>
          <w:tcPr>
            <w:tcW w:w="1446" w:type="dxa"/>
          </w:tcPr>
          <w:p>
            <w:pPr>
              <w:ind w:firstLine="0" w:firstLineChars="0"/>
              <w:jc w:val="center"/>
              <w:rPr>
                <w:rFonts w:ascii="仿宋_GB2312"/>
                <w:sz w:val="24"/>
                <w:szCs w:val="24"/>
              </w:rPr>
            </w:pPr>
            <w:r>
              <w:rPr>
                <w:rFonts w:ascii="仿宋_GB2312"/>
                <w:sz w:val="24"/>
                <w:szCs w:val="24"/>
              </w:rPr>
              <w:t>27.18</w:t>
            </w:r>
          </w:p>
        </w:tc>
        <w:tc>
          <w:tcPr>
            <w:tcW w:w="1446" w:type="dxa"/>
          </w:tcPr>
          <w:p>
            <w:pPr>
              <w:ind w:firstLine="0" w:firstLineChars="0"/>
              <w:jc w:val="center"/>
              <w:rPr>
                <w:rFonts w:ascii="仿宋_GB2312"/>
                <w:sz w:val="24"/>
                <w:szCs w:val="24"/>
              </w:rPr>
            </w:pPr>
            <w:r>
              <w:rPr>
                <w:rFonts w:hint="eastAsia" w:ascii="仿宋_GB2312"/>
                <w:sz w:val="24"/>
                <w:szCs w:val="24"/>
              </w:rPr>
              <w:t>2</w:t>
            </w:r>
            <w:r>
              <w:rPr>
                <w:rFonts w:ascii="仿宋_GB2312"/>
                <w:sz w:val="24"/>
                <w:szCs w:val="24"/>
              </w:rPr>
              <w:t>1.80</w:t>
            </w:r>
          </w:p>
        </w:tc>
        <w:tc>
          <w:tcPr>
            <w:tcW w:w="1474" w:type="dxa"/>
          </w:tcPr>
          <w:p>
            <w:pPr>
              <w:ind w:firstLine="0" w:firstLineChars="0"/>
              <w:jc w:val="center"/>
              <w:rPr>
                <w:rFonts w:ascii="仿宋_GB2312"/>
                <w:sz w:val="24"/>
                <w:szCs w:val="24"/>
              </w:rPr>
            </w:pPr>
            <w:r>
              <w:rPr>
                <w:rFonts w:hint="eastAsia" w:ascii="仿宋_GB2312"/>
                <w:sz w:val="24"/>
                <w:szCs w:val="24"/>
              </w:rPr>
              <w:t>1</w:t>
            </w:r>
            <w:r>
              <w:rPr>
                <w:rFonts w:ascii="仿宋_GB2312"/>
                <w:sz w:val="24"/>
                <w:szCs w:val="24"/>
              </w:rPr>
              <w:t>5.68</w:t>
            </w:r>
          </w:p>
        </w:tc>
        <w:tc>
          <w:tcPr>
            <w:tcW w:w="1417" w:type="dxa"/>
          </w:tcPr>
          <w:p>
            <w:pPr>
              <w:ind w:firstLine="0" w:firstLineChars="0"/>
              <w:jc w:val="center"/>
              <w:rPr>
                <w:rFonts w:ascii="仿宋_GB2312"/>
                <w:sz w:val="24"/>
                <w:szCs w:val="24"/>
              </w:rPr>
            </w:pPr>
            <w:r>
              <w:rPr>
                <w:rFonts w:hint="eastAsia" w:ascii="仿宋_GB2312"/>
                <w:sz w:val="24"/>
                <w:szCs w:val="24"/>
              </w:rPr>
              <w:t>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42.86</w:t>
            </w:r>
          </w:p>
        </w:tc>
        <w:tc>
          <w:tcPr>
            <w:tcW w:w="1446" w:type="dxa"/>
          </w:tcPr>
          <w:p>
            <w:pPr>
              <w:ind w:firstLine="0" w:firstLineChars="0"/>
              <w:jc w:val="center"/>
              <w:rPr>
                <w:rFonts w:ascii="仿宋_GB2312"/>
                <w:sz w:val="24"/>
                <w:szCs w:val="24"/>
              </w:rPr>
            </w:pPr>
            <w:r>
              <w:rPr>
                <w:rFonts w:hint="eastAsia" w:ascii="仿宋_GB2312"/>
                <w:sz w:val="24"/>
                <w:szCs w:val="24"/>
              </w:rPr>
              <w:t>22.68</w:t>
            </w:r>
          </w:p>
        </w:tc>
        <w:tc>
          <w:tcPr>
            <w:tcW w:w="1446" w:type="dxa"/>
          </w:tcPr>
          <w:p>
            <w:pPr>
              <w:ind w:firstLine="0" w:firstLineChars="0"/>
              <w:jc w:val="center"/>
              <w:rPr>
                <w:rFonts w:ascii="仿宋_GB2312"/>
                <w:sz w:val="24"/>
                <w:szCs w:val="24"/>
              </w:rPr>
            </w:pPr>
            <w:r>
              <w:rPr>
                <w:rFonts w:hint="eastAsia" w:ascii="仿宋_GB2312"/>
                <w:sz w:val="24"/>
                <w:szCs w:val="24"/>
              </w:rPr>
              <w:t>21.80</w:t>
            </w:r>
          </w:p>
        </w:tc>
        <w:tc>
          <w:tcPr>
            <w:tcW w:w="1474" w:type="dxa"/>
          </w:tcPr>
          <w:p>
            <w:pPr>
              <w:ind w:firstLine="0" w:firstLineChars="0"/>
              <w:jc w:val="center"/>
              <w:rPr>
                <w:rFonts w:ascii="仿宋_GB2312"/>
                <w:sz w:val="24"/>
                <w:szCs w:val="24"/>
              </w:rPr>
            </w:pPr>
            <w:r>
              <w:rPr>
                <w:rFonts w:hint="eastAsia" w:ascii="仿宋_GB2312"/>
                <w:sz w:val="24"/>
                <w:szCs w:val="24"/>
              </w:rPr>
              <w:t>20.18</w:t>
            </w:r>
          </w:p>
        </w:tc>
        <w:tc>
          <w:tcPr>
            <w:tcW w:w="1417" w:type="dxa"/>
          </w:tcPr>
          <w:p>
            <w:pPr>
              <w:ind w:firstLine="0" w:firstLineChars="0"/>
              <w:jc w:val="center"/>
              <w:rPr>
                <w:rFonts w:ascii="仿宋_GB2312"/>
                <w:sz w:val="24"/>
                <w:szCs w:val="24"/>
              </w:rPr>
            </w:pPr>
            <w:r>
              <w:rPr>
                <w:rFonts w:hint="eastAsia" w:ascii="仿宋_GB2312"/>
                <w:sz w:val="24"/>
                <w:szCs w:val="24"/>
              </w:rPr>
              <w:t>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22"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ascii="仿宋_GB2312"/>
                <w:sz w:val="24"/>
                <w:szCs w:val="24"/>
              </w:rPr>
              <w:t>42.86</w:t>
            </w:r>
          </w:p>
        </w:tc>
        <w:tc>
          <w:tcPr>
            <w:tcW w:w="1446" w:type="dxa"/>
          </w:tcPr>
          <w:p>
            <w:pPr>
              <w:ind w:firstLine="0" w:firstLineChars="0"/>
              <w:jc w:val="center"/>
              <w:rPr>
                <w:rFonts w:ascii="仿宋_GB2312"/>
                <w:sz w:val="24"/>
                <w:szCs w:val="24"/>
              </w:rPr>
            </w:pPr>
            <w:r>
              <w:rPr>
                <w:rFonts w:ascii="仿宋_GB2312"/>
                <w:sz w:val="24"/>
                <w:szCs w:val="24"/>
              </w:rPr>
              <w:t>22.68</w:t>
            </w:r>
          </w:p>
        </w:tc>
        <w:tc>
          <w:tcPr>
            <w:tcW w:w="1446" w:type="dxa"/>
          </w:tcPr>
          <w:p>
            <w:pPr>
              <w:ind w:firstLine="0" w:firstLineChars="0"/>
              <w:jc w:val="center"/>
              <w:rPr>
                <w:rFonts w:ascii="仿宋_GB2312"/>
                <w:sz w:val="24"/>
                <w:szCs w:val="24"/>
              </w:rPr>
            </w:pPr>
            <w:r>
              <w:rPr>
                <w:rFonts w:hint="eastAsia" w:ascii="仿宋_GB2312"/>
                <w:sz w:val="24"/>
                <w:szCs w:val="24"/>
              </w:rPr>
              <w:t>2</w:t>
            </w:r>
            <w:r>
              <w:rPr>
                <w:rFonts w:ascii="仿宋_GB2312"/>
                <w:sz w:val="24"/>
                <w:szCs w:val="24"/>
              </w:rPr>
              <w:t>1.80</w:t>
            </w:r>
          </w:p>
        </w:tc>
        <w:tc>
          <w:tcPr>
            <w:tcW w:w="1474" w:type="dxa"/>
          </w:tcPr>
          <w:p>
            <w:pPr>
              <w:ind w:firstLine="0" w:firstLineChars="0"/>
              <w:jc w:val="center"/>
              <w:rPr>
                <w:rFonts w:ascii="仿宋_GB2312"/>
                <w:sz w:val="24"/>
                <w:szCs w:val="24"/>
              </w:rPr>
            </w:pPr>
            <w:r>
              <w:rPr>
                <w:rFonts w:hint="eastAsia" w:ascii="仿宋_GB2312"/>
                <w:sz w:val="24"/>
                <w:szCs w:val="24"/>
              </w:rPr>
              <w:t>2</w:t>
            </w:r>
            <w:r>
              <w:rPr>
                <w:rFonts w:ascii="仿宋_GB2312"/>
                <w:sz w:val="24"/>
                <w:szCs w:val="24"/>
              </w:rPr>
              <w:t>0.18</w:t>
            </w:r>
          </w:p>
        </w:tc>
        <w:tc>
          <w:tcPr>
            <w:tcW w:w="1417" w:type="dxa"/>
          </w:tcPr>
          <w:p>
            <w:pPr>
              <w:ind w:firstLine="0" w:firstLineChars="0"/>
              <w:jc w:val="center"/>
              <w:rPr>
                <w:rFonts w:ascii="仿宋_GB2312"/>
                <w:sz w:val="24"/>
                <w:szCs w:val="24"/>
              </w:rPr>
            </w:pPr>
            <w:r>
              <w:rPr>
                <w:rFonts w:hint="eastAsia" w:ascii="仿宋_GB2312"/>
                <w:sz w:val="24"/>
                <w:szCs w:val="24"/>
              </w:rPr>
              <w:t>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4.50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w:t>
            </w:r>
            <w:r>
              <w:rPr>
                <w:rFonts w:ascii="仿宋_GB2312"/>
                <w:sz w:val="24"/>
                <w:szCs w:val="24"/>
              </w:rPr>
              <w:t>4.50</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0"/>
        <w:rPr>
          <w:rFonts w:ascii="仿宋_GB2312"/>
          <w:b/>
          <w:szCs w:val="32"/>
        </w:rPr>
      </w:pPr>
      <w:r>
        <w:rPr>
          <w:rFonts w:hint="eastAsia" w:ascii="仿宋_GB2312"/>
          <w:b/>
          <w:szCs w:val="32"/>
        </w:rPr>
        <w:t>（一）对比增减原因分析</w:t>
      </w:r>
    </w:p>
    <w:p>
      <w:pPr>
        <w:ind w:firstLine="640"/>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ascii="仿宋_GB2312"/>
          <w:szCs w:val="32"/>
        </w:rPr>
        <w:t>42.86</w:t>
      </w:r>
      <w:r>
        <w:rPr>
          <w:rFonts w:hint="eastAsia" w:ascii="仿宋_GB2312"/>
          <w:szCs w:val="32"/>
        </w:rPr>
        <w:t>万元，与年初预算相比增加1</w:t>
      </w:r>
      <w:r>
        <w:rPr>
          <w:rFonts w:ascii="仿宋_GB2312"/>
          <w:szCs w:val="32"/>
        </w:rPr>
        <w:t>5.68</w:t>
      </w:r>
      <w:r>
        <w:rPr>
          <w:rFonts w:hint="eastAsia" w:ascii="仿宋_GB2312"/>
          <w:szCs w:val="32"/>
        </w:rPr>
        <w:t>万元，增长5</w:t>
      </w:r>
      <w:r>
        <w:rPr>
          <w:rFonts w:ascii="仿宋_GB2312"/>
          <w:szCs w:val="32"/>
        </w:rPr>
        <w:t>7</w:t>
      </w:r>
      <w:r>
        <w:rPr>
          <w:rFonts w:hint="eastAsia" w:ascii="仿宋_GB2312"/>
          <w:szCs w:val="32"/>
        </w:rPr>
        <w:t>%，原因是：公务用车支出增加</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年度决算数相比增加21.06万元，原因是：公务用车增加支出增加。</w:t>
      </w:r>
    </w:p>
    <w:p>
      <w:pPr>
        <w:ind w:firstLine="640"/>
        <w:rPr>
          <w:rFonts w:ascii="仿宋_GB2312"/>
          <w:szCs w:val="32"/>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年度因公出国（境）费0万元，与年初预算相比增加0万元，增长0%，原因是：2017年无因公出国费用，与2</w:t>
      </w:r>
      <w:r>
        <w:rPr>
          <w:rFonts w:ascii="仿宋_GB2312"/>
          <w:szCs w:val="32"/>
        </w:rPr>
        <w:t>016</w:t>
      </w:r>
      <w:r>
        <w:rPr>
          <w:rFonts w:hint="eastAsia" w:ascii="仿宋_GB2312"/>
          <w:szCs w:val="32"/>
        </w:rPr>
        <w:t>年度决算数相比增加0万元，原因是：2016年无因公出国费用。</w:t>
      </w:r>
    </w:p>
    <w:p>
      <w:pPr>
        <w:ind w:firstLine="640"/>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w:t>
      </w:r>
      <w:r>
        <w:rPr>
          <w:rFonts w:ascii="仿宋_GB2312"/>
          <w:szCs w:val="32"/>
        </w:rPr>
        <w:t>42.86</w:t>
      </w:r>
      <w:r>
        <w:rPr>
          <w:rFonts w:hint="eastAsia" w:ascii="仿宋_GB2312"/>
          <w:szCs w:val="32"/>
        </w:rPr>
        <w:t>万元，与年初预算相比增加2</w:t>
      </w:r>
      <w:r>
        <w:rPr>
          <w:rFonts w:ascii="仿宋_GB2312"/>
          <w:szCs w:val="32"/>
        </w:rPr>
        <w:t>0.18</w:t>
      </w:r>
      <w:r>
        <w:rPr>
          <w:rFonts w:hint="eastAsia" w:ascii="仿宋_GB2312"/>
          <w:szCs w:val="32"/>
        </w:rPr>
        <w:t>万元，增长8</w:t>
      </w:r>
      <w:r>
        <w:rPr>
          <w:rFonts w:ascii="仿宋_GB2312"/>
          <w:szCs w:val="32"/>
        </w:rPr>
        <w:t>8</w:t>
      </w:r>
      <w:r>
        <w:rPr>
          <w:rFonts w:hint="eastAsia" w:ascii="仿宋_GB2312"/>
          <w:szCs w:val="32"/>
        </w:rPr>
        <w:t>%，原因是：公务用车支出增加，与2</w:t>
      </w:r>
      <w:r>
        <w:rPr>
          <w:rFonts w:ascii="仿宋_GB2312"/>
          <w:szCs w:val="32"/>
        </w:rPr>
        <w:t>016</w:t>
      </w:r>
      <w:r>
        <w:rPr>
          <w:rFonts w:hint="eastAsia" w:ascii="仿宋_GB2312"/>
          <w:szCs w:val="32"/>
        </w:rPr>
        <w:t>年度决算数相比增加2</w:t>
      </w:r>
      <w:r>
        <w:rPr>
          <w:rFonts w:ascii="仿宋_GB2312"/>
          <w:szCs w:val="32"/>
        </w:rPr>
        <w:t>1.06</w:t>
      </w:r>
      <w:r>
        <w:rPr>
          <w:rFonts w:hint="eastAsia" w:ascii="仿宋_GB2312"/>
          <w:szCs w:val="32"/>
        </w:rPr>
        <w:t>万元，原因是：机构改革建口部门增加了一个新的预算单位。</w:t>
      </w:r>
    </w:p>
    <w:p>
      <w:pPr>
        <w:ind w:firstLine="640"/>
        <w:rPr>
          <w:rFonts w:ascii="仿宋_GB2312"/>
          <w:szCs w:val="32"/>
        </w:rPr>
      </w:pPr>
      <w:r>
        <w:rPr>
          <w:rFonts w:hint="eastAsia" w:ascii="仿宋_GB2312"/>
          <w:szCs w:val="32"/>
        </w:rPr>
        <w:t>其中：公务用车购置费,</w:t>
      </w:r>
      <w:r>
        <w:rPr>
          <w:rFonts w:hint="eastAsia"/>
        </w:rPr>
        <w:t xml:space="preserve"> </w:t>
      </w:r>
      <w:r>
        <w:rPr>
          <w:rFonts w:hint="eastAsia" w:ascii="仿宋_GB2312"/>
          <w:szCs w:val="32"/>
        </w:rPr>
        <w:t>与年初预算相比增加0万元，增长0%，原因是：2017年未发生公务用车购置费用，与2016年度决算数相比增加0万元，原因是：2016年未发生公务用车购置费用。</w:t>
      </w:r>
    </w:p>
    <w:p>
      <w:pPr>
        <w:ind w:firstLine="640"/>
        <w:rPr>
          <w:rFonts w:ascii="仿宋_GB2312"/>
          <w:szCs w:val="32"/>
        </w:rPr>
      </w:pPr>
      <w:r>
        <w:rPr>
          <w:rFonts w:hint="eastAsia" w:ascii="仿宋_GB2312"/>
          <w:szCs w:val="32"/>
        </w:rPr>
        <w:t>其中：公务用车维护费,</w:t>
      </w:r>
      <w:r>
        <w:rPr>
          <w:rFonts w:hint="eastAsia"/>
        </w:rPr>
        <w:t xml:space="preserve"> </w:t>
      </w:r>
      <w:r>
        <w:rPr>
          <w:rFonts w:hint="eastAsia" w:ascii="仿宋_GB2312"/>
          <w:szCs w:val="32"/>
        </w:rPr>
        <w:t>与年初预算相比增加20.18万元，增长88%，原因是：公务用车支出增加，与2016年度决算数相比增加21.06 万元，原因是：机构改革建口部门增加了一个新的预算单位。</w:t>
      </w:r>
    </w:p>
    <w:p>
      <w:pPr>
        <w:ind w:firstLine="640"/>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年度公务接待费0万元，与年初预算相比减少4</w:t>
      </w:r>
      <w:r>
        <w:rPr>
          <w:rFonts w:ascii="仿宋_GB2312"/>
          <w:szCs w:val="32"/>
        </w:rPr>
        <w:t>.50</w:t>
      </w:r>
      <w:r>
        <w:rPr>
          <w:rFonts w:hint="eastAsia" w:ascii="仿宋_GB2312"/>
          <w:szCs w:val="32"/>
        </w:rPr>
        <w:t>万元，降低1</w:t>
      </w:r>
      <w:r>
        <w:rPr>
          <w:rFonts w:ascii="仿宋_GB2312"/>
          <w:szCs w:val="32"/>
        </w:rPr>
        <w:t>00</w:t>
      </w:r>
      <w:r>
        <w:rPr>
          <w:rFonts w:hint="eastAsia" w:ascii="仿宋_GB2312"/>
          <w:szCs w:val="32"/>
        </w:rPr>
        <w:t>%，原因是：2017年无公务接待费，与2</w:t>
      </w:r>
      <w:r>
        <w:rPr>
          <w:rFonts w:ascii="仿宋_GB2312"/>
          <w:szCs w:val="32"/>
        </w:rPr>
        <w:t>016</w:t>
      </w:r>
      <w:r>
        <w:rPr>
          <w:rFonts w:hint="eastAsia" w:ascii="仿宋_GB2312"/>
          <w:szCs w:val="32"/>
        </w:rPr>
        <w:t>年度决算数相比增加0，原因是：2016年无公务接待费。</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1．公务用车购置数量为0辆，公务用车保有量517辆；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（一）预算绩效管理工作开展情况</w:t>
      </w:r>
    </w:p>
    <w:p>
      <w:pPr>
        <w:ind w:firstLine="640"/>
        <w:rPr>
          <w:rFonts w:ascii="仿宋_GB2312"/>
          <w:szCs w:val="32"/>
        </w:rPr>
      </w:pPr>
      <w:r>
        <w:rPr>
          <w:rFonts w:hint="eastAsia" w:ascii="仿宋_GB2312"/>
          <w:szCs w:val="32"/>
        </w:rPr>
        <w:t>组织协调全区城乡容貌秩序管理，对全区城市管理监察和市容环卫实施业务领导和统一监督管理。组织制定环境卫生管理制度的年度计划，管理和监察全区城乡环境卫生，统筹安排全区环卫系统的基本建设项目和环卫设备更新改造计划，对新建、改建、扩建市容环卫配套设施的设计方案进行审查，对方案的实施进行监督和验收。清运处理各类生活垃圾，管理建筑垃圾的排放。管理监察生活垃圾无害化处理和综合利用的工作。</w:t>
      </w:r>
    </w:p>
    <w:p>
      <w:pPr>
        <w:ind w:firstLine="640"/>
        <w:rPr>
          <w:rFonts w:ascii="仿宋_GB2312"/>
          <w:szCs w:val="32"/>
        </w:rPr>
      </w:pPr>
      <w:r>
        <w:rPr>
          <w:rFonts w:hint="eastAsia" w:ascii="仿宋_GB2312"/>
          <w:szCs w:val="32"/>
        </w:rPr>
        <w:t>（二）预算项目绩效评价开展情况</w:t>
      </w:r>
    </w:p>
    <w:p>
      <w:pPr>
        <w:ind w:firstLine="640"/>
        <w:rPr>
          <w:rFonts w:ascii="仿宋_GB2312"/>
          <w:szCs w:val="32"/>
        </w:rPr>
      </w:pPr>
      <w:r>
        <w:rPr>
          <w:rFonts w:hint="eastAsia" w:ascii="仿宋_GB2312"/>
          <w:szCs w:val="32"/>
        </w:rPr>
        <w:t>制定适合的环卫管理规范和作业标准，并落实相关工作，对外进行政策宣传，创造整洁的城市环境，实现垃圾的及时清运和无害化处理，实现城乡一体化作业，实现粪便的无害化处理，形成良好的城市生活环境。按期完成市政设施建设和维护管理任务充分发挥信息化、科学化手段，发现问题解决问题，提高工作效率。</w:t>
      </w:r>
    </w:p>
    <w:p>
      <w:pPr>
        <w:ind w:firstLine="640"/>
        <w:rPr>
          <w:rFonts w:ascii="仿宋_GB2312"/>
          <w:szCs w:val="32"/>
        </w:rPr>
      </w:pPr>
      <w:r>
        <w:rPr>
          <w:rFonts w:hint="eastAsia" w:ascii="仿宋_GB2312"/>
          <w:szCs w:val="32"/>
        </w:rPr>
        <w:t>（三）预算项目绩效自评选例</w:t>
      </w:r>
    </w:p>
    <w:p>
      <w:pPr>
        <w:ind w:firstLine="640"/>
        <w:rPr>
          <w:rFonts w:ascii="仿宋_GB2312"/>
          <w:szCs w:val="32"/>
        </w:rPr>
      </w:pPr>
      <w:r>
        <w:rPr>
          <w:rFonts w:hint="eastAsia" w:ascii="仿宋_GB2312"/>
          <w:szCs w:val="32"/>
        </w:rPr>
        <w:t>统筹安排全区环卫系统的基本建设项目和环卫设备更新改造计划，新建、改建、扩建市容环卫配套设施，实施进行监督管理和验收。负责全区城乡环境卫生管理和监察，负责施工工地容貌秩序的监督管理。</w:t>
      </w:r>
    </w:p>
    <w:p>
      <w:pPr>
        <w:ind w:firstLine="640"/>
        <w:rPr>
          <w:rFonts w:ascii="仿宋_GB2312"/>
          <w:szCs w:val="32"/>
        </w:rPr>
      </w:pPr>
      <w:r>
        <w:rPr>
          <w:rFonts w:hint="eastAsia" w:ascii="仿宋_GB2312"/>
          <w:szCs w:val="32"/>
        </w:rPr>
        <w:t>（四）部门决算量化评价说明，将2017年度部门决算中《部门决算量化评价表》相关数据和信息进行说明。</w:t>
      </w:r>
    </w:p>
    <w:p>
      <w:pPr>
        <w:ind w:firstLine="640"/>
        <w:rPr>
          <w:rFonts w:ascii="仿宋_GB2312"/>
          <w:szCs w:val="32"/>
        </w:rPr>
      </w:pPr>
      <w:r>
        <w:rPr>
          <w:rFonts w:hint="eastAsia" w:ascii="仿宋_GB2312"/>
          <w:szCs w:val="32"/>
        </w:rPr>
        <w:t>1、预算编制的准确完整性</w:t>
      </w:r>
    </w:p>
    <w:p>
      <w:pPr>
        <w:ind w:firstLine="640"/>
        <w:rPr>
          <w:rFonts w:ascii="仿宋_GB2312"/>
          <w:szCs w:val="32"/>
        </w:rPr>
      </w:pPr>
      <w:r>
        <w:rPr>
          <w:rFonts w:hint="eastAsia" w:ascii="仿宋_GB2312"/>
          <w:szCs w:val="32"/>
        </w:rPr>
        <w:t>预算拨款收入预算差异率扣10分，原因为创城工作量增加，支出增加等原因导致我部门实际收入大于年初预算。</w:t>
      </w:r>
    </w:p>
    <w:p>
      <w:pPr>
        <w:ind w:firstLine="640"/>
        <w:rPr>
          <w:rFonts w:ascii="仿宋_GB2312"/>
          <w:szCs w:val="32"/>
        </w:rPr>
      </w:pPr>
      <w:r>
        <w:rPr>
          <w:rFonts w:hint="eastAsia" w:ascii="仿宋_GB2312"/>
          <w:szCs w:val="32"/>
        </w:rPr>
        <w:t>人员经费预决算差异率扣0.5分，原因为机构改革，人员发生变化。</w:t>
      </w:r>
    </w:p>
    <w:p>
      <w:pPr>
        <w:ind w:firstLine="640"/>
        <w:rPr>
          <w:rFonts w:ascii="仿宋_GB2312"/>
          <w:szCs w:val="32"/>
        </w:rPr>
      </w:pPr>
      <w:r>
        <w:rPr>
          <w:rFonts w:hint="eastAsia" w:ascii="仿宋_GB2312"/>
          <w:szCs w:val="32"/>
        </w:rPr>
        <w:t>公用经费预决算差异率扣2分，原因为实际支出增加，导致经费支出增加。</w:t>
      </w:r>
    </w:p>
    <w:p>
      <w:pPr>
        <w:ind w:firstLine="640"/>
        <w:rPr>
          <w:rFonts w:ascii="仿宋_GB2312"/>
          <w:szCs w:val="32"/>
        </w:rPr>
      </w:pPr>
      <w:r>
        <w:rPr>
          <w:rFonts w:hint="eastAsia" w:ascii="仿宋_GB2312"/>
          <w:szCs w:val="32"/>
        </w:rPr>
        <w:t>2、预算执行的有效性</w:t>
      </w:r>
    </w:p>
    <w:p>
      <w:pPr>
        <w:ind w:firstLine="640"/>
        <w:rPr>
          <w:rFonts w:ascii="仿宋_GB2312"/>
          <w:szCs w:val="32"/>
        </w:rPr>
      </w:pPr>
      <w:r>
        <w:rPr>
          <w:rFonts w:hint="eastAsia" w:ascii="仿宋_GB2312"/>
          <w:szCs w:val="32"/>
        </w:rPr>
        <w:t>财政拨款结转和结余率扣2.5分，原因为部分资金结转下年使用。</w:t>
      </w:r>
    </w:p>
    <w:p>
      <w:pPr>
        <w:ind w:firstLine="640"/>
        <w:rPr>
          <w:rFonts w:ascii="仿宋_GB2312"/>
          <w:szCs w:val="32"/>
        </w:rPr>
      </w:pPr>
      <w:r>
        <w:rPr>
          <w:rFonts w:hint="eastAsia" w:ascii="仿宋_GB2312"/>
          <w:szCs w:val="32"/>
        </w:rPr>
        <w:t>财政拨款结转和结余资金上下年变动率扣5分，原因为本年的结余结转资金较上年增长较多。</w:t>
      </w:r>
    </w:p>
    <w:p>
      <w:pPr>
        <w:ind w:firstLine="640"/>
        <w:rPr>
          <w:rFonts w:ascii="仿宋_GB2312"/>
          <w:szCs w:val="32"/>
        </w:rPr>
      </w:pPr>
      <w:r>
        <w:rPr>
          <w:rFonts w:hint="eastAsia" w:ascii="仿宋_GB2312"/>
          <w:szCs w:val="32"/>
        </w:rPr>
        <w:t>财政收回存量资金占上年财政拨款结转和结余比重扣1分，原因为项目结束，未使用资金上缴。</w:t>
      </w:r>
    </w:p>
    <w:p>
      <w:pPr>
        <w:ind w:firstLine="640"/>
        <w:rPr>
          <w:rFonts w:ascii="仿宋_GB2312"/>
          <w:szCs w:val="32"/>
        </w:rPr>
      </w:pPr>
      <w:r>
        <w:rPr>
          <w:rFonts w:hint="eastAsia" w:ascii="仿宋_GB2312"/>
          <w:szCs w:val="32"/>
        </w:rPr>
        <w:t>“三公”经费支出预决算差异率扣5分，原因为2018年开展全员军训，培训费支出增加。</w:t>
      </w:r>
    </w:p>
    <w:p>
      <w:pPr>
        <w:ind w:firstLine="198" w:firstLineChars="62"/>
        <w:rPr>
          <w:rFonts w:ascii="仿宋_GB2312"/>
          <w:szCs w:val="32"/>
        </w:rPr>
      </w:pPr>
      <w:r>
        <w:rPr>
          <w:rFonts w:hint="eastAsia" w:ascii="仿宋_GB2312"/>
          <w:szCs w:val="32"/>
        </w:rPr>
        <w:t>3、预算编制及执行的规范性</w:t>
      </w:r>
    </w:p>
    <w:p>
      <w:pPr>
        <w:ind w:firstLine="198" w:firstLineChars="62"/>
        <w:rPr>
          <w:rFonts w:ascii="仿宋_GB2312"/>
          <w:szCs w:val="32"/>
        </w:rPr>
      </w:pPr>
      <w:r>
        <w:rPr>
          <w:rFonts w:hint="eastAsia" w:ascii="仿宋_GB2312"/>
          <w:szCs w:val="32"/>
        </w:rPr>
        <w:t xml:space="preserve">   项目支出中开支在职人员及离退休经费比重扣1.5分，原因为临时人员工资支出。</w:t>
      </w:r>
    </w:p>
    <w:p>
      <w:pPr>
        <w:ind w:firstLine="198" w:firstLineChars="62"/>
        <w:rPr>
          <w:rFonts w:ascii="仿宋_GB2312"/>
          <w:szCs w:val="32"/>
        </w:rPr>
      </w:pPr>
      <w:r>
        <w:rPr>
          <w:rFonts w:hint="eastAsia" w:ascii="仿宋_GB2312"/>
          <w:szCs w:val="32"/>
        </w:rPr>
        <w:t>4、资产状况</w:t>
      </w:r>
    </w:p>
    <w:p>
      <w:pPr>
        <w:ind w:firstLine="198" w:firstLineChars="62"/>
        <w:rPr>
          <w:rFonts w:ascii="仿宋_GB2312"/>
          <w:szCs w:val="32"/>
        </w:rPr>
      </w:pPr>
      <w:r>
        <w:rPr>
          <w:rFonts w:hint="eastAsia" w:ascii="仿宋_GB2312"/>
          <w:szCs w:val="32"/>
        </w:rPr>
        <w:t>资产类往来款变动率扣7分，原因为其他应收款项变动。</w:t>
      </w:r>
    </w:p>
    <w:p>
      <w:pPr>
        <w:ind w:firstLine="198" w:firstLineChars="62"/>
        <w:rPr>
          <w:rFonts w:ascii="仿宋_GB2312"/>
          <w:szCs w:val="32"/>
        </w:rPr>
      </w:pPr>
      <w:r>
        <w:rPr>
          <w:rFonts w:hint="eastAsia" w:ascii="仿宋_GB2312"/>
          <w:szCs w:val="32"/>
        </w:rPr>
        <w:t>5、负债状况</w:t>
      </w:r>
    </w:p>
    <w:p>
      <w:pPr>
        <w:ind w:firstLine="198" w:firstLineChars="62"/>
        <w:rPr>
          <w:rFonts w:ascii="仿宋_GB2312"/>
          <w:szCs w:val="32"/>
        </w:rPr>
      </w:pPr>
      <w:r>
        <w:rPr>
          <w:rFonts w:hint="eastAsia" w:ascii="仿宋_GB2312"/>
          <w:szCs w:val="32"/>
        </w:rPr>
        <w:t>负债类往来款变动率扣5分，原因为住房公积金等往来增加。</w:t>
      </w:r>
    </w:p>
    <w:p>
      <w:pPr>
        <w:ind w:firstLine="198" w:firstLineChars="62"/>
        <w:rPr>
          <w:rFonts w:ascii="仿宋_GB2312"/>
          <w:szCs w:val="32"/>
        </w:rPr>
      </w:pPr>
      <w:r>
        <w:rPr>
          <w:rFonts w:hint="eastAsia" w:ascii="仿宋_GB2312"/>
          <w:szCs w:val="32"/>
        </w:rPr>
        <w:t>6、在职人员控制</w:t>
      </w:r>
    </w:p>
    <w:p>
      <w:pPr>
        <w:ind w:firstLine="198" w:firstLineChars="62"/>
        <w:rPr>
          <w:rFonts w:ascii="仿宋_GB2312"/>
          <w:szCs w:val="32"/>
        </w:rPr>
      </w:pPr>
      <w:r>
        <w:rPr>
          <w:rFonts w:hint="eastAsia" w:ascii="仿宋_GB2312"/>
          <w:szCs w:val="32"/>
        </w:rPr>
        <w:t>在职人员控制率扣3分，原因为人员存在超标情况。</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ascii="仿宋_GB2312"/>
          <w:szCs w:val="32"/>
        </w:rPr>
        <w:t>541.07</w:t>
      </w:r>
      <w:r>
        <w:rPr>
          <w:rFonts w:hint="eastAsia" w:ascii="仿宋_GB2312"/>
          <w:szCs w:val="32"/>
        </w:rPr>
        <w:t>万元，比201</w:t>
      </w:r>
      <w:r>
        <w:rPr>
          <w:rFonts w:ascii="仿宋_GB2312"/>
          <w:szCs w:val="32"/>
        </w:rPr>
        <w:t>6</w:t>
      </w:r>
      <w:r>
        <w:rPr>
          <w:rFonts w:hint="eastAsia" w:ascii="仿宋_GB2312"/>
          <w:szCs w:val="32"/>
        </w:rPr>
        <w:t>年度减少74.77万元，降低12.14%。主要原因是：减少支出。</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ascii="仿宋_GB2312"/>
          <w:szCs w:val="32"/>
        </w:rPr>
        <w:t>18,827.47</w:t>
      </w:r>
      <w:r>
        <w:rPr>
          <w:rFonts w:hint="eastAsia" w:ascii="仿宋_GB2312"/>
          <w:szCs w:val="32"/>
        </w:rPr>
        <w:t>万元，其中：政府采购货物支出</w:t>
      </w:r>
      <w:r>
        <w:rPr>
          <w:rFonts w:ascii="仿宋_GB2312"/>
          <w:szCs w:val="32"/>
        </w:rPr>
        <w:t>1,869.82</w:t>
      </w:r>
      <w:r>
        <w:rPr>
          <w:rFonts w:hint="eastAsia" w:ascii="仿宋_GB2312"/>
          <w:szCs w:val="32"/>
        </w:rPr>
        <w:t>万元、政府采购工程支出</w:t>
      </w:r>
      <w:r>
        <w:rPr>
          <w:rFonts w:ascii="仿宋_GB2312"/>
          <w:szCs w:val="32"/>
        </w:rPr>
        <w:t>16,177.51</w:t>
      </w:r>
      <w:r>
        <w:rPr>
          <w:rFonts w:hint="eastAsia" w:ascii="仿宋_GB2312"/>
          <w:szCs w:val="32"/>
        </w:rPr>
        <w:t>万元、政府采购服务支出</w:t>
      </w:r>
      <w:r>
        <w:rPr>
          <w:rFonts w:ascii="仿宋_GB2312"/>
          <w:szCs w:val="32"/>
        </w:rPr>
        <w:t>780.14</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0.0001</w:t>
            </w:r>
          </w:p>
        </w:tc>
      </w:tr>
      <w:tr>
        <w:tblPrEx>
          <w:tblLayout w:type="fixed"/>
          <w:tblCellMar>
            <w:top w:w="0" w:type="dxa"/>
            <w:left w:w="108" w:type="dxa"/>
            <w:bottom w:w="0" w:type="dxa"/>
            <w:right w:w="108" w:type="dxa"/>
          </w:tblCellMar>
        </w:tblPrEx>
        <w:trPr>
          <w:trHeight w:val="4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ind w:left="0" w:leftChars="0" w:firstLine="0" w:firstLineChars="0"/>
              <w:jc w:val="both"/>
              <w:rPr>
                <w:rFonts w:ascii="宋体" w:hAnsi="宋体" w:eastAsia="宋体" w:cs="Arial"/>
                <w:color w:val="000000"/>
                <w:sz w:val="16"/>
                <w:szCs w:val="16"/>
              </w:rPr>
            </w:pPr>
            <w:r>
              <w:rPr>
                <w:rFonts w:hint="eastAsia" w:cs="Arial"/>
                <w:color w:val="000000"/>
                <w:sz w:val="16"/>
                <w:szCs w:val="16"/>
              </w:rPr>
              <w:t>44653.17</w:t>
            </w:r>
          </w:p>
          <w:p>
            <w:pPr>
              <w:widowControl/>
              <w:spacing w:line="240" w:lineRule="auto"/>
              <w:ind w:firstLine="0" w:firstLineChars="0"/>
              <w:jc w:val="right"/>
              <w:rPr>
                <w:rFonts w:ascii="宋体" w:hAnsi="宋体" w:eastAsia="宋体" w:cs="Arial"/>
                <w:color w:val="000000"/>
                <w:kern w:val="0"/>
                <w:sz w:val="16"/>
                <w:szCs w:val="16"/>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64554.44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15731.94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21188.19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3"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23.25</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23.32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5204.23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5222.10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1.61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1.61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2238.36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2240.47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52.83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60.92</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21.62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21.69</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2913.05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2920.71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451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517</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7419.68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10997.39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16"/>
                <w:szCs w:val="16"/>
              </w:rPr>
              <w:t>14280.15</w:t>
            </w: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46</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45</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558.56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536.70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7200</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9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9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29.63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29.63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517</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396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463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6831.49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6"/>
                <w:szCs w:val="16"/>
              </w:rPr>
              <w:t>10431.06</w:t>
            </w:r>
            <w:r>
              <w:rPr>
                <w:rFonts w:hint="eastAsia" w:ascii="宋体" w:hAnsi="宋体" w:eastAsia="宋体" w:cs="Arial"/>
                <w:color w:val="000000"/>
                <w:kern w:val="0"/>
                <w:sz w:val="18"/>
                <w:szCs w:val="18"/>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17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264.22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1278.44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10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0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41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2843.80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3565.26</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454　</w:t>
            </w:r>
          </w:p>
        </w:tc>
      </w:tr>
      <w:bookmarkEnd w:id="23"/>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188.34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188.34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193.83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394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年12月31日，固定资产21188.19万元，与2016年相比增加5456.26万元，主要原因是：房屋面积增加了763.85平方米，价值17.86万元；车辆增加了66辆，价值3577.71万元。</w:t>
      </w:r>
    </w:p>
    <w:p>
      <w:pPr>
        <w:ind w:firstLine="640"/>
        <w:rPr>
          <w:rFonts w:ascii="仿宋_GB2312"/>
          <w:szCs w:val="32"/>
        </w:rPr>
      </w:pPr>
      <w:r>
        <w:rPr>
          <w:rFonts w:hint="eastAsia" w:ascii="仿宋_GB2312"/>
          <w:szCs w:val="32"/>
        </w:rPr>
        <w:t>本部门共有车辆517辆，其中，一般公务用车12辆、一般执法执勤用车10辆、特种专业技术用车41辆、其他用车454辆，其他用车主要是作业车辆；单位价值200万元以上大型设备0台。</w:t>
      </w:r>
    </w:p>
    <w:p>
      <w:pPr>
        <w:ind w:firstLine="0" w:firstLineChars="0"/>
        <w:rPr>
          <w:rFonts w:ascii="仿宋_GB2312"/>
          <w:szCs w:val="32"/>
        </w:rPr>
      </w:pP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24" w:name="OLE_LINK47"/>
      <w:bookmarkStart w:id="25" w:name="OLE_LINK46"/>
      <w:r>
        <w:rPr>
          <w:rFonts w:hint="eastAsia" w:ascii="仿宋" w:hAnsi="仿宋" w:eastAsia="仿宋"/>
          <w:szCs w:val="32"/>
        </w:rPr>
        <w:t>2017年会议费总计0万元，2016年支出为0万元，比上年增加0万元，增长0</w:t>
      </w:r>
      <w:r>
        <w:rPr>
          <w:rFonts w:hint="eastAsia" w:ascii="仿宋_GB2312"/>
          <w:szCs w:val="32"/>
        </w:rPr>
        <w:t>%</w:t>
      </w:r>
      <w:r>
        <w:rPr>
          <w:rFonts w:hint="eastAsia" w:ascii="仿宋" w:hAnsi="仿宋" w:eastAsia="仿宋"/>
          <w:szCs w:val="32"/>
        </w:rPr>
        <w:t>。原因是：2016年和2017年均无会议费支出。</w:t>
      </w:r>
    </w:p>
    <w:bookmarkEnd w:id="24"/>
    <w:bookmarkEnd w:id="25"/>
    <w:p>
      <w:pPr>
        <w:ind w:firstLine="640"/>
        <w:rPr>
          <w:rFonts w:ascii="仿宋_GB2312"/>
          <w:szCs w:val="32"/>
        </w:rPr>
      </w:pPr>
      <w:r>
        <w:rPr>
          <w:rFonts w:hint="eastAsia" w:ascii="仿宋" w:hAnsi="仿宋" w:eastAsia="仿宋"/>
          <w:szCs w:val="32"/>
        </w:rPr>
        <w:t>培训费支出情况。2017年培训费总计</w:t>
      </w:r>
      <w:r>
        <w:rPr>
          <w:rFonts w:ascii="仿宋" w:hAnsi="仿宋" w:eastAsia="仿宋"/>
          <w:szCs w:val="32"/>
        </w:rPr>
        <w:t>26.</w:t>
      </w:r>
      <w:r>
        <w:rPr>
          <w:rFonts w:hint="eastAsia" w:ascii="仿宋" w:hAnsi="仿宋" w:eastAsia="仿宋"/>
          <w:szCs w:val="32"/>
        </w:rPr>
        <w:t>8</w:t>
      </w:r>
      <w:r>
        <w:rPr>
          <w:rFonts w:ascii="仿宋" w:hAnsi="仿宋" w:eastAsia="仿宋"/>
          <w:szCs w:val="32"/>
        </w:rPr>
        <w:t>1</w:t>
      </w:r>
      <w:r>
        <w:rPr>
          <w:rFonts w:hint="eastAsia" w:ascii="仿宋" w:hAnsi="仿宋" w:eastAsia="仿宋"/>
          <w:szCs w:val="32"/>
        </w:rPr>
        <w:t>万元，2016年支出为3.69万元，比上年增加23.12万元，增长626.91%。原因是：原因是：2018年全员军训，培训费支出增加。</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11</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18</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33203"/>
    <w:rsid w:val="00054C53"/>
    <w:rsid w:val="00071F2D"/>
    <w:rsid w:val="0007561C"/>
    <w:rsid w:val="000854A2"/>
    <w:rsid w:val="00094B57"/>
    <w:rsid w:val="00095DFB"/>
    <w:rsid w:val="000B6451"/>
    <w:rsid w:val="000E2353"/>
    <w:rsid w:val="000E252E"/>
    <w:rsid w:val="000F00FD"/>
    <w:rsid w:val="00103253"/>
    <w:rsid w:val="0011224D"/>
    <w:rsid w:val="001228C3"/>
    <w:rsid w:val="00125689"/>
    <w:rsid w:val="00127C8F"/>
    <w:rsid w:val="001330FD"/>
    <w:rsid w:val="0014541C"/>
    <w:rsid w:val="00155A0C"/>
    <w:rsid w:val="00172A9E"/>
    <w:rsid w:val="00175A3A"/>
    <w:rsid w:val="0017741E"/>
    <w:rsid w:val="00184300"/>
    <w:rsid w:val="00191400"/>
    <w:rsid w:val="0019263B"/>
    <w:rsid w:val="001D3005"/>
    <w:rsid w:val="001F41FA"/>
    <w:rsid w:val="001F6AAA"/>
    <w:rsid w:val="00204503"/>
    <w:rsid w:val="002075CB"/>
    <w:rsid w:val="00231700"/>
    <w:rsid w:val="00232E32"/>
    <w:rsid w:val="0023362C"/>
    <w:rsid w:val="00271D6D"/>
    <w:rsid w:val="0027309A"/>
    <w:rsid w:val="00273E03"/>
    <w:rsid w:val="0029596B"/>
    <w:rsid w:val="002A1A88"/>
    <w:rsid w:val="002A3356"/>
    <w:rsid w:val="002B357B"/>
    <w:rsid w:val="002C2D96"/>
    <w:rsid w:val="002C433B"/>
    <w:rsid w:val="002D1C92"/>
    <w:rsid w:val="00305FCB"/>
    <w:rsid w:val="00310A7C"/>
    <w:rsid w:val="00311340"/>
    <w:rsid w:val="00312F9F"/>
    <w:rsid w:val="003155B1"/>
    <w:rsid w:val="003209A7"/>
    <w:rsid w:val="00325385"/>
    <w:rsid w:val="00330DD3"/>
    <w:rsid w:val="003A16AF"/>
    <w:rsid w:val="003B14DA"/>
    <w:rsid w:val="003B4CCA"/>
    <w:rsid w:val="003D144F"/>
    <w:rsid w:val="003F6043"/>
    <w:rsid w:val="00404BA5"/>
    <w:rsid w:val="00405DD5"/>
    <w:rsid w:val="00443128"/>
    <w:rsid w:val="00450D4D"/>
    <w:rsid w:val="00456900"/>
    <w:rsid w:val="0048266C"/>
    <w:rsid w:val="004E7B5F"/>
    <w:rsid w:val="004F1F8E"/>
    <w:rsid w:val="00502034"/>
    <w:rsid w:val="005046AD"/>
    <w:rsid w:val="005221D6"/>
    <w:rsid w:val="00541FC6"/>
    <w:rsid w:val="005462E5"/>
    <w:rsid w:val="00554100"/>
    <w:rsid w:val="00562ED9"/>
    <w:rsid w:val="00582F82"/>
    <w:rsid w:val="00586D76"/>
    <w:rsid w:val="00593550"/>
    <w:rsid w:val="00594763"/>
    <w:rsid w:val="00596422"/>
    <w:rsid w:val="005A7B63"/>
    <w:rsid w:val="005C39CD"/>
    <w:rsid w:val="005C5A21"/>
    <w:rsid w:val="005C7CFB"/>
    <w:rsid w:val="005E2EB4"/>
    <w:rsid w:val="005E382E"/>
    <w:rsid w:val="00612C12"/>
    <w:rsid w:val="00630D6A"/>
    <w:rsid w:val="00632195"/>
    <w:rsid w:val="006508EE"/>
    <w:rsid w:val="00661402"/>
    <w:rsid w:val="00661FC6"/>
    <w:rsid w:val="00666785"/>
    <w:rsid w:val="006674CA"/>
    <w:rsid w:val="0066796F"/>
    <w:rsid w:val="00682F9B"/>
    <w:rsid w:val="006A1D43"/>
    <w:rsid w:val="006B012E"/>
    <w:rsid w:val="006B136F"/>
    <w:rsid w:val="006C00CA"/>
    <w:rsid w:val="006D6A17"/>
    <w:rsid w:val="006E3142"/>
    <w:rsid w:val="006F5699"/>
    <w:rsid w:val="006F7A05"/>
    <w:rsid w:val="00712D5F"/>
    <w:rsid w:val="007204AE"/>
    <w:rsid w:val="00731E8C"/>
    <w:rsid w:val="00734F8D"/>
    <w:rsid w:val="00744B46"/>
    <w:rsid w:val="00745E2A"/>
    <w:rsid w:val="00746674"/>
    <w:rsid w:val="007914D8"/>
    <w:rsid w:val="007C4984"/>
    <w:rsid w:val="007D192F"/>
    <w:rsid w:val="007D592B"/>
    <w:rsid w:val="0080381A"/>
    <w:rsid w:val="00803AF5"/>
    <w:rsid w:val="00816E0D"/>
    <w:rsid w:val="008248C5"/>
    <w:rsid w:val="00830C9C"/>
    <w:rsid w:val="00846BAC"/>
    <w:rsid w:val="0085294E"/>
    <w:rsid w:val="008529DA"/>
    <w:rsid w:val="008642CC"/>
    <w:rsid w:val="008716D0"/>
    <w:rsid w:val="008828C3"/>
    <w:rsid w:val="008951B5"/>
    <w:rsid w:val="00897CFE"/>
    <w:rsid w:val="008C78C5"/>
    <w:rsid w:val="008F3A14"/>
    <w:rsid w:val="0092275C"/>
    <w:rsid w:val="00937A08"/>
    <w:rsid w:val="00945029"/>
    <w:rsid w:val="009513BF"/>
    <w:rsid w:val="00952574"/>
    <w:rsid w:val="00965AC4"/>
    <w:rsid w:val="0096780F"/>
    <w:rsid w:val="009A2241"/>
    <w:rsid w:val="009C5E19"/>
    <w:rsid w:val="009D3E47"/>
    <w:rsid w:val="009E6016"/>
    <w:rsid w:val="009E6779"/>
    <w:rsid w:val="009F4499"/>
    <w:rsid w:val="00A05198"/>
    <w:rsid w:val="00A06DCF"/>
    <w:rsid w:val="00A117AD"/>
    <w:rsid w:val="00A13A55"/>
    <w:rsid w:val="00A266EB"/>
    <w:rsid w:val="00A4272B"/>
    <w:rsid w:val="00A50824"/>
    <w:rsid w:val="00A513A6"/>
    <w:rsid w:val="00A657D6"/>
    <w:rsid w:val="00A90CD4"/>
    <w:rsid w:val="00A93803"/>
    <w:rsid w:val="00AA33A5"/>
    <w:rsid w:val="00AB34E3"/>
    <w:rsid w:val="00AB4F01"/>
    <w:rsid w:val="00AC76D6"/>
    <w:rsid w:val="00AE2167"/>
    <w:rsid w:val="00AF1AF9"/>
    <w:rsid w:val="00AF2C1C"/>
    <w:rsid w:val="00B06A5D"/>
    <w:rsid w:val="00B42B02"/>
    <w:rsid w:val="00B50444"/>
    <w:rsid w:val="00B560B8"/>
    <w:rsid w:val="00B701EF"/>
    <w:rsid w:val="00B72BF5"/>
    <w:rsid w:val="00B86180"/>
    <w:rsid w:val="00B96A7F"/>
    <w:rsid w:val="00BA26B2"/>
    <w:rsid w:val="00BB1961"/>
    <w:rsid w:val="00BB55D2"/>
    <w:rsid w:val="00BC4069"/>
    <w:rsid w:val="00BC625F"/>
    <w:rsid w:val="00BE7FA4"/>
    <w:rsid w:val="00BF1C0F"/>
    <w:rsid w:val="00C26750"/>
    <w:rsid w:val="00C3344A"/>
    <w:rsid w:val="00C36EFE"/>
    <w:rsid w:val="00C51468"/>
    <w:rsid w:val="00C9381C"/>
    <w:rsid w:val="00C96FF1"/>
    <w:rsid w:val="00CE7AA1"/>
    <w:rsid w:val="00CF1175"/>
    <w:rsid w:val="00CF125B"/>
    <w:rsid w:val="00CF7D21"/>
    <w:rsid w:val="00D035E2"/>
    <w:rsid w:val="00D2211A"/>
    <w:rsid w:val="00D2301D"/>
    <w:rsid w:val="00D34D1F"/>
    <w:rsid w:val="00D433ED"/>
    <w:rsid w:val="00D4698B"/>
    <w:rsid w:val="00D51081"/>
    <w:rsid w:val="00D82AF5"/>
    <w:rsid w:val="00D83308"/>
    <w:rsid w:val="00D87BD4"/>
    <w:rsid w:val="00D87DFC"/>
    <w:rsid w:val="00DC7EC7"/>
    <w:rsid w:val="00DE515A"/>
    <w:rsid w:val="00E03175"/>
    <w:rsid w:val="00E04A36"/>
    <w:rsid w:val="00E11AC4"/>
    <w:rsid w:val="00E15D44"/>
    <w:rsid w:val="00E5216F"/>
    <w:rsid w:val="00E7487B"/>
    <w:rsid w:val="00EA5972"/>
    <w:rsid w:val="00EB1F4B"/>
    <w:rsid w:val="00EB45A9"/>
    <w:rsid w:val="00EB63A9"/>
    <w:rsid w:val="00EC62AA"/>
    <w:rsid w:val="00ED09E5"/>
    <w:rsid w:val="00ED6876"/>
    <w:rsid w:val="00ED6B4C"/>
    <w:rsid w:val="00EE6375"/>
    <w:rsid w:val="00EF493B"/>
    <w:rsid w:val="00F0518B"/>
    <w:rsid w:val="00F05A41"/>
    <w:rsid w:val="00F05F78"/>
    <w:rsid w:val="00F06F8D"/>
    <w:rsid w:val="00F31707"/>
    <w:rsid w:val="00F425E9"/>
    <w:rsid w:val="00F7462B"/>
    <w:rsid w:val="00F9758A"/>
    <w:rsid w:val="00FB3A90"/>
    <w:rsid w:val="00FC3BAC"/>
    <w:rsid w:val="00FD5BCA"/>
    <w:rsid w:val="00FE0997"/>
    <w:rsid w:val="00FE77BE"/>
    <w:rsid w:val="00FF65FE"/>
    <w:rsid w:val="12811219"/>
    <w:rsid w:val="50E75B57"/>
    <w:rsid w:val="5586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4CC4C-0129-46D8-905A-B373B1C4578F}">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25</Pages>
  <Words>1194</Words>
  <Characters>6809</Characters>
  <Lines>56</Lines>
  <Paragraphs>15</Paragraphs>
  <TotalTime>0</TotalTime>
  <ScaleCrop>false</ScaleCrop>
  <LinksUpToDate>false</LinksUpToDate>
  <CharactersWithSpaces>7988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2019-03-14T07:35:34Z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