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bookmarkStart w:id="40" w:name="_GoBack"/>
      <w:r>
        <w:rPr>
          <w:rFonts w:hint="eastAsia" w:ascii="黑体" w:hAnsi="黑体" w:eastAsia="黑体"/>
          <w:sz w:val="44"/>
          <w:szCs w:val="44"/>
        </w:rPr>
        <w:t>秦皇岛市海港区交通运输局</w:t>
      </w:r>
      <w:bookmarkEnd w:id="40"/>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秦皇岛市海港区交通运输局</w:t>
      </w:r>
      <w:r>
        <w:rPr>
          <w:rFonts w:eastAsia="黑体"/>
          <w:szCs w:val="32"/>
        </w:rPr>
        <w:t>部门概况</w:t>
      </w:r>
    </w:p>
    <w:p>
      <w:pPr>
        <w:pStyle w:val="9"/>
        <w:widowControl/>
        <w:numPr>
          <w:ilvl w:val="0"/>
          <w:numId w:val="1"/>
        </w:numPr>
        <w:spacing w:line="580" w:lineRule="exact"/>
        <w:ind w:firstLineChars="0"/>
        <w:rPr>
          <w:szCs w:val="32"/>
        </w:rPr>
      </w:pPr>
      <w:r>
        <w:rPr>
          <w:szCs w:val="32"/>
        </w:rPr>
        <w:t>部门职责</w:t>
      </w:r>
    </w:p>
    <w:p>
      <w:pPr>
        <w:pStyle w:val="9"/>
        <w:widowControl/>
        <w:spacing w:line="580" w:lineRule="exact"/>
        <w:ind w:left="1994" w:firstLine="0" w:firstLineChars="0"/>
        <w:rPr>
          <w:szCs w:val="32"/>
        </w:rPr>
      </w:pPr>
      <w:r>
        <w:rPr>
          <w:rFonts w:hint="eastAsia"/>
          <w:szCs w:val="32"/>
        </w:rPr>
        <w:t>负责交通运输基础设施建设、养护及维护；</w:t>
      </w:r>
    </w:p>
    <w:p>
      <w:pPr>
        <w:pStyle w:val="9"/>
        <w:widowControl/>
        <w:spacing w:line="580" w:lineRule="exact"/>
        <w:ind w:left="1994" w:firstLine="0" w:firstLineChars="0"/>
        <w:rPr>
          <w:szCs w:val="32"/>
        </w:rPr>
      </w:pPr>
      <w:r>
        <w:rPr>
          <w:rFonts w:hint="eastAsia"/>
          <w:szCs w:val="32"/>
        </w:rPr>
        <w:t>交通运输管理；交通政务管理。</w:t>
      </w:r>
    </w:p>
    <w:p>
      <w:pPr>
        <w:pStyle w:val="9"/>
        <w:widowControl/>
        <w:numPr>
          <w:ilvl w:val="0"/>
          <w:numId w:val="1"/>
        </w:numPr>
        <w:spacing w:line="580" w:lineRule="exact"/>
        <w:ind w:firstLineChars="0"/>
        <w:rPr>
          <w:szCs w:val="32"/>
        </w:rPr>
      </w:pPr>
      <w:r>
        <w:rPr>
          <w:szCs w:val="32"/>
        </w:rPr>
        <w:t>部门决算单位构成</w:t>
      </w:r>
    </w:p>
    <w:p>
      <w:pPr>
        <w:pStyle w:val="9"/>
        <w:widowControl/>
        <w:spacing w:line="580" w:lineRule="exact"/>
        <w:ind w:left="1994" w:firstLine="0" w:firstLineChars="0"/>
        <w:rPr>
          <w:szCs w:val="32"/>
        </w:rPr>
      </w:pPr>
      <w:r>
        <w:rPr>
          <w:rFonts w:hint="eastAsia"/>
          <w:szCs w:val="32"/>
        </w:rPr>
        <w:t>秦皇岛市海港区交通运输局</w:t>
      </w:r>
    </w:p>
    <w:p>
      <w:pPr>
        <w:widowControl/>
        <w:spacing w:line="580" w:lineRule="exact"/>
        <w:ind w:left="2400" w:leftChars="200" w:hanging="1760" w:hangingChars="550"/>
        <w:rPr>
          <w:sz w:val="20"/>
          <w:szCs w:val="32"/>
        </w:rPr>
      </w:pPr>
      <w:r>
        <w:rPr>
          <w:rFonts w:eastAsia="黑体"/>
          <w:szCs w:val="32"/>
        </w:rPr>
        <w:t xml:space="preserve">第二部分   </w:t>
      </w:r>
      <w:r>
        <w:rPr>
          <w:rFonts w:hint="eastAsia" w:eastAsia="黑体"/>
          <w:szCs w:val="32"/>
        </w:rPr>
        <w:t>秦皇岛市海港区交通运输局部门</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left="2080" w:leftChars="200" w:hanging="1440" w:hangingChars="450"/>
        <w:rPr>
          <w:rFonts w:eastAsia="黑体"/>
          <w:szCs w:val="32"/>
        </w:rPr>
      </w:pPr>
      <w:r>
        <w:rPr>
          <w:rFonts w:eastAsia="黑体"/>
          <w:szCs w:val="32"/>
        </w:rPr>
        <w:t xml:space="preserve">第三部分  </w:t>
      </w:r>
      <w:r>
        <w:rPr>
          <w:rFonts w:hint="eastAsia" w:eastAsia="黑体"/>
          <w:szCs w:val="32"/>
        </w:rPr>
        <w:t>秦皇岛市海港区交通运输局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 秦皇岛市海港区交通运输局部门概况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2"/>
        </w:numPr>
        <w:ind w:firstLineChars="0"/>
        <w:rPr>
          <w:rFonts w:ascii="仿宋_GB2312" w:hAnsi="黑体"/>
          <w:szCs w:val="32"/>
        </w:rPr>
      </w:pPr>
      <w:bookmarkStart w:id="8" w:name="OLE_LINK14"/>
      <w:r>
        <w:rPr>
          <w:rFonts w:hint="eastAsia" w:ascii="仿宋_GB2312" w:hAnsi="黑体"/>
          <w:szCs w:val="32"/>
        </w:rPr>
        <w:t>部门职责</w:t>
      </w:r>
    </w:p>
    <w:p>
      <w:pPr>
        <w:widowControl/>
        <w:spacing w:line="580" w:lineRule="exact"/>
        <w:ind w:left="1274" w:firstLine="640"/>
        <w:rPr>
          <w:szCs w:val="32"/>
        </w:rPr>
      </w:pPr>
      <w:r>
        <w:rPr>
          <w:rFonts w:hint="eastAsia"/>
          <w:szCs w:val="32"/>
        </w:rPr>
        <w:t>负责交通运输基础设施建设、养护及维护；</w:t>
      </w:r>
    </w:p>
    <w:p>
      <w:pPr>
        <w:widowControl/>
        <w:spacing w:line="580" w:lineRule="exact"/>
        <w:ind w:firstLine="1920" w:firstLineChars="600"/>
        <w:rPr>
          <w:szCs w:val="32"/>
        </w:rPr>
      </w:pPr>
      <w:r>
        <w:rPr>
          <w:rFonts w:hint="eastAsia"/>
          <w:szCs w:val="32"/>
        </w:rPr>
        <w:t>交通运输管理；交通政务管理。</w:t>
      </w:r>
    </w:p>
    <w:p>
      <w:pPr>
        <w:pStyle w:val="9"/>
        <w:ind w:left="1994" w:firstLine="0" w:firstLineChars="0"/>
        <w:rPr>
          <w:rFonts w:ascii="仿宋_GB2312" w:hAnsi="黑体"/>
          <w:szCs w:val="32"/>
        </w:rPr>
      </w:pPr>
    </w:p>
    <w:p>
      <w:pPr>
        <w:pStyle w:val="9"/>
        <w:numPr>
          <w:ilvl w:val="0"/>
          <w:numId w:val="2"/>
        </w:numPr>
        <w:ind w:firstLineChars="0"/>
        <w:rPr>
          <w:rFonts w:ascii="仿宋_GB2312" w:hAnsi="黑体"/>
          <w:szCs w:val="32"/>
        </w:rPr>
      </w:pPr>
      <w:r>
        <w:rPr>
          <w:rFonts w:hint="eastAsia" w:ascii="仿宋_GB2312" w:hAnsi="黑体"/>
          <w:szCs w:val="32"/>
        </w:rPr>
        <w:t>部门决算单位构成</w:t>
      </w:r>
    </w:p>
    <w:p>
      <w:pPr>
        <w:pStyle w:val="9"/>
        <w:ind w:left="1994" w:firstLine="0" w:firstLineChars="0"/>
        <w:rPr>
          <w:rFonts w:hint="eastAsia" w:ascii="仿宋_GB2312" w:hAnsi="黑体" w:eastAsia="仿宋_GB2312"/>
          <w:szCs w:val="32"/>
          <w:lang w:val="en-US" w:eastAsia="zh-CN"/>
        </w:rPr>
      </w:pPr>
      <w:r>
        <w:rPr>
          <w:rFonts w:hint="eastAsia" w:ascii="仿宋_GB2312" w:hAnsi="黑体"/>
          <w:szCs w:val="32"/>
        </w:rPr>
        <w:t>秦皇岛市海港区交通运输局</w:t>
      </w:r>
      <w:r>
        <w:rPr>
          <w:rFonts w:hint="eastAsia" w:ascii="仿宋_GB2312" w:hAnsi="黑体"/>
          <w:szCs w:val="32"/>
          <w:lang w:eastAsia="zh-CN"/>
        </w:rPr>
        <w:t>一家决算单位构成</w:t>
      </w: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秦皇岛市海港区交通运输局部门201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ind w:left="640" w:firstLine="640"/>
        <w:rPr>
          <w:rFonts w:hint="eastAsia" w:ascii="仿宋_GB2312"/>
          <w:szCs w:val="32"/>
        </w:rPr>
      </w:pPr>
    </w:p>
    <w:p>
      <w:pPr>
        <w:ind w:left="0" w:leftChars="0" w:firstLine="0" w:firstLineChars="0"/>
        <w:rPr>
          <w:rFonts w:hint="eastAsia" w:ascii="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秦皇岛市海港区交通运输局部门201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2017年度决算收入总计 4882.68万元，决算支出总计4967.98万元，</w:t>
      </w:r>
      <w:bookmarkStart w:id="13" w:name="OLE_LINK37"/>
      <w:r>
        <w:rPr>
          <w:rFonts w:hint="eastAsia" w:ascii="仿宋_GB2312"/>
          <w:szCs w:val="32"/>
        </w:rPr>
        <w:t>年初结转和结余85.57万元，年末结转和结余0.27万元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年度收入与年初预算对比增加2523.43万元，原因是：拨款部门变动（转移支付款）；与2</w:t>
      </w:r>
      <w:r>
        <w:rPr>
          <w:rFonts w:ascii="仿宋_GB2312"/>
          <w:szCs w:val="32"/>
        </w:rPr>
        <w:t>016</w:t>
      </w:r>
      <w:r>
        <w:rPr>
          <w:rFonts w:hint="eastAsia" w:ascii="仿宋_GB2312"/>
          <w:szCs w:val="32"/>
        </w:rPr>
        <w:t>年度收入相比，增加1463.55万元，原因是拨款部门变动（转移支付款）。</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年度支出与年初预算对比增加2608.73万元，原因是：拨款部门变动（转移支付款）；与2</w:t>
      </w:r>
      <w:r>
        <w:rPr>
          <w:rFonts w:ascii="仿宋_GB2312"/>
          <w:szCs w:val="32"/>
        </w:rPr>
        <w:t>016</w:t>
      </w:r>
      <w:r>
        <w:rPr>
          <w:rFonts w:hint="eastAsia" w:ascii="仿宋_GB2312"/>
          <w:szCs w:val="32"/>
        </w:rPr>
        <w:t>年度支出相比，增加1485.98万元，原因是：拨款部门变动（转移支付款）。</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4882.68万元，其中：财政拨款收入4882.68万元，占总收入 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年度支出合计4967.88万元，其中：</w:t>
      </w:r>
      <w:bookmarkStart w:id="18" w:name="OLE_LINK35"/>
      <w:r>
        <w:rPr>
          <w:rFonts w:hint="eastAsia" w:ascii="仿宋" w:hAnsi="仿宋" w:eastAsia="仿宋"/>
          <w:szCs w:val="32"/>
        </w:rPr>
        <w:t>基本支出 1965.06万元，占总支出39.56%；</w:t>
      </w:r>
      <w:bookmarkEnd w:id="18"/>
      <w:r>
        <w:rPr>
          <w:rFonts w:hint="eastAsia" w:ascii="仿宋" w:hAnsi="仿宋" w:eastAsia="仿宋"/>
          <w:szCs w:val="32"/>
        </w:rPr>
        <w:t>项目支出3002.92万元，占总支出 60.44%。</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2017年度财政拨款收入决算总计4882.68万元，财政拨款支出决算总计4968.25万元，年初结转和结余85.57万元，年末结转和结余0.27万元。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年度财政拨款收入与年初预算对比增加2523.43万元，原因是：拨款部门变动（转移支付款）；与2</w:t>
      </w:r>
      <w:r>
        <w:rPr>
          <w:rFonts w:ascii="仿宋_GB2312"/>
          <w:szCs w:val="32"/>
        </w:rPr>
        <w:t>016</w:t>
      </w:r>
      <w:r>
        <w:rPr>
          <w:rFonts w:hint="eastAsia" w:ascii="仿宋_GB2312"/>
          <w:szCs w:val="32"/>
        </w:rPr>
        <w:t>年度相比，增加1463.55万元，原因是：拨款部门变动（转移支付款）。</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年度财政拨款支出与年初预算对比增加2608.73万元，原因是：拨款部门变动（转移支付款）；与2</w:t>
      </w:r>
      <w:r>
        <w:rPr>
          <w:rFonts w:ascii="仿宋_GB2312"/>
          <w:szCs w:val="32"/>
        </w:rPr>
        <w:t>016</w:t>
      </w:r>
      <w:r>
        <w:rPr>
          <w:rFonts w:hint="eastAsia" w:ascii="仿宋_GB2312"/>
          <w:szCs w:val="32"/>
        </w:rPr>
        <w:t>年度支出相比，增加1485.98万元，原因是：拨款部门变动（转移支付款）。</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25.29</w:t>
            </w:r>
          </w:p>
        </w:tc>
        <w:tc>
          <w:tcPr>
            <w:tcW w:w="1446" w:type="dxa"/>
          </w:tcPr>
          <w:p>
            <w:pPr>
              <w:ind w:firstLine="0" w:firstLineChars="0"/>
              <w:rPr>
                <w:rFonts w:ascii="仿宋_GB2312"/>
                <w:sz w:val="24"/>
                <w:szCs w:val="24"/>
              </w:rPr>
            </w:pPr>
            <w:r>
              <w:rPr>
                <w:rFonts w:hint="eastAsia" w:ascii="仿宋_GB2312"/>
                <w:sz w:val="24"/>
                <w:szCs w:val="24"/>
              </w:rPr>
              <w:t>23.11</w:t>
            </w:r>
          </w:p>
        </w:tc>
        <w:tc>
          <w:tcPr>
            <w:tcW w:w="1446" w:type="dxa"/>
          </w:tcPr>
          <w:p>
            <w:pPr>
              <w:ind w:firstLine="0" w:firstLineChars="0"/>
              <w:rPr>
                <w:rFonts w:ascii="仿宋_GB2312"/>
                <w:sz w:val="24"/>
                <w:szCs w:val="24"/>
              </w:rPr>
            </w:pPr>
            <w:r>
              <w:rPr>
                <w:rFonts w:hint="eastAsia" w:ascii="仿宋_GB2312"/>
                <w:sz w:val="24"/>
                <w:szCs w:val="24"/>
              </w:rPr>
              <w:t>2</w:t>
            </w:r>
            <w:r>
              <w:rPr>
                <w:rFonts w:hint="eastAsia" w:ascii="仿宋_GB2312"/>
                <w:sz w:val="24"/>
                <w:szCs w:val="24"/>
                <w:lang w:val="en-US" w:eastAsia="zh-CN"/>
              </w:rPr>
              <w:t>4</w:t>
            </w:r>
            <w:r>
              <w:rPr>
                <w:rFonts w:hint="eastAsia" w:ascii="仿宋_GB2312"/>
                <w:sz w:val="24"/>
                <w:szCs w:val="24"/>
              </w:rPr>
              <w:t>.</w:t>
            </w:r>
            <w:r>
              <w:rPr>
                <w:rFonts w:hint="eastAsia" w:ascii="仿宋_GB2312"/>
                <w:sz w:val="24"/>
                <w:szCs w:val="24"/>
                <w:lang w:val="en-US" w:eastAsia="zh-CN"/>
              </w:rPr>
              <w:t>0</w:t>
            </w:r>
            <w:r>
              <w:rPr>
                <w:rFonts w:hint="eastAsia" w:ascii="仿宋_GB2312"/>
                <w:sz w:val="24"/>
                <w:szCs w:val="24"/>
              </w:rPr>
              <w:t>5</w:t>
            </w:r>
          </w:p>
        </w:tc>
        <w:tc>
          <w:tcPr>
            <w:tcW w:w="1474" w:type="dxa"/>
          </w:tcPr>
          <w:p>
            <w:pPr>
              <w:ind w:firstLine="0" w:firstLineChars="0"/>
              <w:rPr>
                <w:rFonts w:ascii="仿宋_GB2312"/>
                <w:sz w:val="24"/>
                <w:szCs w:val="24"/>
              </w:rPr>
            </w:pPr>
            <w:r>
              <w:rPr>
                <w:rFonts w:hint="eastAsia" w:ascii="仿宋_GB2312"/>
                <w:sz w:val="24"/>
                <w:szCs w:val="24"/>
              </w:rPr>
              <w:t>2.18</w:t>
            </w:r>
          </w:p>
        </w:tc>
        <w:tc>
          <w:tcPr>
            <w:tcW w:w="1417" w:type="dxa"/>
          </w:tcPr>
          <w:p>
            <w:pPr>
              <w:ind w:firstLine="0" w:firstLineChars="0"/>
              <w:rPr>
                <w:rFonts w:ascii="仿宋_GB2312"/>
                <w:sz w:val="24"/>
                <w:szCs w:val="24"/>
              </w:rPr>
            </w:pPr>
            <w:r>
              <w:rPr>
                <w:rFonts w:hint="eastAsia" w:ascii="仿宋_GB2312"/>
                <w:sz w:val="24"/>
                <w:szCs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hint="eastAsia" w:ascii="仿宋_GB2312"/>
                <w:sz w:val="24"/>
                <w:szCs w:val="24"/>
              </w:rPr>
              <w:t>25.29</w:t>
            </w:r>
          </w:p>
        </w:tc>
        <w:tc>
          <w:tcPr>
            <w:tcW w:w="1446" w:type="dxa"/>
          </w:tcPr>
          <w:p>
            <w:pPr>
              <w:ind w:firstLine="0" w:firstLineChars="0"/>
              <w:rPr>
                <w:rFonts w:ascii="仿宋_GB2312"/>
                <w:sz w:val="24"/>
                <w:szCs w:val="24"/>
              </w:rPr>
            </w:pPr>
            <w:r>
              <w:rPr>
                <w:rFonts w:hint="eastAsia" w:ascii="仿宋_GB2312"/>
                <w:sz w:val="24"/>
                <w:szCs w:val="24"/>
              </w:rPr>
              <w:t>23.01</w:t>
            </w:r>
          </w:p>
        </w:tc>
        <w:tc>
          <w:tcPr>
            <w:tcW w:w="1446" w:type="dxa"/>
          </w:tcPr>
          <w:p>
            <w:pPr>
              <w:ind w:firstLine="0" w:firstLineChars="0"/>
              <w:rPr>
                <w:rFonts w:ascii="仿宋_GB2312"/>
                <w:sz w:val="24"/>
                <w:szCs w:val="24"/>
              </w:rPr>
            </w:pPr>
            <w:r>
              <w:rPr>
                <w:rFonts w:hint="eastAsia" w:ascii="仿宋_GB2312"/>
                <w:sz w:val="24"/>
                <w:szCs w:val="24"/>
              </w:rPr>
              <w:t>23.95</w:t>
            </w:r>
          </w:p>
        </w:tc>
        <w:tc>
          <w:tcPr>
            <w:tcW w:w="1474" w:type="dxa"/>
          </w:tcPr>
          <w:p>
            <w:pPr>
              <w:ind w:firstLine="0" w:firstLineChars="0"/>
              <w:rPr>
                <w:rFonts w:ascii="仿宋_GB2312"/>
                <w:sz w:val="24"/>
                <w:szCs w:val="24"/>
              </w:rPr>
            </w:pPr>
            <w:r>
              <w:rPr>
                <w:rFonts w:hint="eastAsia" w:ascii="仿宋_GB2312"/>
                <w:sz w:val="24"/>
                <w:szCs w:val="24"/>
              </w:rPr>
              <w:t>2.28</w:t>
            </w:r>
          </w:p>
        </w:tc>
        <w:tc>
          <w:tcPr>
            <w:tcW w:w="1417" w:type="dxa"/>
          </w:tcPr>
          <w:p>
            <w:pPr>
              <w:ind w:firstLine="0" w:firstLineChars="0"/>
              <w:rPr>
                <w:rFonts w:ascii="仿宋_GB2312"/>
                <w:sz w:val="24"/>
                <w:szCs w:val="24"/>
              </w:rPr>
            </w:pPr>
            <w:r>
              <w:rPr>
                <w:rFonts w:hint="eastAsia" w:ascii="仿宋_GB2312"/>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firstLineChars="200"/>
              <w:rPr>
                <w:rFonts w:hint="eastAsia" w:ascii="仿宋_GB2312"/>
                <w:sz w:val="24"/>
                <w:szCs w:val="24"/>
              </w:rPr>
            </w:pPr>
            <w:r>
              <w:rPr>
                <w:rFonts w:hint="eastAsia" w:ascii="仿宋_GB2312"/>
                <w:sz w:val="24"/>
                <w:szCs w:val="24"/>
              </w:rPr>
              <w:t>其中：公务用车购置费</w:t>
            </w:r>
          </w:p>
        </w:tc>
        <w:tc>
          <w:tcPr>
            <w:tcW w:w="1446" w:type="dxa"/>
            <w:vAlign w:val="top"/>
          </w:tcPr>
          <w:p>
            <w:pPr>
              <w:ind w:firstLine="0" w:firstLineChars="0"/>
              <w:rPr>
                <w:rFonts w:hint="eastAsia" w:ascii="仿宋_GB2312"/>
                <w:sz w:val="24"/>
                <w:szCs w:val="24"/>
              </w:rPr>
            </w:pPr>
            <w:r>
              <w:rPr>
                <w:rFonts w:hint="eastAsia" w:ascii="仿宋_GB2312"/>
                <w:sz w:val="24"/>
                <w:szCs w:val="24"/>
              </w:rPr>
              <w:t>0</w:t>
            </w:r>
          </w:p>
        </w:tc>
        <w:tc>
          <w:tcPr>
            <w:tcW w:w="1446" w:type="dxa"/>
            <w:vAlign w:val="top"/>
          </w:tcPr>
          <w:p>
            <w:pPr>
              <w:ind w:firstLine="0" w:firstLineChars="0"/>
              <w:rPr>
                <w:rFonts w:hint="eastAsia" w:ascii="仿宋_GB2312"/>
                <w:sz w:val="24"/>
                <w:szCs w:val="24"/>
              </w:rPr>
            </w:pPr>
            <w:r>
              <w:rPr>
                <w:rFonts w:hint="eastAsia" w:ascii="仿宋_GB2312"/>
                <w:sz w:val="24"/>
                <w:szCs w:val="24"/>
              </w:rPr>
              <w:t>0</w:t>
            </w:r>
          </w:p>
        </w:tc>
        <w:tc>
          <w:tcPr>
            <w:tcW w:w="1446" w:type="dxa"/>
            <w:vAlign w:val="top"/>
          </w:tcPr>
          <w:p>
            <w:pPr>
              <w:ind w:firstLine="0" w:firstLineChars="0"/>
              <w:rPr>
                <w:rFonts w:hint="eastAsia" w:ascii="仿宋_GB2312"/>
                <w:sz w:val="24"/>
                <w:szCs w:val="24"/>
              </w:rPr>
            </w:pPr>
            <w:r>
              <w:rPr>
                <w:rFonts w:hint="eastAsia" w:ascii="仿宋_GB2312"/>
                <w:sz w:val="24"/>
                <w:szCs w:val="24"/>
              </w:rPr>
              <w:t>0</w:t>
            </w:r>
          </w:p>
        </w:tc>
        <w:tc>
          <w:tcPr>
            <w:tcW w:w="1474" w:type="dxa"/>
            <w:vAlign w:val="top"/>
          </w:tcPr>
          <w:p>
            <w:pPr>
              <w:ind w:firstLine="0" w:firstLineChars="0"/>
              <w:rPr>
                <w:rFonts w:hint="eastAsia" w:ascii="仿宋_GB2312"/>
                <w:sz w:val="24"/>
                <w:szCs w:val="24"/>
              </w:rPr>
            </w:pPr>
            <w:r>
              <w:rPr>
                <w:rFonts w:hint="eastAsia" w:ascii="仿宋_GB2312"/>
                <w:sz w:val="24"/>
                <w:szCs w:val="24"/>
              </w:rPr>
              <w:t>0</w:t>
            </w:r>
          </w:p>
        </w:tc>
        <w:tc>
          <w:tcPr>
            <w:tcW w:w="1417" w:type="dxa"/>
            <w:vAlign w:val="top"/>
          </w:tcPr>
          <w:p>
            <w:pPr>
              <w:ind w:firstLine="0" w:firstLineChars="0"/>
              <w:rPr>
                <w:rFonts w:hint="eastAsia"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firstLineChars="200"/>
              <w:rPr>
                <w:rFonts w:hint="eastAsia" w:ascii="仿宋_GB2312"/>
                <w:sz w:val="24"/>
                <w:szCs w:val="24"/>
              </w:rPr>
            </w:pPr>
            <w:r>
              <w:rPr>
                <w:rFonts w:hint="eastAsia" w:ascii="仿宋_GB2312"/>
                <w:sz w:val="24"/>
                <w:szCs w:val="24"/>
              </w:rPr>
              <w:t>其中：公务用车维护费</w:t>
            </w:r>
          </w:p>
        </w:tc>
        <w:tc>
          <w:tcPr>
            <w:tcW w:w="1446" w:type="dxa"/>
            <w:vAlign w:val="top"/>
          </w:tcPr>
          <w:p>
            <w:pPr>
              <w:ind w:firstLine="0" w:firstLineChars="0"/>
              <w:rPr>
                <w:rFonts w:hint="eastAsia" w:ascii="仿宋_GB2312"/>
                <w:sz w:val="24"/>
                <w:szCs w:val="24"/>
              </w:rPr>
            </w:pPr>
            <w:r>
              <w:rPr>
                <w:rFonts w:hint="eastAsia" w:ascii="仿宋_GB2312"/>
                <w:sz w:val="24"/>
                <w:szCs w:val="24"/>
              </w:rPr>
              <w:t>25.29</w:t>
            </w:r>
          </w:p>
        </w:tc>
        <w:tc>
          <w:tcPr>
            <w:tcW w:w="1446" w:type="dxa"/>
            <w:vAlign w:val="top"/>
          </w:tcPr>
          <w:p>
            <w:pPr>
              <w:ind w:firstLine="0" w:firstLineChars="0"/>
              <w:rPr>
                <w:rFonts w:hint="eastAsia" w:ascii="仿宋_GB2312"/>
                <w:sz w:val="24"/>
                <w:szCs w:val="24"/>
              </w:rPr>
            </w:pPr>
            <w:r>
              <w:rPr>
                <w:rFonts w:hint="eastAsia" w:ascii="仿宋_GB2312"/>
                <w:sz w:val="24"/>
                <w:szCs w:val="24"/>
              </w:rPr>
              <w:t>23.01</w:t>
            </w:r>
          </w:p>
        </w:tc>
        <w:tc>
          <w:tcPr>
            <w:tcW w:w="1446" w:type="dxa"/>
            <w:vAlign w:val="top"/>
          </w:tcPr>
          <w:p>
            <w:pPr>
              <w:ind w:firstLine="0" w:firstLineChars="0"/>
              <w:rPr>
                <w:rFonts w:hint="eastAsia" w:ascii="仿宋_GB2312"/>
                <w:sz w:val="24"/>
                <w:szCs w:val="24"/>
              </w:rPr>
            </w:pPr>
            <w:r>
              <w:rPr>
                <w:rFonts w:hint="eastAsia" w:ascii="仿宋_GB2312"/>
                <w:sz w:val="24"/>
                <w:szCs w:val="24"/>
              </w:rPr>
              <w:t>23.95</w:t>
            </w:r>
          </w:p>
        </w:tc>
        <w:tc>
          <w:tcPr>
            <w:tcW w:w="1474" w:type="dxa"/>
            <w:vAlign w:val="top"/>
          </w:tcPr>
          <w:p>
            <w:pPr>
              <w:ind w:firstLine="0" w:firstLineChars="0"/>
              <w:rPr>
                <w:rFonts w:hint="eastAsia" w:ascii="仿宋_GB2312"/>
                <w:sz w:val="24"/>
                <w:szCs w:val="24"/>
              </w:rPr>
            </w:pPr>
            <w:r>
              <w:rPr>
                <w:rFonts w:hint="eastAsia" w:ascii="仿宋_GB2312"/>
                <w:sz w:val="24"/>
                <w:szCs w:val="24"/>
              </w:rPr>
              <w:t>2.28</w:t>
            </w:r>
          </w:p>
        </w:tc>
        <w:tc>
          <w:tcPr>
            <w:tcW w:w="1417" w:type="dxa"/>
            <w:vAlign w:val="top"/>
          </w:tcPr>
          <w:p>
            <w:pPr>
              <w:ind w:firstLine="0" w:firstLineChars="0"/>
              <w:rPr>
                <w:rFonts w:hint="eastAsia" w:ascii="仿宋_GB2312"/>
                <w:sz w:val="24"/>
                <w:szCs w:val="24"/>
              </w:rPr>
            </w:pPr>
            <w:r>
              <w:rPr>
                <w:rFonts w:hint="eastAsia" w:ascii="仿宋_GB2312"/>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.1</w:t>
            </w:r>
          </w:p>
        </w:tc>
        <w:tc>
          <w:tcPr>
            <w:tcW w:w="1474" w:type="dxa"/>
          </w:tcPr>
          <w:p>
            <w:pPr>
              <w:ind w:firstLine="0" w:firstLineChars="0"/>
              <w:rPr>
                <w:rFonts w:ascii="仿宋_GB2312"/>
                <w:sz w:val="24"/>
                <w:szCs w:val="24"/>
              </w:rPr>
            </w:pPr>
            <w:r>
              <w:rPr>
                <w:rFonts w:hint="eastAsia" w:ascii="仿宋_GB2312"/>
                <w:sz w:val="24"/>
                <w:szCs w:val="24"/>
              </w:rPr>
              <w:t>-0.1</w:t>
            </w:r>
          </w:p>
        </w:tc>
        <w:tc>
          <w:tcPr>
            <w:tcW w:w="1417" w:type="dxa"/>
          </w:tcPr>
          <w:p>
            <w:pPr>
              <w:ind w:firstLine="0" w:firstLineChars="0"/>
              <w:rPr>
                <w:rFonts w:ascii="仿宋_GB2312"/>
                <w:sz w:val="24"/>
                <w:szCs w:val="24"/>
              </w:rPr>
            </w:pPr>
            <w:r>
              <w:rPr>
                <w:rFonts w:hint="eastAsia" w:ascii="仿宋_GB2312"/>
                <w:sz w:val="24"/>
                <w:szCs w:val="24"/>
              </w:rPr>
              <w:t>-0.1</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年度“三公经费”支出总额25.29万元，与年初预算相比增加2.18万元，</w:t>
      </w:r>
      <w:bookmarkStart w:id="20" w:name="OLE_LINK39"/>
      <w:bookmarkStart w:id="21" w:name="OLE_LINK38"/>
      <w:bookmarkStart w:id="22" w:name="OLE_LINK10"/>
      <w:bookmarkStart w:id="23" w:name="OLE_LINK8"/>
      <w:r>
        <w:rPr>
          <w:rFonts w:hint="eastAsia" w:ascii="仿宋_GB2312"/>
          <w:szCs w:val="32"/>
        </w:rPr>
        <w:t>增长9.43%</w:t>
      </w:r>
      <w:bookmarkEnd w:id="20"/>
      <w:bookmarkEnd w:id="21"/>
      <w:r>
        <w:rPr>
          <w:rFonts w:hint="eastAsia" w:ascii="仿宋_GB2312"/>
          <w:szCs w:val="32"/>
        </w:rPr>
        <w:t>，</w:t>
      </w:r>
      <w:bookmarkEnd w:id="22"/>
      <w:bookmarkEnd w:id="23"/>
      <w:r>
        <w:rPr>
          <w:rFonts w:hint="eastAsia" w:ascii="仿宋_GB2312"/>
          <w:szCs w:val="32"/>
        </w:rPr>
        <w:t>原因是：执法督查任务及项目建设任务需经常现场督查指导工作</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年度决算数相比增加1.24万元，增长4.9%，原因是：执法督查任务及项目建设任务需经常现场督查指导工作。</w:t>
      </w:r>
    </w:p>
    <w:p>
      <w:pPr>
        <w:ind w:firstLine="643"/>
        <w:rPr>
          <w:rFonts w:hint="eastAsia" w:ascii="仿宋_GB2312"/>
          <w:color w:val="000000" w:themeColor="text1"/>
          <w:szCs w:val="32"/>
          <w:lang w:eastAsia="zh-CN"/>
        </w:rPr>
      </w:pPr>
      <w:bookmarkStart w:id="24" w:name="OLE_LINK9"/>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rPr>
        <w:t>原因是：</w:t>
      </w:r>
      <w:r>
        <w:rPr>
          <w:rFonts w:hint="eastAsia" w:ascii="仿宋_GB2312"/>
          <w:color w:val="000000" w:themeColor="text1"/>
          <w:szCs w:val="32"/>
          <w:lang w:val="en-US" w:eastAsia="zh-CN"/>
        </w:rPr>
        <w:t>2017年未发生因公出国费用</w:t>
      </w:r>
      <w:r>
        <w:rPr>
          <w:rFonts w:hint="eastAsia" w:ascii="仿宋_GB2312"/>
          <w:color w:val="000000" w:themeColor="text1"/>
          <w:szCs w:val="32"/>
        </w:rPr>
        <w:t>，</w:t>
      </w:r>
      <w:r>
        <w:rPr>
          <w:rFonts w:hint="eastAsia" w:ascii="仿宋_GB2312"/>
          <w:color w:val="000000" w:themeColor="text1"/>
          <w:szCs w:val="32"/>
          <w:lang w:eastAsia="zh-CN"/>
        </w:rPr>
        <w:t>年初预算未安排，</w:t>
      </w:r>
      <w:r>
        <w:rPr>
          <w:rFonts w:hint="eastAsia" w:ascii="仿宋_GB2312"/>
          <w:color w:val="000000" w:themeColor="text1"/>
          <w:szCs w:val="32"/>
        </w:rPr>
        <w:t>2</w:t>
      </w:r>
      <w:r>
        <w:rPr>
          <w:rFonts w:ascii="仿宋_GB2312"/>
          <w:color w:val="000000" w:themeColor="text1"/>
          <w:szCs w:val="32"/>
        </w:rPr>
        <w:t>016</w:t>
      </w:r>
      <w:r>
        <w:rPr>
          <w:rFonts w:hint="eastAsia" w:ascii="仿宋_GB2312"/>
          <w:color w:val="000000" w:themeColor="text1"/>
          <w:szCs w:val="32"/>
        </w:rPr>
        <w:t>年</w:t>
      </w:r>
      <w:r>
        <w:rPr>
          <w:rFonts w:hint="eastAsia" w:ascii="仿宋_GB2312"/>
          <w:color w:val="000000" w:themeColor="text1"/>
          <w:szCs w:val="32"/>
          <w:lang w:eastAsia="zh-CN"/>
        </w:rPr>
        <w:t>也未发生因公出国费用。</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5" w:name="OLE_LINK19"/>
      <w:bookmarkStart w:id="26" w:name="OLE_LINK18"/>
      <w:r>
        <w:rPr>
          <w:rFonts w:hint="eastAsia" w:ascii="仿宋_GB2312"/>
          <w:szCs w:val="32"/>
        </w:rPr>
        <w:t>度公务用车购置及运行维护费</w:t>
      </w:r>
      <w:bookmarkEnd w:id="25"/>
      <w:bookmarkEnd w:id="26"/>
      <w:r>
        <w:rPr>
          <w:rFonts w:hint="eastAsia" w:ascii="仿宋_GB2312"/>
          <w:szCs w:val="32"/>
        </w:rPr>
        <w:t>25.29万元，与年初预算相比增加2.28万元，增长9%，原因是：执法督查任务及项目建设任务需经常现场督查指导工作，与2</w:t>
      </w:r>
      <w:r>
        <w:rPr>
          <w:rFonts w:ascii="仿宋_GB2312"/>
          <w:szCs w:val="32"/>
        </w:rPr>
        <w:t>016</w:t>
      </w:r>
      <w:r>
        <w:rPr>
          <w:rFonts w:hint="eastAsia" w:ascii="仿宋_GB2312"/>
          <w:szCs w:val="32"/>
        </w:rPr>
        <w:t>年度决算数相比增加1.34万元，增长4.9%，原因是：</w:t>
      </w:r>
      <w:bookmarkStart w:id="27" w:name="OLE_LINK44"/>
      <w:bookmarkStart w:id="28" w:name="OLE_LINK45"/>
      <w:r>
        <w:rPr>
          <w:rFonts w:hint="eastAsia" w:ascii="仿宋_GB2312"/>
          <w:szCs w:val="32"/>
        </w:rPr>
        <w:t>执法督查任务及项目建设任务需经常现场督查指导工作</w:t>
      </w:r>
      <w:bookmarkEnd w:id="24"/>
      <w:bookmarkEnd w:id="27"/>
      <w:bookmarkEnd w:id="28"/>
      <w:r>
        <w:rPr>
          <w:rFonts w:hint="eastAsia" w:ascii="仿宋_GB2312"/>
          <w:szCs w:val="32"/>
        </w:rPr>
        <w:t>。</w:t>
      </w:r>
    </w:p>
    <w:p>
      <w:pPr>
        <w:ind w:firstLine="643"/>
        <w:rPr>
          <w:rFonts w:hint="eastAsia" w:ascii="仿宋" w:hAnsi="仿宋" w:eastAsia="仿宋"/>
          <w:szCs w:val="32"/>
        </w:rPr>
      </w:pPr>
      <w:r>
        <w:rPr>
          <w:rFonts w:hint="eastAsia" w:ascii="仿宋_GB2312"/>
          <w:szCs w:val="32"/>
        </w:rPr>
        <w:t>其中：公务用车购置费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公务用车购置费</w:t>
      </w:r>
      <w:r>
        <w:rPr>
          <w:rFonts w:hint="eastAsia" w:ascii="仿宋" w:hAnsi="仿宋" w:eastAsia="仿宋"/>
          <w:szCs w:val="32"/>
        </w:rPr>
        <w:t>总计0万元，年初预算为0万元，2016年度决算数为0万元，原因是：2017年未发生</w:t>
      </w:r>
      <w:r>
        <w:rPr>
          <w:rFonts w:hint="eastAsia" w:ascii="仿宋_GB2312"/>
          <w:szCs w:val="32"/>
        </w:rPr>
        <w:t>公务用车购置费</w:t>
      </w:r>
      <w:r>
        <w:rPr>
          <w:rFonts w:hint="eastAsia" w:ascii="仿宋" w:hAnsi="仿宋" w:eastAsia="仿宋"/>
          <w:szCs w:val="32"/>
        </w:rPr>
        <w:t>支出，年初预算未安排，2016年也未发生</w:t>
      </w:r>
      <w:r>
        <w:rPr>
          <w:rFonts w:hint="eastAsia" w:ascii="仿宋_GB2312"/>
          <w:szCs w:val="32"/>
        </w:rPr>
        <w:t>公务用车购置费</w:t>
      </w:r>
      <w:r>
        <w:rPr>
          <w:rFonts w:hint="eastAsia" w:ascii="仿宋" w:hAnsi="仿宋" w:eastAsia="仿宋"/>
          <w:szCs w:val="32"/>
        </w:rPr>
        <w:t>支出。</w:t>
      </w:r>
    </w:p>
    <w:p>
      <w:pPr>
        <w:ind w:firstLine="643"/>
        <w:rPr>
          <w:rFonts w:hint="eastAsia" w:ascii="仿宋_GB2312"/>
          <w:szCs w:val="32"/>
        </w:rPr>
      </w:pPr>
      <w:r>
        <w:rPr>
          <w:rFonts w:hint="eastAsia" w:ascii="仿宋_GB2312"/>
          <w:szCs w:val="32"/>
        </w:rPr>
        <w:t>其中：公务用车维护费</w:t>
      </w:r>
      <w:r>
        <w:rPr>
          <w:rFonts w:hint="eastAsia" w:ascii="仿宋" w:hAnsi="仿宋" w:eastAsia="仿宋" w:cs="仿宋"/>
        </w:rPr>
        <w:t>情况。</w:t>
      </w:r>
      <w:r>
        <w:rPr>
          <w:rFonts w:hint="eastAsia" w:ascii="仿宋_GB2312"/>
          <w:szCs w:val="32"/>
        </w:rPr>
        <w:t>2</w:t>
      </w:r>
      <w:r>
        <w:rPr>
          <w:rFonts w:ascii="仿宋_GB2312"/>
          <w:szCs w:val="32"/>
        </w:rPr>
        <w:t>017</w:t>
      </w:r>
      <w:r>
        <w:rPr>
          <w:rFonts w:hint="eastAsia" w:ascii="仿宋_GB2312"/>
          <w:szCs w:val="32"/>
        </w:rPr>
        <w:t>年度公务用车运行维护费25.29万元，与年初预算相比增加2.28万元，增长9%，原因是：执法督查任务及项目建设任务需经常现场督查指导工作，与2</w:t>
      </w:r>
      <w:r>
        <w:rPr>
          <w:rFonts w:ascii="仿宋_GB2312"/>
          <w:szCs w:val="32"/>
        </w:rPr>
        <w:t>016</w:t>
      </w:r>
      <w:r>
        <w:rPr>
          <w:rFonts w:hint="eastAsia" w:ascii="仿宋_GB2312"/>
          <w:szCs w:val="32"/>
        </w:rPr>
        <w:t>年度决算数相比增加1.34万元，增长4.9%，原因是：执法督查任务及项目建设任务需经常现场督查指导工作。</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29" w:name="OLE_LINK20"/>
      <w:r>
        <w:rPr>
          <w:rFonts w:hint="eastAsia" w:ascii="仿宋_GB2312"/>
          <w:szCs w:val="32"/>
        </w:rPr>
        <w:t>度公务接待费</w:t>
      </w:r>
      <w:bookmarkEnd w:id="29"/>
      <w:r>
        <w:rPr>
          <w:rFonts w:hint="eastAsia" w:ascii="仿宋_GB2312"/>
          <w:szCs w:val="32"/>
        </w:rPr>
        <w:t>0万元，与年初预算相比减少0.1万元，降低</w:t>
      </w:r>
      <w:bookmarkStart w:id="30" w:name="OLE_LINK41"/>
      <w:bookmarkStart w:id="31" w:name="OLE_LINK40"/>
      <w:bookmarkStart w:id="32" w:name="OLE_LINK42"/>
      <w:bookmarkStart w:id="33" w:name="OLE_LINK43"/>
      <w:r>
        <w:rPr>
          <w:rFonts w:hint="eastAsia" w:ascii="仿宋_GB2312"/>
          <w:szCs w:val="32"/>
        </w:rPr>
        <w:t>100%</w:t>
      </w:r>
      <w:bookmarkEnd w:id="30"/>
      <w:bookmarkEnd w:id="31"/>
      <w:bookmarkEnd w:id="32"/>
      <w:bookmarkEnd w:id="33"/>
      <w:r>
        <w:rPr>
          <w:rFonts w:hint="eastAsia" w:ascii="仿宋_GB2312"/>
          <w:szCs w:val="32"/>
        </w:rPr>
        <w:t>，原因是：节约开支，与2</w:t>
      </w:r>
      <w:r>
        <w:rPr>
          <w:rFonts w:ascii="仿宋_GB2312"/>
          <w:szCs w:val="32"/>
        </w:rPr>
        <w:t>016</w:t>
      </w:r>
      <w:r>
        <w:rPr>
          <w:rFonts w:hint="eastAsia" w:ascii="仿宋_GB2312"/>
          <w:szCs w:val="32"/>
        </w:rPr>
        <w:t>年度决算数相比减少0.1万元，降低100%，原因是：节约开支。</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szCs w:val="32"/>
        </w:rPr>
      </w:pPr>
      <w:r>
        <w:rPr>
          <w:rFonts w:hint="eastAsia" w:ascii="仿宋_GB2312"/>
          <w:szCs w:val="32"/>
        </w:rPr>
        <w:t>加强预算绩效管理的部署要求，规范和加强财政专项资金预算管理，提高专项资金使用效益和预算管理水平，推动财政资金聚力增效，提高公共服务供给质量。针对绩效管理，我单位严格执行重大支出实施政府采购制度、招投标制度，取得了良好管理效果，资金使用严格按照量入为出的原则，通过优中选优的筛选机制，合理安排有限的预算资金，努力提高性价比，确保了预算资金的安全使用，取得了非常好的效果。项目在实施过程中，严格执行了财政制度、法律法规，制定了完善的规章制度及实施计划，风险控制严密，增加了社会公众对执法机关的认可度，对经济、社会的政治效益具有良好的促进作用。</w:t>
      </w:r>
    </w:p>
    <w:p>
      <w:pPr>
        <w:ind w:firstLine="640"/>
        <w:rPr>
          <w:rFonts w:hint="eastAsia" w:ascii="仿宋_GB2312"/>
          <w:szCs w:val="32"/>
        </w:rPr>
      </w:pPr>
      <w:r>
        <w:rPr>
          <w:rFonts w:hint="eastAsia" w:ascii="仿宋_GB2312"/>
          <w:szCs w:val="32"/>
        </w:rPr>
        <w:t>部门决算量化评价79分，主要因为转移支付款项的拨款部门变化造成财政拨款收入支出均出现差异。</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年度本部门机关运行经费支出39.74万元，比201</w:t>
      </w:r>
      <w:r>
        <w:rPr>
          <w:rFonts w:ascii="仿宋_GB2312"/>
          <w:szCs w:val="32"/>
        </w:rPr>
        <w:t>6</w:t>
      </w:r>
      <w:r>
        <w:rPr>
          <w:rFonts w:hint="eastAsia" w:ascii="仿宋_GB2312"/>
          <w:szCs w:val="32"/>
        </w:rPr>
        <w:t>年度减少51.52万元，</w:t>
      </w:r>
      <w:bookmarkStart w:id="34" w:name="OLE_LINK6"/>
      <w:r>
        <w:rPr>
          <w:rFonts w:hint="eastAsia" w:ascii="仿宋_GB2312"/>
          <w:szCs w:val="32"/>
        </w:rPr>
        <w:t>降低129.64%</w:t>
      </w:r>
      <w:bookmarkEnd w:id="34"/>
      <w:r>
        <w:rPr>
          <w:rFonts w:hint="eastAsia" w:ascii="仿宋_GB2312"/>
          <w:szCs w:val="32"/>
        </w:rPr>
        <w:t>。主要原因是：经费紧张、节约开支。</w:t>
      </w:r>
    </w:p>
    <w:p>
      <w:pPr>
        <w:ind w:firstLine="643"/>
        <w:rPr>
          <w:rFonts w:hint="eastAsia" w:ascii="仿宋_GB2312"/>
          <w:szCs w:val="32"/>
        </w:rPr>
      </w:pPr>
      <w:r>
        <w:rPr>
          <w:rFonts w:hint="eastAsia" w:ascii="仿宋" w:hAnsi="仿宋" w:eastAsia="仿宋"/>
          <w:b/>
          <w:szCs w:val="32"/>
        </w:rPr>
        <w:t>2．政府采购情况</w:t>
      </w:r>
      <w:bookmarkStart w:id="35" w:name="OLE_LINK48"/>
      <w:bookmarkStart w:id="36" w:name="OLE_LINK49"/>
      <w:bookmarkStart w:id="37" w:name="OLE_LINK50"/>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年度本部门政府采购支出总额7.01万元，其中：政府采购货物支出7.01万元、政府采购工程支出0万元、政府采购服</w:t>
      </w:r>
      <w:bookmarkEnd w:id="35"/>
      <w:bookmarkEnd w:id="36"/>
      <w:bookmarkEnd w:id="37"/>
      <w:r>
        <w:rPr>
          <w:rFonts w:hint="eastAsia" w:ascii="仿宋_GB2312"/>
          <w:szCs w:val="32"/>
        </w:rPr>
        <w:t>务支出0万元。</w:t>
      </w:r>
    </w:p>
    <w:p>
      <w:pPr>
        <w:ind w:firstLine="643"/>
        <w:rPr>
          <w:rFonts w:ascii="仿宋_GB2312"/>
          <w:szCs w:val="32"/>
        </w:rPr>
      </w:pPr>
      <w:r>
        <w:rPr>
          <w:rFonts w:hint="eastAsia" w:ascii="仿宋" w:hAnsi="仿宋" w:eastAsia="仿宋"/>
          <w:b/>
          <w:szCs w:val="32"/>
        </w:rPr>
        <w:t>3．国有资产占用情况。</w:t>
      </w:r>
      <w:r>
        <w:rPr>
          <w:rFonts w:hint="eastAsia" w:ascii="仿宋_GB2312"/>
          <w:szCs w:val="32"/>
        </w:rPr>
        <w:t>截至201</w:t>
      </w:r>
      <w:r>
        <w:rPr>
          <w:rFonts w:ascii="仿宋_GB2312"/>
          <w:szCs w:val="32"/>
        </w:rPr>
        <w:t>7</w:t>
      </w:r>
      <w:r>
        <w:rPr>
          <w:rFonts w:hint="eastAsia" w:ascii="仿宋_GB2312"/>
          <w:szCs w:val="32"/>
        </w:rPr>
        <w:t>年12月31日，本部门共有车辆47辆，其中，一般公务用车1辆、一般执法执勤用车31辆、特种专业技术用车1辆、其他用车14辆，其他用车主要是摩托车；单位价值200万元以上大型设备0台。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38" w:name="OLE_LINK47"/>
      <w:bookmarkStart w:id="39" w:name="OLE_LINK46"/>
      <w:r>
        <w:rPr>
          <w:rFonts w:hint="eastAsia" w:ascii="仿宋" w:hAnsi="仿宋" w:eastAsia="仿宋"/>
          <w:szCs w:val="32"/>
        </w:rPr>
        <w:t>2017年会议费总计0万元，年初预算为0万元，2016年度决算数为0万元，原因是：2017年未发生会议费支出，年初预算未安排，2016年也未发生会议费支出。</w:t>
      </w:r>
    </w:p>
    <w:bookmarkEnd w:id="38"/>
    <w:bookmarkEnd w:id="39"/>
    <w:p>
      <w:pPr>
        <w:ind w:firstLine="640"/>
        <w:rPr>
          <w:rFonts w:ascii="仿宋" w:hAnsi="仿宋" w:eastAsia="仿宋"/>
        </w:rPr>
      </w:pPr>
      <w:r>
        <w:rPr>
          <w:rFonts w:hint="eastAsia" w:ascii="仿宋" w:hAnsi="仿宋" w:eastAsia="仿宋" w:cs="仿宋"/>
        </w:rPr>
        <w:t>培训费支出情况。</w:t>
      </w:r>
      <w:r>
        <w:rPr>
          <w:rFonts w:hint="eastAsia" w:ascii="仿宋" w:hAnsi="仿宋" w:eastAsia="仿宋"/>
          <w:szCs w:val="32"/>
        </w:rPr>
        <w:t>2017年培训费总计0万元，年初预算为0万元，2016年度决算数为0万元，原因是：2017年未发生培训费支出，年初预算未安排，2016年也未发生培训费支出。</w:t>
      </w:r>
    </w:p>
    <w:p>
      <w:pPr>
        <w:ind w:firstLine="640"/>
        <w:rPr>
          <w:rFonts w:ascii="仿宋_GB2312"/>
          <w:szCs w:val="32"/>
        </w:rPr>
      </w:pP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B1A2C"/>
    <w:multiLevelType w:val="multilevel"/>
    <w:tmpl w:val="5EAB1A2C"/>
    <w:lvl w:ilvl="0" w:tentative="0">
      <w:start w:val="1"/>
      <w:numFmt w:val="japaneseCounting"/>
      <w:lvlText w:val="%1、"/>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1">
    <w:nsid w:val="7C226F1D"/>
    <w:multiLevelType w:val="multilevel"/>
    <w:tmpl w:val="7C226F1D"/>
    <w:lvl w:ilvl="0" w:tentative="0">
      <w:start w:val="1"/>
      <w:numFmt w:val="japaneseCounting"/>
      <w:lvlText w:val="%1、"/>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F00FD"/>
    <w:rsid w:val="0011224D"/>
    <w:rsid w:val="00127C8F"/>
    <w:rsid w:val="00141793"/>
    <w:rsid w:val="00155A0C"/>
    <w:rsid w:val="00172A9E"/>
    <w:rsid w:val="00174075"/>
    <w:rsid w:val="00175A3A"/>
    <w:rsid w:val="0017741E"/>
    <w:rsid w:val="0019263B"/>
    <w:rsid w:val="001F41FA"/>
    <w:rsid w:val="00204503"/>
    <w:rsid w:val="00231700"/>
    <w:rsid w:val="00271D6D"/>
    <w:rsid w:val="0027309A"/>
    <w:rsid w:val="00273E03"/>
    <w:rsid w:val="002833D1"/>
    <w:rsid w:val="0029596B"/>
    <w:rsid w:val="002A3356"/>
    <w:rsid w:val="002D1C92"/>
    <w:rsid w:val="00305FCB"/>
    <w:rsid w:val="00310A7C"/>
    <w:rsid w:val="00312F9F"/>
    <w:rsid w:val="003155B1"/>
    <w:rsid w:val="00361FBC"/>
    <w:rsid w:val="003D144F"/>
    <w:rsid w:val="003F6043"/>
    <w:rsid w:val="00404BA5"/>
    <w:rsid w:val="00405DD5"/>
    <w:rsid w:val="00443128"/>
    <w:rsid w:val="00450D4D"/>
    <w:rsid w:val="00494B62"/>
    <w:rsid w:val="004D027D"/>
    <w:rsid w:val="004E7B5F"/>
    <w:rsid w:val="004F1F8E"/>
    <w:rsid w:val="00502034"/>
    <w:rsid w:val="005046AD"/>
    <w:rsid w:val="00555510"/>
    <w:rsid w:val="00562ED9"/>
    <w:rsid w:val="00593550"/>
    <w:rsid w:val="00594763"/>
    <w:rsid w:val="005C39CD"/>
    <w:rsid w:val="005C5A21"/>
    <w:rsid w:val="005C7CFB"/>
    <w:rsid w:val="005E2EB4"/>
    <w:rsid w:val="005E31A1"/>
    <w:rsid w:val="005E382E"/>
    <w:rsid w:val="00614391"/>
    <w:rsid w:val="00630D6A"/>
    <w:rsid w:val="00632195"/>
    <w:rsid w:val="006508EE"/>
    <w:rsid w:val="00661402"/>
    <w:rsid w:val="00661FC6"/>
    <w:rsid w:val="00682F9B"/>
    <w:rsid w:val="006A1D43"/>
    <w:rsid w:val="006B012E"/>
    <w:rsid w:val="006C00CA"/>
    <w:rsid w:val="006D6A17"/>
    <w:rsid w:val="006F5699"/>
    <w:rsid w:val="006F7A05"/>
    <w:rsid w:val="0071274D"/>
    <w:rsid w:val="00712D5F"/>
    <w:rsid w:val="00746674"/>
    <w:rsid w:val="0075353D"/>
    <w:rsid w:val="00790A0A"/>
    <w:rsid w:val="0079366F"/>
    <w:rsid w:val="007C4984"/>
    <w:rsid w:val="007C6D61"/>
    <w:rsid w:val="007D592B"/>
    <w:rsid w:val="0080218B"/>
    <w:rsid w:val="0080381A"/>
    <w:rsid w:val="00830C9C"/>
    <w:rsid w:val="008529DA"/>
    <w:rsid w:val="008716D0"/>
    <w:rsid w:val="008951B5"/>
    <w:rsid w:val="008B301E"/>
    <w:rsid w:val="008F3A14"/>
    <w:rsid w:val="0092275C"/>
    <w:rsid w:val="00937A08"/>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23D7"/>
    <w:rsid w:val="00B86180"/>
    <w:rsid w:val="00B9605B"/>
    <w:rsid w:val="00B96A7F"/>
    <w:rsid w:val="00BA26B2"/>
    <w:rsid w:val="00BB0475"/>
    <w:rsid w:val="00BB55D2"/>
    <w:rsid w:val="00BC4069"/>
    <w:rsid w:val="00BC625F"/>
    <w:rsid w:val="00BF1C0F"/>
    <w:rsid w:val="00C36EFE"/>
    <w:rsid w:val="00C5116A"/>
    <w:rsid w:val="00C82007"/>
    <w:rsid w:val="00CD5C62"/>
    <w:rsid w:val="00CE7AA1"/>
    <w:rsid w:val="00CF1175"/>
    <w:rsid w:val="00CF7D21"/>
    <w:rsid w:val="00D03747"/>
    <w:rsid w:val="00D1409F"/>
    <w:rsid w:val="00D2211A"/>
    <w:rsid w:val="00D2301D"/>
    <w:rsid w:val="00D34D1F"/>
    <w:rsid w:val="00D4698B"/>
    <w:rsid w:val="00D51081"/>
    <w:rsid w:val="00D555BE"/>
    <w:rsid w:val="00D82AF5"/>
    <w:rsid w:val="00D87BD4"/>
    <w:rsid w:val="00DA4540"/>
    <w:rsid w:val="00E03175"/>
    <w:rsid w:val="00E20A6A"/>
    <w:rsid w:val="00E449E4"/>
    <w:rsid w:val="00E47324"/>
    <w:rsid w:val="00E5216F"/>
    <w:rsid w:val="00E7487B"/>
    <w:rsid w:val="00E76A3B"/>
    <w:rsid w:val="00EA5972"/>
    <w:rsid w:val="00EB45A9"/>
    <w:rsid w:val="00EB63A9"/>
    <w:rsid w:val="00EB63B2"/>
    <w:rsid w:val="00EC62AA"/>
    <w:rsid w:val="00ED09E5"/>
    <w:rsid w:val="00ED2A14"/>
    <w:rsid w:val="00ED6876"/>
    <w:rsid w:val="00ED6B4C"/>
    <w:rsid w:val="00EF493B"/>
    <w:rsid w:val="00F0518B"/>
    <w:rsid w:val="00F05F78"/>
    <w:rsid w:val="00F06F8D"/>
    <w:rsid w:val="00F7462B"/>
    <w:rsid w:val="00F9758A"/>
    <w:rsid w:val="00FB5560"/>
    <w:rsid w:val="00FC3BAC"/>
    <w:rsid w:val="00FD5BCA"/>
    <w:rsid w:val="00FE0FF7"/>
    <w:rsid w:val="00FF65FE"/>
    <w:rsid w:val="7FA0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rFonts w:ascii="Calibri" w:hAnsi="Calibri" w:eastAsia="宋体" w:cs="Times New Roman"/>
      <w:kern w:val="0"/>
      <w:sz w:val="18"/>
      <w:szCs w:val="18"/>
    </w:rPr>
  </w:style>
  <w:style w:type="character" w:customStyle="1" w:styleId="8">
    <w:name w:val="页脚 Char"/>
    <w:basedOn w:val="4"/>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A82F3-439F-463D-B692-910FB4C18B3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18</Pages>
  <Words>675</Words>
  <Characters>3853</Characters>
  <Lines>32</Lines>
  <Paragraphs>9</Paragraphs>
  <TotalTime>0</TotalTime>
  <ScaleCrop>false</ScaleCrop>
  <LinksUpToDate>false</LinksUpToDate>
  <CharactersWithSpaces>4519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2018-08-31T10:12:00Z</dcterms:created>
  <dc:creator>jia</dc:creator>
  <cp:lastModifiedBy>Lenovo</cp:lastModifiedBy>
  <dcterms:modified xsi:type="dcterms:W3CDTF">2019-03-14T07:10:14Z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