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bookmarkStart w:id="24" w:name="_GoBack"/>
      <w:bookmarkEnd w:id="24"/>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秦皇岛市海港区教育局</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教育</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教育</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教育</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6"/>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教育部门概况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0" w:firstLineChars="0"/>
        <w:rPr>
          <w:rFonts w:hint="eastAsia" w:ascii="仿宋_GB2312" w:hAnsi="黑体"/>
          <w:sz w:val="24"/>
          <w:szCs w:val="32"/>
        </w:rPr>
      </w:pPr>
    </w:p>
    <w:bookmarkEnd w:id="6"/>
    <w:p>
      <w:pPr>
        <w:pStyle w:val="10"/>
        <w:numPr>
          <w:ilvl w:val="0"/>
          <w:numId w:val="1"/>
        </w:numPr>
        <w:ind w:firstLineChars="0"/>
        <w:rPr>
          <w:rFonts w:ascii="仿宋_GB2312" w:hAnsi="黑体"/>
          <w:szCs w:val="32"/>
        </w:rPr>
      </w:pPr>
      <w:bookmarkStart w:id="8" w:name="OLE_LINK14"/>
      <w:r>
        <w:rPr>
          <w:rFonts w:hint="eastAsia" w:ascii="仿宋_GB2312" w:hAnsi="黑体"/>
          <w:szCs w:val="32"/>
        </w:rPr>
        <w:t>部门职责</w:t>
      </w:r>
    </w:p>
    <w:p>
      <w:pPr>
        <w:ind w:left="709" w:firstLine="640"/>
        <w:rPr>
          <w:rFonts w:ascii="仿宋_GB2312" w:hAnsi="仿宋" w:cs="仿宋_GB2312"/>
        </w:rPr>
      </w:pPr>
      <w:r>
        <w:rPr>
          <w:rFonts w:hint="eastAsia" w:ascii="仿宋_GB2312" w:hAnsi="仿宋" w:cs="仿宋_GB2312"/>
        </w:rPr>
        <w:t>1.拟订全区教育改革与发展的政策和规划，起草有关教育方面政府规章草案。</w:t>
      </w:r>
    </w:p>
    <w:p>
      <w:pPr>
        <w:ind w:left="709" w:firstLine="640"/>
        <w:rPr>
          <w:rFonts w:ascii="仿宋_GB2312" w:hAnsi="仿宋" w:cs="仿宋_GB2312"/>
        </w:rPr>
      </w:pPr>
      <w:r>
        <w:rPr>
          <w:rFonts w:hint="eastAsia" w:ascii="仿宋_GB2312" w:hAnsi="仿宋" w:cs="仿宋_GB2312"/>
        </w:rPr>
        <w:t>2.负责全区各级各类教育的统筹规划和协调管理，组织实施各级各类学校的设置标准 ，指导各级各类学校的教育教学工作；负责教育基本信息的统计、分析和发布。</w:t>
      </w:r>
    </w:p>
    <w:p>
      <w:pPr>
        <w:ind w:left="709" w:firstLine="640"/>
        <w:rPr>
          <w:rFonts w:ascii="仿宋_GB2312" w:hAnsi="仿宋" w:cs="仿宋_GB2312"/>
        </w:rPr>
      </w:pPr>
      <w:r>
        <w:rPr>
          <w:rFonts w:hint="eastAsia" w:ascii="仿宋_GB2312" w:hAnsi="仿宋" w:cs="仿宋_GB2312"/>
        </w:rPr>
        <w:t>3.负责推进义务教育均衡发展和促进教育公平；负责义务教育、幼儿教育和成人教育的指导与协调。</w:t>
      </w:r>
    </w:p>
    <w:p>
      <w:pPr>
        <w:ind w:left="709" w:firstLine="640"/>
        <w:rPr>
          <w:rFonts w:ascii="仿宋_GB2312" w:hAnsi="仿宋" w:cs="仿宋_GB2312"/>
        </w:rPr>
      </w:pPr>
      <w:r>
        <w:rPr>
          <w:rFonts w:hint="eastAsia" w:ascii="仿宋_GB2312" w:hAnsi="仿宋" w:cs="仿宋_GB2312"/>
        </w:rPr>
        <w:t>4.指导基础教育发展水平、质量的检测工作。</w:t>
      </w:r>
    </w:p>
    <w:p>
      <w:pPr>
        <w:ind w:left="709" w:firstLine="640"/>
        <w:rPr>
          <w:rFonts w:ascii="仿宋_GB2312" w:hAnsi="仿宋" w:cs="仿宋_GB2312"/>
        </w:rPr>
      </w:pPr>
      <w:r>
        <w:rPr>
          <w:rFonts w:hint="eastAsia" w:ascii="仿宋_GB2312" w:hAnsi="仿宋" w:cs="仿宋_GB2312"/>
        </w:rPr>
        <w:t>5.负责本部门教育经费的统筹管理，参与拟订教育经费筹措、教育拨款、教育基建投资的政策；负责统计全区教育经费投入情况。</w:t>
      </w:r>
    </w:p>
    <w:p>
      <w:pPr>
        <w:ind w:left="709" w:firstLine="640"/>
        <w:rPr>
          <w:rFonts w:ascii="仿宋_GB2312" w:hAnsi="仿宋" w:cs="仿宋_GB2312"/>
        </w:rPr>
      </w:pPr>
      <w:r>
        <w:rPr>
          <w:rFonts w:hint="eastAsia" w:ascii="仿宋_GB2312" w:hAnsi="仿宋" w:cs="仿宋_GB2312"/>
        </w:rPr>
        <w:t>6.指导全区各级各类学校的党建、思想政治、宣传统战和维护稳定工作；负责教育系统党风廉政建设及反腐败工作；按照干部管理权限，负责直属单位干部的考察、任免工作。</w:t>
      </w:r>
    </w:p>
    <w:p>
      <w:pPr>
        <w:ind w:left="709" w:firstLine="640"/>
        <w:rPr>
          <w:rFonts w:ascii="仿宋_GB2312" w:hAnsi="仿宋" w:cs="仿宋_GB2312"/>
        </w:rPr>
      </w:pPr>
      <w:r>
        <w:rPr>
          <w:rFonts w:hint="eastAsia" w:ascii="仿宋_GB2312" w:hAnsi="仿宋" w:cs="仿宋_GB2312"/>
        </w:rPr>
        <w:t>7.全区中小学校德育、体育、卫生、艺术教育、环境教育及国防教育工作；负责教育系统的安全监督管理。</w:t>
      </w:r>
    </w:p>
    <w:p>
      <w:pPr>
        <w:ind w:left="709" w:firstLine="640"/>
        <w:rPr>
          <w:rFonts w:ascii="仿宋_GB2312" w:hAnsi="仿宋" w:cs="仿宋_GB2312"/>
        </w:rPr>
      </w:pPr>
      <w:r>
        <w:rPr>
          <w:rFonts w:hint="eastAsia" w:ascii="仿宋_GB2312" w:hAnsi="仿宋" w:cs="仿宋_GB2312"/>
        </w:rPr>
        <w:t>8.主管全区教师工作。组织实施中小学教师继续教育工作，指导教育系统人才队伍建设。</w:t>
      </w:r>
    </w:p>
    <w:p>
      <w:pPr>
        <w:ind w:left="709" w:firstLine="320" w:firstLineChars="100"/>
        <w:rPr>
          <w:rFonts w:ascii="仿宋_GB2312" w:hAnsi="仿宋" w:cs="仿宋_GB2312"/>
        </w:rPr>
      </w:pPr>
      <w:r>
        <w:rPr>
          <w:rFonts w:hint="eastAsia" w:ascii="仿宋_GB2312" w:hAnsi="仿宋" w:cs="仿宋_GB2312"/>
        </w:rPr>
        <w:t xml:space="preserve"> 9.负责高等自考、成人高考、普通高考的报名和中考的考务工作；负责师范类毕业生就业指导和服务工作。</w:t>
      </w:r>
    </w:p>
    <w:p>
      <w:pPr>
        <w:ind w:left="709" w:firstLine="640"/>
        <w:rPr>
          <w:rFonts w:ascii="仿宋_GB2312" w:hAnsi="仿宋" w:cs="仿宋_GB2312"/>
        </w:rPr>
      </w:pPr>
      <w:r>
        <w:rPr>
          <w:rFonts w:hint="eastAsia" w:ascii="仿宋_GB2312" w:hAnsi="仿宋" w:cs="仿宋_GB2312"/>
        </w:rPr>
        <w:t>10.拟订语言文字工作中长期规划，组织协调并监督检查语言文字规范及标准的实施，指导推广普通话工作和普通话师资培训工作。</w:t>
      </w:r>
    </w:p>
    <w:p>
      <w:pPr>
        <w:ind w:left="709" w:firstLine="640"/>
        <w:rPr>
          <w:rFonts w:ascii="仿宋_GB2312" w:hAnsi="仿宋" w:cs="仿宋_GB2312"/>
        </w:rPr>
      </w:pPr>
      <w:r>
        <w:rPr>
          <w:rFonts w:hint="eastAsia" w:ascii="仿宋_GB2312" w:hAnsi="仿宋" w:cs="仿宋_GB2312"/>
        </w:rPr>
        <w:t>11.落实一岗双责，负责本系统和所属事业单位安全生产和维护稳定工作。</w:t>
      </w:r>
    </w:p>
    <w:p>
      <w:pPr>
        <w:ind w:left="709" w:firstLine="640"/>
        <w:rPr>
          <w:rFonts w:ascii="仿宋_GB2312" w:hAnsi="仿宋" w:cs="仿宋_GB2312"/>
        </w:rPr>
      </w:pPr>
      <w:r>
        <w:rPr>
          <w:rFonts w:hint="eastAsia" w:ascii="仿宋_GB2312" w:hAnsi="仿宋" w:cs="仿宋_GB2312"/>
        </w:rPr>
        <w:t>12.承办区政府交办的其他事项。</w:t>
      </w: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1444"/>
        <w:gridCol w:w="2209"/>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972"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1444"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017"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972" w:type="dxa"/>
            <w:vAlign w:val="center"/>
          </w:tcPr>
          <w:p>
            <w:pPr>
              <w:spacing w:before="100" w:beforeAutospacing="1" w:after="100" w:afterAutospacing="1" w:line="320" w:lineRule="exact"/>
              <w:ind w:firstLine="0" w:firstLineChars="0"/>
              <w:rPr>
                <w:rFonts w:ascii="仿宋_GB2312" w:hAnsi="黑体"/>
                <w:sz w:val="30"/>
                <w:szCs w:val="30"/>
              </w:rPr>
            </w:pPr>
            <w:r>
              <w:rPr>
                <w:rFonts w:hint="eastAsia" w:ascii="仿宋_GB2312" w:hAnsi="黑体"/>
                <w:sz w:val="30"/>
                <w:szCs w:val="30"/>
              </w:rPr>
              <w:t>秦皇岛市海港区教育局（机关）</w:t>
            </w:r>
          </w:p>
        </w:tc>
        <w:tc>
          <w:tcPr>
            <w:tcW w:w="1444" w:type="dxa"/>
            <w:vAlign w:val="center"/>
          </w:tcPr>
          <w:p>
            <w:pPr>
              <w:spacing w:before="100" w:beforeAutospacing="1" w:after="100" w:afterAutospacing="1" w:line="320" w:lineRule="exact"/>
              <w:ind w:firstLine="198" w:firstLineChars="66"/>
              <w:rPr>
                <w:rFonts w:ascii="仿宋_GB2312" w:hAnsi="黑体"/>
                <w:sz w:val="30"/>
                <w:szCs w:val="30"/>
              </w:rPr>
            </w:pPr>
            <w:r>
              <w:rPr>
                <w:rFonts w:hint="eastAsia" w:ascii="仿宋_GB2312" w:hAnsi="黑体"/>
                <w:sz w:val="30"/>
                <w:szCs w:val="30"/>
              </w:rPr>
              <w:t>行政</w:t>
            </w:r>
          </w:p>
        </w:tc>
        <w:tc>
          <w:tcPr>
            <w:tcW w:w="2209" w:type="dxa"/>
            <w:vAlign w:val="center"/>
          </w:tcPr>
          <w:p>
            <w:pPr>
              <w:spacing w:before="100" w:beforeAutospacing="1" w:after="100" w:afterAutospacing="1" w:line="320" w:lineRule="exact"/>
              <w:ind w:firstLine="600"/>
              <w:rPr>
                <w:rFonts w:ascii="仿宋_GB2312" w:hAnsi="黑体"/>
                <w:sz w:val="30"/>
                <w:szCs w:val="30"/>
              </w:rPr>
            </w:pPr>
            <w:r>
              <w:rPr>
                <w:rFonts w:hint="eastAsia" w:ascii="仿宋_GB2312" w:hAnsi="黑体"/>
                <w:sz w:val="30"/>
                <w:szCs w:val="30"/>
              </w:rPr>
              <w:t>正科级</w:t>
            </w:r>
          </w:p>
        </w:tc>
        <w:tc>
          <w:tcPr>
            <w:tcW w:w="2017" w:type="dxa"/>
            <w:vAlign w:val="center"/>
          </w:tcPr>
          <w:p>
            <w:pPr>
              <w:spacing w:before="100" w:beforeAutospacing="1" w:after="100" w:afterAutospacing="1" w:line="320" w:lineRule="exact"/>
              <w:ind w:firstLine="198" w:firstLineChars="66"/>
              <w:rPr>
                <w:rFonts w:ascii="仿宋_GB2312" w:hAnsi="黑体"/>
                <w:sz w:val="30"/>
                <w:szCs w:val="30"/>
              </w:rPr>
            </w:pPr>
            <w:r>
              <w:rPr>
                <w:rFonts w:hint="eastAsia" w:ascii="仿宋_GB2312" w:hAnsi="黑体"/>
                <w:sz w:val="30"/>
                <w:szCs w:val="3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972" w:type="dxa"/>
            <w:vAlign w:val="center"/>
          </w:tcPr>
          <w:p>
            <w:pPr>
              <w:spacing w:before="100" w:beforeAutospacing="1" w:after="100" w:afterAutospacing="1" w:line="320" w:lineRule="exact"/>
              <w:ind w:firstLine="0" w:firstLineChars="0"/>
              <w:rPr>
                <w:rFonts w:ascii="仿宋_GB2312" w:hAnsi="黑体"/>
                <w:sz w:val="30"/>
                <w:szCs w:val="30"/>
              </w:rPr>
            </w:pPr>
            <w:r>
              <w:rPr>
                <w:rFonts w:hint="eastAsia" w:ascii="仿宋_GB2312" w:hAnsi="黑体"/>
                <w:sz w:val="30"/>
                <w:szCs w:val="30"/>
              </w:rPr>
              <w:t>秦皇岛市海港区21所中学</w:t>
            </w:r>
          </w:p>
        </w:tc>
        <w:tc>
          <w:tcPr>
            <w:tcW w:w="1444" w:type="dxa"/>
            <w:vAlign w:val="center"/>
          </w:tcPr>
          <w:p>
            <w:pPr>
              <w:spacing w:before="100" w:beforeAutospacing="1" w:after="100" w:afterAutospacing="1" w:line="320" w:lineRule="exact"/>
              <w:ind w:firstLine="198" w:firstLineChars="66"/>
              <w:rPr>
                <w:rFonts w:ascii="仿宋_GB2312" w:hAnsi="黑体"/>
                <w:sz w:val="30"/>
                <w:szCs w:val="30"/>
              </w:rPr>
            </w:pPr>
            <w:r>
              <w:rPr>
                <w:rFonts w:hint="eastAsia" w:ascii="仿宋_GB2312" w:hAnsi="黑体"/>
                <w:sz w:val="30"/>
                <w:szCs w:val="30"/>
              </w:rPr>
              <w:t>事业</w:t>
            </w:r>
          </w:p>
        </w:tc>
        <w:tc>
          <w:tcPr>
            <w:tcW w:w="2209" w:type="dxa"/>
            <w:vAlign w:val="center"/>
          </w:tcPr>
          <w:p>
            <w:pPr>
              <w:spacing w:before="100" w:beforeAutospacing="1" w:after="100" w:afterAutospacing="1" w:line="320" w:lineRule="exact"/>
              <w:ind w:firstLine="600"/>
              <w:rPr>
                <w:rFonts w:ascii="仿宋_GB2312" w:hAnsi="黑体"/>
                <w:sz w:val="30"/>
                <w:szCs w:val="30"/>
              </w:rPr>
            </w:pPr>
            <w:r>
              <w:rPr>
                <w:rFonts w:hint="eastAsia" w:ascii="仿宋_GB2312" w:hAnsi="黑体"/>
                <w:sz w:val="30"/>
                <w:szCs w:val="30"/>
              </w:rPr>
              <w:t>正科级</w:t>
            </w:r>
          </w:p>
        </w:tc>
        <w:tc>
          <w:tcPr>
            <w:tcW w:w="2017" w:type="dxa"/>
            <w:vAlign w:val="center"/>
          </w:tcPr>
          <w:p>
            <w:pPr>
              <w:spacing w:before="100" w:beforeAutospacing="1" w:after="100" w:afterAutospacing="1" w:line="320" w:lineRule="exact"/>
              <w:ind w:firstLine="198" w:firstLineChars="66"/>
              <w:rPr>
                <w:rFonts w:ascii="仿宋_GB2312" w:hAnsi="黑体"/>
                <w:sz w:val="30"/>
                <w:szCs w:val="30"/>
              </w:rPr>
            </w:pPr>
            <w:r>
              <w:rPr>
                <w:rFonts w:hint="eastAsia" w:ascii="仿宋_GB2312" w:hAnsi="黑体"/>
                <w:sz w:val="30"/>
                <w:szCs w:val="3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972" w:type="dxa"/>
            <w:vAlign w:val="center"/>
          </w:tcPr>
          <w:p>
            <w:pPr>
              <w:spacing w:before="100" w:beforeAutospacing="1" w:after="100" w:afterAutospacing="1" w:line="320" w:lineRule="exact"/>
              <w:ind w:firstLine="0" w:firstLineChars="0"/>
              <w:rPr>
                <w:rFonts w:ascii="仿宋_GB2312" w:hAnsi="黑体"/>
                <w:sz w:val="30"/>
                <w:szCs w:val="30"/>
              </w:rPr>
            </w:pPr>
            <w:r>
              <w:rPr>
                <w:rFonts w:hint="eastAsia" w:ascii="仿宋_GB2312" w:hAnsi="黑体"/>
                <w:sz w:val="30"/>
                <w:szCs w:val="30"/>
              </w:rPr>
              <w:t>秦皇岛市海港区</w:t>
            </w:r>
            <w:r>
              <w:rPr>
                <w:rFonts w:ascii="仿宋_GB2312" w:hAnsi="黑体"/>
                <w:sz w:val="30"/>
                <w:szCs w:val="30"/>
              </w:rPr>
              <w:t>1</w:t>
            </w:r>
            <w:r>
              <w:rPr>
                <w:rFonts w:hint="eastAsia" w:ascii="仿宋_GB2312" w:hAnsi="黑体"/>
                <w:sz w:val="30"/>
                <w:szCs w:val="30"/>
              </w:rPr>
              <w:t>所九年一贯制学校</w:t>
            </w:r>
          </w:p>
        </w:tc>
        <w:tc>
          <w:tcPr>
            <w:tcW w:w="1444" w:type="dxa"/>
            <w:vAlign w:val="center"/>
          </w:tcPr>
          <w:p>
            <w:pPr>
              <w:spacing w:before="100" w:beforeAutospacing="1" w:after="100" w:afterAutospacing="1" w:line="320" w:lineRule="exact"/>
              <w:ind w:firstLine="198" w:firstLineChars="66"/>
              <w:rPr>
                <w:rFonts w:ascii="仿宋_GB2312" w:hAnsi="黑体"/>
                <w:sz w:val="30"/>
                <w:szCs w:val="30"/>
              </w:rPr>
            </w:pPr>
            <w:r>
              <w:rPr>
                <w:rFonts w:hint="eastAsia" w:ascii="仿宋_GB2312" w:hAnsi="黑体"/>
                <w:sz w:val="30"/>
                <w:szCs w:val="30"/>
              </w:rPr>
              <w:t>事业</w:t>
            </w:r>
          </w:p>
        </w:tc>
        <w:tc>
          <w:tcPr>
            <w:tcW w:w="2209" w:type="dxa"/>
            <w:vAlign w:val="center"/>
          </w:tcPr>
          <w:p>
            <w:pPr>
              <w:spacing w:before="100" w:beforeAutospacing="1" w:after="100" w:afterAutospacing="1" w:line="320" w:lineRule="exact"/>
              <w:ind w:firstLine="600"/>
              <w:rPr>
                <w:rFonts w:ascii="仿宋_GB2312" w:hAnsi="黑体"/>
                <w:sz w:val="30"/>
                <w:szCs w:val="30"/>
              </w:rPr>
            </w:pPr>
            <w:r>
              <w:rPr>
                <w:rFonts w:hint="eastAsia" w:ascii="仿宋_GB2312" w:hAnsi="黑体"/>
                <w:sz w:val="30"/>
                <w:szCs w:val="30"/>
              </w:rPr>
              <w:t>正科级</w:t>
            </w:r>
          </w:p>
        </w:tc>
        <w:tc>
          <w:tcPr>
            <w:tcW w:w="2017" w:type="dxa"/>
            <w:vAlign w:val="center"/>
          </w:tcPr>
          <w:p>
            <w:pPr>
              <w:spacing w:before="100" w:beforeAutospacing="1" w:after="100" w:afterAutospacing="1" w:line="320" w:lineRule="exact"/>
              <w:ind w:firstLine="198" w:firstLineChars="66"/>
              <w:rPr>
                <w:rFonts w:ascii="仿宋_GB2312" w:hAnsi="黑体"/>
                <w:sz w:val="30"/>
                <w:szCs w:val="30"/>
              </w:rPr>
            </w:pPr>
            <w:r>
              <w:rPr>
                <w:rFonts w:hint="eastAsia" w:ascii="仿宋_GB2312" w:hAnsi="黑体"/>
                <w:sz w:val="30"/>
                <w:szCs w:val="3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972" w:type="dxa"/>
            <w:vAlign w:val="center"/>
          </w:tcPr>
          <w:p>
            <w:pPr>
              <w:spacing w:before="100" w:beforeAutospacing="1" w:after="100" w:afterAutospacing="1" w:line="320" w:lineRule="exact"/>
              <w:ind w:firstLine="0" w:firstLineChars="0"/>
              <w:rPr>
                <w:rFonts w:ascii="仿宋_GB2312" w:hAnsi="黑体"/>
                <w:sz w:val="30"/>
                <w:szCs w:val="30"/>
              </w:rPr>
            </w:pPr>
            <w:r>
              <w:rPr>
                <w:rFonts w:hint="eastAsia" w:ascii="仿宋_GB2312" w:hAnsi="黑体"/>
                <w:sz w:val="30"/>
                <w:szCs w:val="30"/>
              </w:rPr>
              <w:t>秦皇岛市海港区6</w:t>
            </w:r>
            <w:r>
              <w:rPr>
                <w:rFonts w:ascii="仿宋_GB2312" w:hAnsi="黑体"/>
                <w:sz w:val="30"/>
                <w:szCs w:val="30"/>
              </w:rPr>
              <w:t>4</w:t>
            </w:r>
            <w:r>
              <w:rPr>
                <w:rFonts w:hint="eastAsia" w:ascii="仿宋_GB2312" w:hAnsi="黑体"/>
                <w:sz w:val="30"/>
                <w:szCs w:val="30"/>
              </w:rPr>
              <w:t>所小学</w:t>
            </w:r>
          </w:p>
        </w:tc>
        <w:tc>
          <w:tcPr>
            <w:tcW w:w="1444" w:type="dxa"/>
            <w:vAlign w:val="center"/>
          </w:tcPr>
          <w:p>
            <w:pPr>
              <w:spacing w:before="100" w:beforeAutospacing="1" w:after="100" w:afterAutospacing="1" w:line="320" w:lineRule="exact"/>
              <w:ind w:firstLine="198" w:firstLineChars="66"/>
              <w:rPr>
                <w:rFonts w:ascii="仿宋_GB2312" w:hAnsi="黑体"/>
                <w:sz w:val="30"/>
                <w:szCs w:val="30"/>
              </w:rPr>
            </w:pPr>
            <w:r>
              <w:rPr>
                <w:rFonts w:hint="eastAsia" w:ascii="仿宋_GB2312" w:hAnsi="黑体"/>
                <w:sz w:val="30"/>
                <w:szCs w:val="30"/>
              </w:rPr>
              <w:t>事业</w:t>
            </w:r>
          </w:p>
        </w:tc>
        <w:tc>
          <w:tcPr>
            <w:tcW w:w="2209" w:type="dxa"/>
            <w:vAlign w:val="center"/>
          </w:tcPr>
          <w:p>
            <w:pPr>
              <w:spacing w:before="100" w:beforeAutospacing="1" w:after="100" w:afterAutospacing="1" w:line="320" w:lineRule="exact"/>
              <w:ind w:firstLine="600"/>
              <w:rPr>
                <w:rFonts w:ascii="仿宋_GB2312" w:hAnsi="黑体"/>
                <w:sz w:val="30"/>
                <w:szCs w:val="30"/>
              </w:rPr>
            </w:pPr>
            <w:r>
              <w:rPr>
                <w:rFonts w:hint="eastAsia" w:ascii="仿宋_GB2312" w:hAnsi="黑体"/>
                <w:sz w:val="30"/>
                <w:szCs w:val="30"/>
              </w:rPr>
              <w:t>股级</w:t>
            </w:r>
          </w:p>
        </w:tc>
        <w:tc>
          <w:tcPr>
            <w:tcW w:w="2017" w:type="dxa"/>
            <w:vAlign w:val="center"/>
          </w:tcPr>
          <w:p>
            <w:pPr>
              <w:spacing w:before="100" w:beforeAutospacing="1" w:after="100" w:afterAutospacing="1" w:line="320" w:lineRule="exact"/>
              <w:ind w:firstLine="198" w:firstLineChars="66"/>
              <w:rPr>
                <w:rFonts w:ascii="仿宋_GB2312" w:hAnsi="黑体"/>
                <w:sz w:val="30"/>
                <w:szCs w:val="30"/>
              </w:rPr>
            </w:pPr>
            <w:r>
              <w:rPr>
                <w:rFonts w:hint="eastAsia" w:ascii="仿宋_GB2312" w:hAnsi="黑体"/>
                <w:sz w:val="30"/>
                <w:szCs w:val="3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972" w:type="dxa"/>
            <w:vAlign w:val="center"/>
          </w:tcPr>
          <w:p>
            <w:pPr>
              <w:spacing w:before="100" w:beforeAutospacing="1" w:after="100" w:afterAutospacing="1" w:line="320" w:lineRule="exact"/>
              <w:ind w:firstLine="0" w:firstLineChars="0"/>
              <w:rPr>
                <w:rFonts w:ascii="仿宋_GB2312" w:hAnsi="黑体"/>
                <w:sz w:val="30"/>
                <w:szCs w:val="30"/>
              </w:rPr>
            </w:pPr>
            <w:r>
              <w:rPr>
                <w:rFonts w:hint="eastAsia" w:ascii="仿宋_GB2312" w:hAnsi="黑体"/>
                <w:sz w:val="30"/>
                <w:szCs w:val="30"/>
              </w:rPr>
              <w:t>秦皇岛市海港区5所幼儿园</w:t>
            </w:r>
          </w:p>
        </w:tc>
        <w:tc>
          <w:tcPr>
            <w:tcW w:w="1444" w:type="dxa"/>
            <w:vAlign w:val="center"/>
          </w:tcPr>
          <w:p>
            <w:pPr>
              <w:spacing w:before="100" w:beforeAutospacing="1" w:after="100" w:afterAutospacing="1" w:line="320" w:lineRule="exact"/>
              <w:ind w:firstLine="198" w:firstLineChars="66"/>
              <w:rPr>
                <w:rFonts w:ascii="仿宋_GB2312" w:hAnsi="黑体"/>
                <w:sz w:val="30"/>
                <w:szCs w:val="30"/>
              </w:rPr>
            </w:pPr>
            <w:r>
              <w:rPr>
                <w:rFonts w:hint="eastAsia" w:ascii="仿宋_GB2312" w:hAnsi="黑体"/>
                <w:sz w:val="30"/>
                <w:szCs w:val="30"/>
              </w:rPr>
              <w:t>事业</w:t>
            </w:r>
          </w:p>
        </w:tc>
        <w:tc>
          <w:tcPr>
            <w:tcW w:w="2209" w:type="dxa"/>
            <w:vAlign w:val="center"/>
          </w:tcPr>
          <w:p>
            <w:pPr>
              <w:spacing w:before="100" w:beforeAutospacing="1" w:after="100" w:afterAutospacing="1" w:line="320" w:lineRule="exact"/>
              <w:ind w:firstLine="600"/>
              <w:rPr>
                <w:rFonts w:ascii="仿宋_GB2312" w:hAnsi="黑体"/>
                <w:sz w:val="30"/>
                <w:szCs w:val="30"/>
              </w:rPr>
            </w:pPr>
            <w:r>
              <w:rPr>
                <w:rFonts w:hint="eastAsia" w:ascii="仿宋_GB2312" w:hAnsi="黑体"/>
                <w:sz w:val="30"/>
                <w:szCs w:val="30"/>
              </w:rPr>
              <w:t>股级</w:t>
            </w:r>
          </w:p>
        </w:tc>
        <w:tc>
          <w:tcPr>
            <w:tcW w:w="2017" w:type="dxa"/>
            <w:vAlign w:val="center"/>
          </w:tcPr>
          <w:p>
            <w:pPr>
              <w:spacing w:before="100" w:beforeAutospacing="1" w:after="100" w:afterAutospacing="1" w:line="320" w:lineRule="exact"/>
              <w:ind w:firstLine="198" w:firstLineChars="66"/>
              <w:rPr>
                <w:rFonts w:ascii="仿宋_GB2312" w:hAnsi="黑体"/>
                <w:sz w:val="30"/>
                <w:szCs w:val="30"/>
              </w:rPr>
            </w:pPr>
            <w:r>
              <w:rPr>
                <w:rFonts w:hint="eastAsia" w:ascii="仿宋_GB2312" w:hAnsi="黑体"/>
                <w:sz w:val="30"/>
                <w:szCs w:val="3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972" w:type="dxa"/>
            <w:vAlign w:val="center"/>
          </w:tcPr>
          <w:p>
            <w:pPr>
              <w:spacing w:before="100" w:beforeAutospacing="1" w:after="100" w:afterAutospacing="1" w:line="320" w:lineRule="exact"/>
              <w:ind w:firstLine="0" w:firstLineChars="0"/>
              <w:rPr>
                <w:rFonts w:ascii="仿宋_GB2312" w:hAnsi="黑体"/>
                <w:sz w:val="30"/>
                <w:szCs w:val="30"/>
              </w:rPr>
            </w:pPr>
            <w:r>
              <w:rPr>
                <w:rFonts w:hint="eastAsia" w:ascii="仿宋_GB2312" w:hAnsi="黑体"/>
                <w:sz w:val="30"/>
                <w:szCs w:val="30"/>
              </w:rPr>
              <w:t>秦皇岛市海港区4个校外机构</w:t>
            </w:r>
          </w:p>
        </w:tc>
        <w:tc>
          <w:tcPr>
            <w:tcW w:w="1444" w:type="dxa"/>
            <w:vAlign w:val="center"/>
          </w:tcPr>
          <w:p>
            <w:pPr>
              <w:spacing w:before="100" w:beforeAutospacing="1" w:after="100" w:afterAutospacing="1" w:line="320" w:lineRule="exact"/>
              <w:ind w:firstLine="198" w:firstLineChars="66"/>
              <w:rPr>
                <w:rFonts w:ascii="仿宋_GB2312" w:hAnsi="黑体"/>
                <w:sz w:val="30"/>
                <w:szCs w:val="30"/>
              </w:rPr>
            </w:pPr>
            <w:r>
              <w:rPr>
                <w:rFonts w:hint="eastAsia" w:ascii="仿宋_GB2312" w:hAnsi="黑体"/>
                <w:sz w:val="30"/>
                <w:szCs w:val="30"/>
              </w:rPr>
              <w:t>事业</w:t>
            </w:r>
          </w:p>
        </w:tc>
        <w:tc>
          <w:tcPr>
            <w:tcW w:w="2209" w:type="dxa"/>
            <w:vAlign w:val="center"/>
          </w:tcPr>
          <w:p>
            <w:pPr>
              <w:spacing w:before="100" w:beforeAutospacing="1" w:after="100" w:afterAutospacing="1" w:line="320" w:lineRule="exact"/>
              <w:ind w:firstLine="600"/>
              <w:rPr>
                <w:rFonts w:ascii="仿宋_GB2312" w:hAnsi="黑体"/>
                <w:sz w:val="30"/>
                <w:szCs w:val="30"/>
              </w:rPr>
            </w:pPr>
            <w:r>
              <w:rPr>
                <w:rFonts w:hint="eastAsia" w:ascii="仿宋_GB2312" w:hAnsi="黑体"/>
                <w:sz w:val="30"/>
                <w:szCs w:val="30"/>
              </w:rPr>
              <w:t>正科级</w:t>
            </w:r>
          </w:p>
        </w:tc>
        <w:tc>
          <w:tcPr>
            <w:tcW w:w="2017" w:type="dxa"/>
            <w:vAlign w:val="center"/>
          </w:tcPr>
          <w:p>
            <w:pPr>
              <w:spacing w:before="100" w:beforeAutospacing="1" w:after="100" w:afterAutospacing="1" w:line="320" w:lineRule="exact"/>
              <w:ind w:firstLine="198" w:firstLineChars="66"/>
              <w:rPr>
                <w:rFonts w:ascii="仿宋_GB2312" w:hAnsi="黑体"/>
                <w:sz w:val="30"/>
                <w:szCs w:val="30"/>
              </w:rPr>
            </w:pPr>
            <w:r>
              <w:rPr>
                <w:rFonts w:hint="eastAsia" w:ascii="仿宋_GB2312" w:hAnsi="黑体"/>
                <w:sz w:val="30"/>
                <w:szCs w:val="30"/>
              </w:rPr>
              <w:t>财政拨款</w:t>
            </w:r>
          </w:p>
        </w:tc>
      </w:tr>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教育部门201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教育部门201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2017年度决算收入合计</w:t>
      </w:r>
      <w:r>
        <w:rPr>
          <w:rFonts w:ascii="仿宋_GB2312"/>
          <w:szCs w:val="32"/>
        </w:rPr>
        <w:t>116266.00</w:t>
      </w:r>
      <w:r>
        <w:rPr>
          <w:rFonts w:hint="eastAsia" w:ascii="仿宋_GB2312"/>
          <w:szCs w:val="32"/>
        </w:rPr>
        <w:t>万元，决算支出合计</w:t>
      </w:r>
      <w:r>
        <w:rPr>
          <w:rFonts w:ascii="仿宋_GB2312"/>
          <w:szCs w:val="32"/>
        </w:rPr>
        <w:t>115027.36</w:t>
      </w:r>
      <w:r>
        <w:rPr>
          <w:rFonts w:hint="eastAsia" w:ascii="仿宋_GB2312"/>
          <w:szCs w:val="32"/>
        </w:rPr>
        <w:t>万元，</w:t>
      </w:r>
      <w:bookmarkStart w:id="13" w:name="OLE_LINK37"/>
      <w:r>
        <w:rPr>
          <w:rFonts w:hint="eastAsia" w:ascii="仿宋_GB2312"/>
          <w:szCs w:val="32"/>
        </w:rPr>
        <w:t>年初结转和结余</w:t>
      </w:r>
      <w:r>
        <w:rPr>
          <w:rFonts w:ascii="仿宋_GB2312"/>
          <w:szCs w:val="32"/>
        </w:rPr>
        <w:t>5694.66</w:t>
      </w:r>
      <w:r>
        <w:rPr>
          <w:rFonts w:hint="eastAsia" w:ascii="仿宋_GB2312"/>
          <w:szCs w:val="32"/>
        </w:rPr>
        <w:t>万元，年末结转和结余</w:t>
      </w:r>
      <w:r>
        <w:rPr>
          <w:rFonts w:ascii="仿宋_GB2312"/>
          <w:szCs w:val="32"/>
        </w:rPr>
        <w:t>6933.31</w:t>
      </w:r>
      <w:r>
        <w:rPr>
          <w:rFonts w:hint="eastAsia" w:ascii="仿宋_GB2312"/>
          <w:szCs w:val="32"/>
        </w:rPr>
        <w:t>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w:t>
      </w:r>
      <w:r>
        <w:rPr>
          <w:rFonts w:ascii="仿宋_GB2312"/>
          <w:szCs w:val="32"/>
        </w:rPr>
        <w:t>30664.95</w:t>
      </w:r>
      <w:r>
        <w:rPr>
          <w:rFonts w:hint="eastAsia" w:ascii="仿宋_GB2312"/>
          <w:szCs w:val="32"/>
        </w:rPr>
        <w:t>万元，原因是：增加归提寨</w:t>
      </w:r>
      <w:r>
        <w:rPr>
          <w:rFonts w:ascii="仿宋_GB2312"/>
          <w:szCs w:val="32"/>
        </w:rPr>
        <w:t>小学、第十四中学、玉龙湾学校</w:t>
      </w:r>
      <w:r>
        <w:rPr>
          <w:rFonts w:hint="eastAsia" w:ascii="仿宋_GB2312"/>
          <w:szCs w:val="32"/>
        </w:rPr>
        <w:t>新</w:t>
      </w:r>
      <w:r>
        <w:rPr>
          <w:rFonts w:ascii="仿宋_GB2312"/>
          <w:szCs w:val="32"/>
        </w:rPr>
        <w:t>建</w:t>
      </w:r>
      <w:r>
        <w:rPr>
          <w:rFonts w:hint="eastAsia" w:ascii="仿宋_GB2312"/>
          <w:szCs w:val="32"/>
        </w:rPr>
        <w:t>校</w:t>
      </w:r>
      <w:r>
        <w:rPr>
          <w:rFonts w:ascii="仿宋_GB2312"/>
          <w:szCs w:val="32"/>
        </w:rPr>
        <w:t>项目</w:t>
      </w:r>
      <w:r>
        <w:rPr>
          <w:rFonts w:hint="eastAsia" w:ascii="仿宋_GB2312"/>
          <w:szCs w:val="32"/>
        </w:rPr>
        <w:t>资金等；与2</w:t>
      </w:r>
      <w:r>
        <w:rPr>
          <w:rFonts w:ascii="仿宋_GB2312"/>
          <w:szCs w:val="32"/>
        </w:rPr>
        <w:t>016</w:t>
      </w:r>
      <w:r>
        <w:rPr>
          <w:rFonts w:hint="eastAsia" w:ascii="仿宋_GB2312"/>
          <w:szCs w:val="32"/>
        </w:rPr>
        <w:t>年度收入相比，增加</w:t>
      </w:r>
      <w:r>
        <w:rPr>
          <w:rFonts w:ascii="仿宋_GB2312"/>
          <w:szCs w:val="32"/>
        </w:rPr>
        <w:t>10467.70</w:t>
      </w:r>
      <w:r>
        <w:rPr>
          <w:rFonts w:hint="eastAsia" w:ascii="仿宋_GB2312"/>
          <w:szCs w:val="32"/>
        </w:rPr>
        <w:t>万元，原因是：增加归提寨</w:t>
      </w:r>
      <w:r>
        <w:rPr>
          <w:rFonts w:ascii="仿宋_GB2312"/>
          <w:szCs w:val="32"/>
        </w:rPr>
        <w:t>小学、第十四中学、玉龙湾学校</w:t>
      </w:r>
      <w:r>
        <w:rPr>
          <w:rFonts w:hint="eastAsia" w:ascii="仿宋_GB2312"/>
          <w:szCs w:val="32"/>
        </w:rPr>
        <w:t>新</w:t>
      </w:r>
      <w:r>
        <w:rPr>
          <w:rFonts w:ascii="仿宋_GB2312"/>
          <w:szCs w:val="32"/>
        </w:rPr>
        <w:t>建</w:t>
      </w:r>
      <w:r>
        <w:rPr>
          <w:rFonts w:hint="eastAsia" w:ascii="仿宋_GB2312"/>
          <w:szCs w:val="32"/>
        </w:rPr>
        <w:t>校</w:t>
      </w:r>
      <w:r>
        <w:rPr>
          <w:rFonts w:ascii="仿宋_GB2312"/>
          <w:szCs w:val="32"/>
        </w:rPr>
        <w:t>项目</w:t>
      </w:r>
      <w:r>
        <w:rPr>
          <w:rFonts w:hint="eastAsia" w:ascii="仿宋_GB2312"/>
          <w:szCs w:val="32"/>
        </w:rPr>
        <w:t>资金。</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w:t>
      </w:r>
      <w:r>
        <w:rPr>
          <w:rFonts w:ascii="仿宋_GB2312"/>
          <w:szCs w:val="32"/>
        </w:rPr>
        <w:t>29426.31</w:t>
      </w:r>
      <w:r>
        <w:rPr>
          <w:rFonts w:hint="eastAsia" w:ascii="仿宋_GB2312"/>
          <w:szCs w:val="32"/>
        </w:rPr>
        <w:t>万元，原因是：增加归提寨</w:t>
      </w:r>
      <w:r>
        <w:rPr>
          <w:rFonts w:ascii="仿宋_GB2312"/>
          <w:szCs w:val="32"/>
        </w:rPr>
        <w:t>小学、第十四中学、玉龙湾学校</w:t>
      </w:r>
      <w:r>
        <w:rPr>
          <w:rFonts w:hint="eastAsia" w:ascii="仿宋_GB2312"/>
          <w:szCs w:val="32"/>
        </w:rPr>
        <w:t>新</w:t>
      </w:r>
      <w:r>
        <w:rPr>
          <w:rFonts w:ascii="仿宋_GB2312"/>
          <w:szCs w:val="32"/>
        </w:rPr>
        <w:t>建</w:t>
      </w:r>
      <w:r>
        <w:rPr>
          <w:rFonts w:hint="eastAsia" w:ascii="仿宋_GB2312"/>
          <w:szCs w:val="32"/>
        </w:rPr>
        <w:t>校</w:t>
      </w:r>
      <w:r>
        <w:rPr>
          <w:rFonts w:ascii="仿宋_GB2312"/>
          <w:szCs w:val="32"/>
        </w:rPr>
        <w:t>项目</w:t>
      </w:r>
      <w:r>
        <w:rPr>
          <w:rFonts w:hint="eastAsia" w:ascii="仿宋_GB2312"/>
          <w:szCs w:val="32"/>
        </w:rPr>
        <w:t>资金支出；与2</w:t>
      </w:r>
      <w:r>
        <w:rPr>
          <w:rFonts w:ascii="仿宋_GB2312"/>
          <w:szCs w:val="32"/>
        </w:rPr>
        <w:t>016</w:t>
      </w:r>
      <w:r>
        <w:rPr>
          <w:rFonts w:hint="eastAsia" w:ascii="仿宋_GB2312"/>
          <w:szCs w:val="32"/>
        </w:rPr>
        <w:t>年度支出相比，增加12979.07万元，原因是：归提寨</w:t>
      </w:r>
      <w:r>
        <w:rPr>
          <w:rFonts w:ascii="仿宋_GB2312"/>
          <w:szCs w:val="32"/>
        </w:rPr>
        <w:t>小学、第十四中学、玉龙湾学校</w:t>
      </w:r>
      <w:r>
        <w:rPr>
          <w:rFonts w:hint="eastAsia" w:ascii="仿宋_GB2312"/>
          <w:szCs w:val="32"/>
        </w:rPr>
        <w:t>新</w:t>
      </w:r>
      <w:r>
        <w:rPr>
          <w:rFonts w:ascii="仿宋_GB2312"/>
          <w:szCs w:val="32"/>
        </w:rPr>
        <w:t>建</w:t>
      </w:r>
      <w:r>
        <w:rPr>
          <w:rFonts w:hint="eastAsia" w:ascii="仿宋_GB2312"/>
          <w:szCs w:val="32"/>
        </w:rPr>
        <w:t>校</w:t>
      </w:r>
      <w:r>
        <w:rPr>
          <w:rFonts w:ascii="仿宋_GB2312"/>
          <w:szCs w:val="32"/>
        </w:rPr>
        <w:t>项目</w:t>
      </w:r>
      <w:r>
        <w:rPr>
          <w:rFonts w:hint="eastAsia" w:ascii="仿宋_GB2312"/>
          <w:szCs w:val="32"/>
        </w:rPr>
        <w:t>资金支出。</w:t>
      </w:r>
    </w:p>
    <w:bookmarkEnd w:id="10"/>
    <w:bookmarkEnd w:id="11"/>
    <w:bookmarkEnd w:id="12"/>
    <w:p>
      <w:pPr>
        <w:ind w:firstLine="643"/>
        <w:rPr>
          <w:rFonts w:ascii="楷体" w:hAnsi="楷体" w:eastAsia="楷体"/>
          <w:b/>
          <w:szCs w:val="32"/>
        </w:rPr>
      </w:pPr>
      <w:bookmarkStart w:id="14" w:name="OLE_LINK3"/>
      <w:bookmarkStart w:id="15" w:name="OLE_LINK4"/>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 xml:space="preserve">年度收入合计 </w:t>
      </w:r>
      <w:r>
        <w:rPr>
          <w:rFonts w:ascii="仿宋_GB2312"/>
          <w:szCs w:val="32"/>
        </w:rPr>
        <w:t>116266.00</w:t>
      </w:r>
      <w:r>
        <w:rPr>
          <w:rFonts w:hint="eastAsia" w:ascii="仿宋" w:hAnsi="仿宋" w:eastAsia="仿宋"/>
          <w:szCs w:val="32"/>
        </w:rPr>
        <w:t>万元，其中：财政拨款收入</w:t>
      </w:r>
      <w:r>
        <w:rPr>
          <w:rFonts w:ascii="仿宋_GB2312"/>
          <w:szCs w:val="32"/>
        </w:rPr>
        <w:t>116266.00</w:t>
      </w:r>
      <w:r>
        <w:rPr>
          <w:rFonts w:hint="eastAsia" w:ascii="仿宋" w:hAnsi="仿宋" w:eastAsia="仿宋"/>
          <w:szCs w:val="32"/>
        </w:rPr>
        <w:t>万元，占总收入</w:t>
      </w:r>
      <w:r>
        <w:rPr>
          <w:rFonts w:ascii="仿宋" w:hAnsi="仿宋" w:eastAsia="仿宋"/>
          <w:szCs w:val="32"/>
        </w:rPr>
        <w:t>100%</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w:t>
      </w:r>
      <w:bookmarkEnd w:id="16"/>
      <w:bookmarkEnd w:id="17"/>
      <w:r>
        <w:rPr>
          <w:rFonts w:hint="eastAsia" w:ascii="仿宋" w:hAnsi="仿宋" w:eastAsia="仿宋"/>
          <w:szCs w:val="32"/>
        </w:rPr>
        <w:t>；上级补助收入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%；经营收入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%；其它收入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ascii="仿宋_GB2312"/>
          <w:szCs w:val="32"/>
        </w:rPr>
        <w:t>115027.36</w:t>
      </w:r>
      <w:r>
        <w:rPr>
          <w:rFonts w:hint="eastAsia" w:ascii="仿宋" w:hAnsi="仿宋" w:eastAsia="仿宋"/>
          <w:szCs w:val="32"/>
        </w:rPr>
        <w:t>万元，其中：</w:t>
      </w:r>
      <w:bookmarkStart w:id="18" w:name="OLE_LINK35"/>
      <w:r>
        <w:rPr>
          <w:rFonts w:hint="eastAsia" w:ascii="仿宋" w:hAnsi="仿宋" w:eastAsia="仿宋"/>
          <w:szCs w:val="32"/>
        </w:rPr>
        <w:t xml:space="preserve">基本支出 </w:t>
      </w:r>
      <w:r>
        <w:rPr>
          <w:rFonts w:ascii="仿宋_GB2312"/>
          <w:szCs w:val="32"/>
        </w:rPr>
        <w:t>93843.89</w:t>
      </w:r>
      <w:r>
        <w:rPr>
          <w:rFonts w:hint="eastAsia" w:ascii="仿宋" w:hAnsi="仿宋" w:eastAsia="仿宋"/>
          <w:szCs w:val="32"/>
        </w:rPr>
        <w:t>万元，占总支出</w:t>
      </w:r>
      <w:r>
        <w:rPr>
          <w:rFonts w:ascii="仿宋_GB2312"/>
          <w:szCs w:val="32"/>
        </w:rPr>
        <w:t>81.58</w:t>
      </w:r>
      <w:r>
        <w:rPr>
          <w:rFonts w:hint="eastAsia" w:ascii="仿宋" w:hAnsi="仿宋" w:eastAsia="仿宋"/>
          <w:szCs w:val="32"/>
        </w:rPr>
        <w:t>%；</w:t>
      </w:r>
      <w:bookmarkEnd w:id="18"/>
      <w:r>
        <w:rPr>
          <w:rFonts w:hint="eastAsia" w:ascii="仿宋" w:hAnsi="仿宋" w:eastAsia="仿宋"/>
          <w:szCs w:val="32"/>
        </w:rPr>
        <w:t>项目支出</w:t>
      </w:r>
      <w:r>
        <w:rPr>
          <w:rFonts w:ascii="仿宋_GB2312"/>
          <w:szCs w:val="32"/>
        </w:rPr>
        <w:t>21183.46</w:t>
      </w:r>
      <w:r>
        <w:rPr>
          <w:rFonts w:hint="eastAsia" w:ascii="仿宋" w:hAnsi="仿宋" w:eastAsia="仿宋"/>
          <w:szCs w:val="32"/>
        </w:rPr>
        <w:t>万元，占总支出</w:t>
      </w:r>
      <w:r>
        <w:rPr>
          <w:rFonts w:ascii="仿宋_GB2312"/>
          <w:szCs w:val="32"/>
        </w:rPr>
        <w:t>18.42</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2017年度财政拨款收入决算合计</w:t>
      </w:r>
      <w:r>
        <w:rPr>
          <w:rFonts w:ascii="仿宋_GB2312"/>
          <w:szCs w:val="32"/>
        </w:rPr>
        <w:t>116266.00</w:t>
      </w:r>
      <w:r>
        <w:rPr>
          <w:rFonts w:hint="eastAsia" w:ascii="仿宋_GB2312"/>
          <w:szCs w:val="32"/>
        </w:rPr>
        <w:t>万元，财政拨款支出决算合计</w:t>
      </w:r>
      <w:r>
        <w:rPr>
          <w:rFonts w:ascii="仿宋_GB2312"/>
          <w:szCs w:val="32"/>
        </w:rPr>
        <w:t>115027.36</w:t>
      </w:r>
      <w:r>
        <w:rPr>
          <w:rFonts w:hint="eastAsia" w:ascii="仿宋_GB2312"/>
          <w:szCs w:val="32"/>
        </w:rPr>
        <w:t>万元，年初结转和结余</w:t>
      </w:r>
      <w:r>
        <w:rPr>
          <w:rFonts w:ascii="仿宋_GB2312"/>
          <w:szCs w:val="32"/>
        </w:rPr>
        <w:t>5694.66</w:t>
      </w:r>
      <w:r>
        <w:rPr>
          <w:rFonts w:hint="eastAsia" w:ascii="仿宋_GB2312"/>
          <w:szCs w:val="32"/>
        </w:rPr>
        <w:t>万元，年末结转和结余</w:t>
      </w:r>
      <w:r>
        <w:rPr>
          <w:rFonts w:ascii="仿宋_GB2312"/>
          <w:szCs w:val="32"/>
        </w:rPr>
        <w:t>6933.31</w:t>
      </w:r>
      <w:r>
        <w:rPr>
          <w:rFonts w:hint="eastAsia" w:ascii="仿宋_GB2312"/>
          <w:szCs w:val="32"/>
        </w:rPr>
        <w:t>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w:t>
      </w:r>
      <w:r>
        <w:rPr>
          <w:rFonts w:ascii="仿宋_GB2312"/>
          <w:szCs w:val="32"/>
        </w:rPr>
        <w:t>30664.95</w:t>
      </w:r>
      <w:r>
        <w:rPr>
          <w:rFonts w:hint="eastAsia" w:ascii="仿宋_GB2312"/>
          <w:szCs w:val="32"/>
        </w:rPr>
        <w:t>万元，原因是：增加归提寨</w:t>
      </w:r>
      <w:r>
        <w:rPr>
          <w:rFonts w:ascii="仿宋_GB2312"/>
          <w:szCs w:val="32"/>
        </w:rPr>
        <w:t>小学、第十四中学、玉龙湾学校</w:t>
      </w:r>
      <w:r>
        <w:rPr>
          <w:rFonts w:hint="eastAsia" w:ascii="仿宋_GB2312"/>
          <w:szCs w:val="32"/>
        </w:rPr>
        <w:t>新</w:t>
      </w:r>
      <w:r>
        <w:rPr>
          <w:rFonts w:ascii="仿宋_GB2312"/>
          <w:szCs w:val="32"/>
        </w:rPr>
        <w:t>建</w:t>
      </w:r>
      <w:r>
        <w:rPr>
          <w:rFonts w:hint="eastAsia" w:ascii="仿宋_GB2312"/>
          <w:szCs w:val="32"/>
        </w:rPr>
        <w:t>校</w:t>
      </w:r>
      <w:r>
        <w:rPr>
          <w:rFonts w:ascii="仿宋_GB2312"/>
          <w:szCs w:val="32"/>
        </w:rPr>
        <w:t>项目</w:t>
      </w:r>
      <w:r>
        <w:rPr>
          <w:rFonts w:hint="eastAsia" w:ascii="仿宋_GB2312"/>
          <w:szCs w:val="32"/>
        </w:rPr>
        <w:t>资金等；与2</w:t>
      </w:r>
      <w:r>
        <w:rPr>
          <w:rFonts w:ascii="仿宋_GB2312"/>
          <w:szCs w:val="32"/>
        </w:rPr>
        <w:t>016</w:t>
      </w:r>
      <w:r>
        <w:rPr>
          <w:rFonts w:hint="eastAsia" w:ascii="仿宋_GB2312"/>
          <w:szCs w:val="32"/>
        </w:rPr>
        <w:t>年度相比，增加</w:t>
      </w:r>
      <w:r>
        <w:rPr>
          <w:rFonts w:ascii="仿宋_GB2312"/>
          <w:szCs w:val="32"/>
        </w:rPr>
        <w:t>10467.70</w:t>
      </w:r>
      <w:r>
        <w:rPr>
          <w:rFonts w:hint="eastAsia" w:ascii="仿宋_GB2312"/>
          <w:szCs w:val="32"/>
        </w:rPr>
        <w:t>万元，原因是：增加归提寨</w:t>
      </w:r>
      <w:r>
        <w:rPr>
          <w:rFonts w:ascii="仿宋_GB2312"/>
          <w:szCs w:val="32"/>
        </w:rPr>
        <w:t>小学、第十四中学、玉龙湾学校</w:t>
      </w:r>
      <w:r>
        <w:rPr>
          <w:rFonts w:hint="eastAsia" w:ascii="仿宋_GB2312"/>
          <w:szCs w:val="32"/>
        </w:rPr>
        <w:t>新</w:t>
      </w:r>
      <w:r>
        <w:rPr>
          <w:rFonts w:ascii="仿宋_GB2312"/>
          <w:szCs w:val="32"/>
        </w:rPr>
        <w:t>建</w:t>
      </w:r>
      <w:r>
        <w:rPr>
          <w:rFonts w:hint="eastAsia" w:ascii="仿宋_GB2312"/>
          <w:szCs w:val="32"/>
        </w:rPr>
        <w:t>校</w:t>
      </w:r>
      <w:r>
        <w:rPr>
          <w:rFonts w:ascii="仿宋_GB2312"/>
          <w:szCs w:val="32"/>
        </w:rPr>
        <w:t>项目</w:t>
      </w:r>
      <w:r>
        <w:rPr>
          <w:rFonts w:hint="eastAsia" w:ascii="仿宋_GB2312"/>
          <w:szCs w:val="32"/>
        </w:rPr>
        <w:t>资金。</w:t>
      </w:r>
      <w:bookmarkEnd w:id="19"/>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w:t>
      </w:r>
      <w:r>
        <w:rPr>
          <w:rFonts w:ascii="仿宋_GB2312"/>
          <w:szCs w:val="32"/>
        </w:rPr>
        <w:t>29426.31</w:t>
      </w:r>
      <w:r>
        <w:rPr>
          <w:rFonts w:hint="eastAsia" w:ascii="仿宋_GB2312"/>
          <w:szCs w:val="32"/>
        </w:rPr>
        <w:t>万元，原因是：归提寨</w:t>
      </w:r>
      <w:r>
        <w:rPr>
          <w:rFonts w:ascii="仿宋_GB2312"/>
          <w:szCs w:val="32"/>
        </w:rPr>
        <w:t>小学、第十四中学、玉龙湾学校</w:t>
      </w:r>
      <w:r>
        <w:rPr>
          <w:rFonts w:hint="eastAsia" w:ascii="仿宋_GB2312"/>
          <w:szCs w:val="32"/>
        </w:rPr>
        <w:t>新</w:t>
      </w:r>
      <w:r>
        <w:rPr>
          <w:rFonts w:ascii="仿宋_GB2312"/>
          <w:szCs w:val="32"/>
        </w:rPr>
        <w:t>建</w:t>
      </w:r>
      <w:r>
        <w:rPr>
          <w:rFonts w:hint="eastAsia" w:ascii="仿宋_GB2312"/>
          <w:szCs w:val="32"/>
        </w:rPr>
        <w:t>校</w:t>
      </w:r>
      <w:r>
        <w:rPr>
          <w:rFonts w:ascii="仿宋_GB2312"/>
          <w:szCs w:val="32"/>
        </w:rPr>
        <w:t>项目</w:t>
      </w:r>
      <w:r>
        <w:rPr>
          <w:rFonts w:hint="eastAsia" w:ascii="仿宋_GB2312"/>
          <w:szCs w:val="32"/>
        </w:rPr>
        <w:t>支出；与2</w:t>
      </w:r>
      <w:r>
        <w:rPr>
          <w:rFonts w:ascii="仿宋_GB2312"/>
          <w:szCs w:val="32"/>
        </w:rPr>
        <w:t>016</w:t>
      </w:r>
      <w:r>
        <w:rPr>
          <w:rFonts w:hint="eastAsia" w:ascii="仿宋_GB2312"/>
          <w:szCs w:val="32"/>
        </w:rPr>
        <w:t>年度支出相比，增加12979.07万元，原因是：归提寨</w:t>
      </w:r>
      <w:r>
        <w:rPr>
          <w:rFonts w:ascii="仿宋_GB2312"/>
          <w:szCs w:val="32"/>
        </w:rPr>
        <w:t>小学、第十四中学、玉龙湾学校</w:t>
      </w:r>
      <w:r>
        <w:rPr>
          <w:rFonts w:hint="eastAsia" w:ascii="仿宋_GB2312"/>
          <w:szCs w:val="32"/>
        </w:rPr>
        <w:t>新</w:t>
      </w:r>
      <w:r>
        <w:rPr>
          <w:rFonts w:ascii="仿宋_GB2312"/>
          <w:szCs w:val="32"/>
        </w:rPr>
        <w:t>建</w:t>
      </w:r>
      <w:r>
        <w:rPr>
          <w:rFonts w:hint="eastAsia" w:ascii="仿宋_GB2312"/>
          <w:szCs w:val="32"/>
        </w:rPr>
        <w:t>校</w:t>
      </w:r>
      <w:r>
        <w:rPr>
          <w:rFonts w:ascii="仿宋_GB2312"/>
          <w:szCs w:val="32"/>
        </w:rPr>
        <w:t>项目</w:t>
      </w:r>
      <w:r>
        <w:rPr>
          <w:rFonts w:hint="eastAsia" w:ascii="仿宋_GB2312"/>
          <w:szCs w:val="32"/>
        </w:rPr>
        <w:t>支出。</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6"/>
        <w:tblpPr w:leftFromText="180" w:rightFromText="180" w:vertAnchor="text" w:horzAnchor="margin" w:tblpY="97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ascii="仿宋_GB2312"/>
                <w:sz w:val="24"/>
                <w:szCs w:val="24"/>
              </w:rPr>
              <w:t>7.55</w:t>
            </w:r>
          </w:p>
        </w:tc>
        <w:tc>
          <w:tcPr>
            <w:tcW w:w="1446" w:type="dxa"/>
          </w:tcPr>
          <w:p>
            <w:pPr>
              <w:ind w:firstLine="0" w:firstLineChars="0"/>
              <w:jc w:val="center"/>
              <w:rPr>
                <w:rFonts w:ascii="仿宋_GB2312"/>
                <w:sz w:val="24"/>
                <w:szCs w:val="24"/>
              </w:rPr>
            </w:pPr>
            <w:r>
              <w:rPr>
                <w:rFonts w:ascii="仿宋_GB2312"/>
                <w:sz w:val="24"/>
                <w:szCs w:val="24"/>
              </w:rPr>
              <w:t>58.84</w:t>
            </w:r>
          </w:p>
        </w:tc>
        <w:tc>
          <w:tcPr>
            <w:tcW w:w="1446" w:type="dxa"/>
          </w:tcPr>
          <w:p>
            <w:pPr>
              <w:ind w:firstLine="0" w:firstLineChars="0"/>
              <w:jc w:val="center"/>
              <w:rPr>
                <w:rFonts w:ascii="仿宋_GB2312"/>
                <w:sz w:val="24"/>
                <w:szCs w:val="24"/>
              </w:rPr>
            </w:pPr>
            <w:r>
              <w:rPr>
                <w:rFonts w:ascii="仿宋_GB2312"/>
                <w:sz w:val="24"/>
                <w:szCs w:val="24"/>
              </w:rPr>
              <w:t>13.02</w:t>
            </w:r>
          </w:p>
        </w:tc>
        <w:tc>
          <w:tcPr>
            <w:tcW w:w="1474" w:type="dxa"/>
          </w:tcPr>
          <w:p>
            <w:pPr>
              <w:ind w:firstLine="0" w:firstLineChars="0"/>
              <w:jc w:val="center"/>
              <w:rPr>
                <w:rFonts w:ascii="仿宋_GB2312"/>
                <w:sz w:val="24"/>
                <w:szCs w:val="24"/>
              </w:rPr>
            </w:pPr>
            <w:r>
              <w:rPr>
                <w:rFonts w:ascii="仿宋_GB2312"/>
                <w:sz w:val="24"/>
                <w:szCs w:val="24"/>
              </w:rPr>
              <w:t>-51.29</w:t>
            </w:r>
          </w:p>
        </w:tc>
        <w:tc>
          <w:tcPr>
            <w:tcW w:w="1417" w:type="dxa"/>
          </w:tcPr>
          <w:p>
            <w:pPr>
              <w:ind w:firstLine="0" w:firstLineChars="0"/>
              <w:jc w:val="center"/>
              <w:rPr>
                <w:rFonts w:ascii="仿宋_GB2312"/>
                <w:sz w:val="24"/>
                <w:szCs w:val="24"/>
              </w:rPr>
            </w:pPr>
            <w:r>
              <w:rPr>
                <w:rFonts w:ascii="仿宋_GB2312"/>
                <w:sz w:val="24"/>
                <w:szCs w:val="24"/>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ascii="仿宋_GB2312"/>
                <w:sz w:val="24"/>
                <w:szCs w:val="24"/>
              </w:rPr>
              <w:t>7.55</w:t>
            </w:r>
          </w:p>
        </w:tc>
        <w:tc>
          <w:tcPr>
            <w:tcW w:w="1446" w:type="dxa"/>
          </w:tcPr>
          <w:p>
            <w:pPr>
              <w:ind w:firstLine="0" w:firstLineChars="0"/>
              <w:jc w:val="center"/>
              <w:rPr>
                <w:rFonts w:ascii="仿宋_GB2312"/>
                <w:sz w:val="24"/>
                <w:szCs w:val="24"/>
              </w:rPr>
            </w:pPr>
            <w:r>
              <w:rPr>
                <w:rFonts w:ascii="仿宋_GB2312"/>
                <w:sz w:val="24"/>
                <w:szCs w:val="24"/>
              </w:rPr>
              <w:t>1.92</w:t>
            </w:r>
          </w:p>
        </w:tc>
        <w:tc>
          <w:tcPr>
            <w:tcW w:w="1446" w:type="dxa"/>
          </w:tcPr>
          <w:p>
            <w:pPr>
              <w:ind w:firstLine="0" w:firstLineChars="0"/>
              <w:jc w:val="center"/>
              <w:rPr>
                <w:rFonts w:ascii="仿宋_GB2312"/>
                <w:sz w:val="24"/>
                <w:szCs w:val="24"/>
              </w:rPr>
            </w:pPr>
            <w:r>
              <w:rPr>
                <w:rFonts w:ascii="仿宋_GB2312"/>
                <w:sz w:val="24"/>
                <w:szCs w:val="24"/>
              </w:rPr>
              <w:t>13.02</w:t>
            </w:r>
          </w:p>
        </w:tc>
        <w:tc>
          <w:tcPr>
            <w:tcW w:w="1474" w:type="dxa"/>
          </w:tcPr>
          <w:p>
            <w:pPr>
              <w:ind w:firstLine="0" w:firstLineChars="0"/>
              <w:jc w:val="center"/>
              <w:rPr>
                <w:rFonts w:ascii="仿宋_GB2312"/>
                <w:sz w:val="24"/>
                <w:szCs w:val="24"/>
              </w:rPr>
            </w:pPr>
            <w:r>
              <w:rPr>
                <w:rFonts w:hint="eastAsia" w:ascii="仿宋_GB2312"/>
                <w:sz w:val="24"/>
                <w:szCs w:val="24"/>
              </w:rPr>
              <w:t>5.63</w:t>
            </w:r>
          </w:p>
        </w:tc>
        <w:tc>
          <w:tcPr>
            <w:tcW w:w="1417" w:type="dxa"/>
          </w:tcPr>
          <w:p>
            <w:pPr>
              <w:ind w:firstLine="0" w:firstLineChars="0"/>
              <w:jc w:val="center"/>
              <w:rPr>
                <w:rFonts w:ascii="仿宋_GB2312"/>
                <w:sz w:val="24"/>
                <w:szCs w:val="24"/>
              </w:rPr>
            </w:pPr>
            <w:r>
              <w:rPr>
                <w:rFonts w:ascii="仿宋_GB2312"/>
                <w:sz w:val="24"/>
                <w:szCs w:val="24"/>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bookmarkStart w:id="20"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ascii="仿宋_GB2312"/>
                <w:sz w:val="24"/>
                <w:szCs w:val="24"/>
              </w:rPr>
              <w:t>7.55</w:t>
            </w:r>
          </w:p>
        </w:tc>
        <w:tc>
          <w:tcPr>
            <w:tcW w:w="1446" w:type="dxa"/>
          </w:tcPr>
          <w:p>
            <w:pPr>
              <w:ind w:firstLine="0" w:firstLineChars="0"/>
              <w:jc w:val="center"/>
              <w:rPr>
                <w:rFonts w:ascii="仿宋_GB2312"/>
                <w:sz w:val="24"/>
                <w:szCs w:val="24"/>
              </w:rPr>
            </w:pPr>
            <w:r>
              <w:rPr>
                <w:rFonts w:ascii="仿宋_GB2312"/>
                <w:sz w:val="24"/>
                <w:szCs w:val="24"/>
              </w:rPr>
              <w:t>1.92</w:t>
            </w:r>
          </w:p>
        </w:tc>
        <w:tc>
          <w:tcPr>
            <w:tcW w:w="1446" w:type="dxa"/>
          </w:tcPr>
          <w:p>
            <w:pPr>
              <w:ind w:firstLine="0" w:firstLineChars="0"/>
              <w:jc w:val="center"/>
              <w:rPr>
                <w:rFonts w:ascii="仿宋_GB2312"/>
                <w:sz w:val="24"/>
                <w:szCs w:val="24"/>
              </w:rPr>
            </w:pPr>
            <w:r>
              <w:rPr>
                <w:rFonts w:ascii="仿宋_GB2312"/>
                <w:sz w:val="24"/>
                <w:szCs w:val="24"/>
              </w:rPr>
              <w:t>13.02</w:t>
            </w:r>
          </w:p>
        </w:tc>
        <w:tc>
          <w:tcPr>
            <w:tcW w:w="1474" w:type="dxa"/>
          </w:tcPr>
          <w:p>
            <w:pPr>
              <w:ind w:firstLine="0" w:firstLineChars="0"/>
              <w:jc w:val="center"/>
              <w:rPr>
                <w:rFonts w:ascii="仿宋_GB2312"/>
                <w:sz w:val="24"/>
                <w:szCs w:val="24"/>
              </w:rPr>
            </w:pPr>
            <w:r>
              <w:rPr>
                <w:rFonts w:ascii="仿宋_GB2312"/>
                <w:sz w:val="24"/>
                <w:szCs w:val="24"/>
              </w:rPr>
              <w:t>5.63</w:t>
            </w:r>
          </w:p>
        </w:tc>
        <w:tc>
          <w:tcPr>
            <w:tcW w:w="1417" w:type="dxa"/>
          </w:tcPr>
          <w:p>
            <w:pPr>
              <w:ind w:firstLine="0" w:firstLineChars="0"/>
              <w:jc w:val="center"/>
              <w:rPr>
                <w:rFonts w:ascii="仿宋_GB2312"/>
                <w:sz w:val="24"/>
                <w:szCs w:val="24"/>
              </w:rPr>
            </w:pPr>
            <w:r>
              <w:rPr>
                <w:rFonts w:ascii="仿宋_GB2312"/>
                <w:sz w:val="24"/>
                <w:szCs w:val="24"/>
              </w:rPr>
              <w:t>-5.47</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56.92</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-56.92</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ascii="仿宋_GB2312"/>
          <w:szCs w:val="32"/>
        </w:rPr>
        <w:t>7.55</w:t>
      </w:r>
      <w:r>
        <w:rPr>
          <w:rFonts w:hint="eastAsia" w:ascii="仿宋_GB2312"/>
          <w:szCs w:val="32"/>
        </w:rPr>
        <w:t>万元，与年初预算相比减少</w:t>
      </w:r>
      <w:r>
        <w:rPr>
          <w:rFonts w:ascii="仿宋_GB2312"/>
          <w:szCs w:val="32"/>
        </w:rPr>
        <w:t>51.29</w:t>
      </w:r>
      <w:r>
        <w:rPr>
          <w:rFonts w:hint="eastAsia" w:ascii="仿宋_GB2312"/>
          <w:szCs w:val="32"/>
        </w:rPr>
        <w:t>万元，降低</w:t>
      </w:r>
      <w:r>
        <w:rPr>
          <w:rFonts w:ascii="仿宋_GB2312"/>
          <w:szCs w:val="32"/>
        </w:rPr>
        <w:t>679.22</w:t>
      </w:r>
      <w:r>
        <w:rPr>
          <w:rFonts w:hint="eastAsia" w:ascii="仿宋_GB2312"/>
          <w:szCs w:val="32"/>
        </w:rPr>
        <w:t>%，原因是：</w:t>
      </w:r>
      <w:r>
        <w:rPr>
          <w:rFonts w:ascii="仿宋_GB2312"/>
          <w:szCs w:val="32"/>
        </w:rPr>
        <w:t>2017</w:t>
      </w:r>
      <w:r>
        <w:rPr>
          <w:rFonts w:hint="eastAsia" w:ascii="仿宋_GB2312"/>
          <w:szCs w:val="32"/>
        </w:rPr>
        <w:t>年无</w:t>
      </w:r>
      <w:r>
        <w:rPr>
          <w:rFonts w:ascii="仿宋_GB2312"/>
          <w:szCs w:val="32"/>
        </w:rPr>
        <w:t>公务接待费支出;</w:t>
      </w:r>
      <w:r>
        <w:rPr>
          <w:rFonts w:hint="eastAsia" w:ascii="仿宋_GB2312"/>
          <w:szCs w:val="32"/>
        </w:rPr>
        <w:t>与2</w:t>
      </w:r>
      <w:r>
        <w:rPr>
          <w:rFonts w:ascii="仿宋_GB2312"/>
          <w:szCs w:val="32"/>
        </w:rPr>
        <w:t>016</w:t>
      </w:r>
      <w:r>
        <w:rPr>
          <w:rFonts w:hint="eastAsia" w:ascii="仿宋_GB2312"/>
          <w:szCs w:val="32"/>
        </w:rPr>
        <w:t>年度决算数相比减少</w:t>
      </w:r>
      <w:r>
        <w:rPr>
          <w:rFonts w:ascii="仿宋_GB2312"/>
          <w:szCs w:val="32"/>
        </w:rPr>
        <w:t>5.47</w:t>
      </w:r>
      <w:r>
        <w:rPr>
          <w:rFonts w:hint="eastAsia" w:ascii="仿宋_GB2312"/>
          <w:szCs w:val="32"/>
        </w:rPr>
        <w:t>万元，原因是：压缩</w:t>
      </w:r>
      <w:r>
        <w:rPr>
          <w:rFonts w:ascii="仿宋_GB2312"/>
          <w:szCs w:val="32"/>
        </w:rPr>
        <w:t>公务用车运行维护费</w:t>
      </w:r>
      <w:r>
        <w:rPr>
          <w:rFonts w:hint="eastAsia" w:ascii="仿宋_GB2312"/>
          <w:szCs w:val="32"/>
        </w:rPr>
        <w:t>。</w:t>
      </w:r>
    </w:p>
    <w:p>
      <w:pPr>
        <w:ind w:firstLine="643"/>
        <w:rPr>
          <w:rFonts w:ascii="仿宋_GB2312"/>
          <w:szCs w:val="32"/>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w:t>
      </w:r>
      <w:r>
        <w:rPr>
          <w:rFonts w:ascii="仿宋_GB2312"/>
          <w:szCs w:val="32"/>
        </w:rPr>
        <w:t>0</w:t>
      </w:r>
      <w:r>
        <w:rPr>
          <w:rFonts w:hint="eastAsia" w:ascii="仿宋_GB2312"/>
          <w:szCs w:val="32"/>
        </w:rPr>
        <w:t>万元，年初预算为</w:t>
      </w:r>
      <w:r>
        <w:rPr>
          <w:rFonts w:ascii="仿宋_GB2312"/>
          <w:szCs w:val="32"/>
        </w:rPr>
        <w:t>0</w:t>
      </w:r>
      <w:r>
        <w:rPr>
          <w:rFonts w:hint="eastAsia" w:ascii="仿宋_GB2312"/>
          <w:szCs w:val="32"/>
        </w:rPr>
        <w:t>万元，</w:t>
      </w:r>
      <w:r>
        <w:rPr>
          <w:rFonts w:hint="eastAsia" w:ascii="仿宋_GB2312"/>
          <w:color w:val="FF0000"/>
          <w:szCs w:val="32"/>
        </w:rPr>
        <w:t xml:space="preserve"> </w:t>
      </w:r>
      <w:r>
        <w:rPr>
          <w:rFonts w:hint="eastAsia" w:ascii="仿宋_GB2312"/>
          <w:szCs w:val="32"/>
        </w:rPr>
        <w:t>2</w:t>
      </w:r>
      <w:r>
        <w:rPr>
          <w:rFonts w:ascii="仿宋_GB2312"/>
          <w:szCs w:val="32"/>
        </w:rPr>
        <w:t>016</w:t>
      </w:r>
      <w:r>
        <w:rPr>
          <w:rFonts w:hint="eastAsia" w:ascii="仿宋_GB2312"/>
          <w:szCs w:val="32"/>
        </w:rPr>
        <w:t>年度决算数为0万元，原因是：2017年未发生因公出国费用，年初预算未安排 ，2016年也未发生因公出国费用。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w:t>
      </w:r>
      <w:r>
        <w:rPr>
          <w:rFonts w:ascii="仿宋_GB2312"/>
          <w:szCs w:val="32"/>
        </w:rPr>
        <w:t>7.55</w:t>
      </w:r>
      <w:r>
        <w:rPr>
          <w:rFonts w:hint="eastAsia" w:ascii="仿宋_GB2312"/>
          <w:szCs w:val="32"/>
        </w:rPr>
        <w:t>万元，与年初预算相比增加5</w:t>
      </w:r>
      <w:r>
        <w:rPr>
          <w:rFonts w:ascii="仿宋_GB2312"/>
          <w:szCs w:val="32"/>
        </w:rPr>
        <w:t>.63</w:t>
      </w:r>
      <w:r>
        <w:rPr>
          <w:rFonts w:hint="eastAsia" w:ascii="仿宋_GB2312"/>
          <w:szCs w:val="32"/>
        </w:rPr>
        <w:t>万元，增长</w:t>
      </w:r>
      <w:r>
        <w:rPr>
          <w:rFonts w:ascii="仿宋_GB2312"/>
          <w:szCs w:val="32"/>
        </w:rPr>
        <w:t>74.56</w:t>
      </w:r>
      <w:r>
        <w:rPr>
          <w:rFonts w:hint="eastAsia" w:ascii="仿宋_GB2312"/>
          <w:szCs w:val="32"/>
        </w:rPr>
        <w:t>%，原因是：</w:t>
      </w:r>
      <w:r>
        <w:rPr>
          <w:rFonts w:hint="eastAsia" w:ascii="仿宋_GB2312" w:hAnsi="仿宋" w:cs="仿宋"/>
          <w:szCs w:val="32"/>
          <w:lang w:bidi="ar"/>
        </w:rPr>
        <w:t>财政未安排学校的公务用车运行维护费</w:t>
      </w:r>
      <w:r>
        <w:rPr>
          <w:rFonts w:hint="eastAsia" w:ascii="仿宋_GB2312"/>
          <w:szCs w:val="32"/>
        </w:rPr>
        <w:t>，与2</w:t>
      </w:r>
      <w:r>
        <w:rPr>
          <w:rFonts w:ascii="仿宋_GB2312"/>
          <w:szCs w:val="32"/>
        </w:rPr>
        <w:t>016</w:t>
      </w:r>
      <w:r>
        <w:rPr>
          <w:rFonts w:hint="eastAsia" w:ascii="仿宋_GB2312"/>
          <w:szCs w:val="32"/>
        </w:rPr>
        <w:t>年度决算数相比减少5.47万元，原因是：压缩</w:t>
      </w:r>
      <w:r>
        <w:rPr>
          <w:rFonts w:ascii="仿宋_GB2312"/>
          <w:szCs w:val="32"/>
        </w:rPr>
        <w:t>公务用车运行维护费</w:t>
      </w:r>
      <w:r>
        <w:rPr>
          <w:rFonts w:hint="eastAsia" w:ascii="仿宋_GB2312"/>
          <w:szCs w:val="32"/>
        </w:rPr>
        <w:t>。</w:t>
      </w:r>
    </w:p>
    <w:p>
      <w:pPr>
        <w:ind w:firstLine="640"/>
        <w:rPr>
          <w:rFonts w:ascii="仿宋_GB2312"/>
          <w:szCs w:val="32"/>
        </w:rPr>
      </w:pPr>
      <w:r>
        <w:rPr>
          <w:rFonts w:hint="eastAsia" w:ascii="仿宋_GB2312"/>
          <w:szCs w:val="32"/>
        </w:rPr>
        <w:t>其中：公务用车购置费0万元,</w:t>
      </w:r>
      <w:r>
        <w:rPr>
          <w:rFonts w:hint="eastAsia"/>
        </w:rPr>
        <w:t xml:space="preserve"> </w:t>
      </w:r>
      <w:r>
        <w:rPr>
          <w:rFonts w:hint="eastAsia" w:ascii="仿宋_GB2312"/>
          <w:szCs w:val="32"/>
        </w:rPr>
        <w:t>年初预算为</w:t>
      </w:r>
      <w:r>
        <w:rPr>
          <w:rFonts w:ascii="仿宋_GB2312"/>
          <w:szCs w:val="32"/>
        </w:rPr>
        <w:t>0</w:t>
      </w:r>
      <w:r>
        <w:rPr>
          <w:rFonts w:hint="eastAsia" w:ascii="仿宋_GB2312"/>
          <w:szCs w:val="32"/>
        </w:rPr>
        <w:t>万元，2</w:t>
      </w:r>
      <w:r>
        <w:rPr>
          <w:rFonts w:ascii="仿宋_GB2312"/>
          <w:szCs w:val="32"/>
        </w:rPr>
        <w:t>016</w:t>
      </w:r>
      <w:r>
        <w:rPr>
          <w:rFonts w:hint="eastAsia" w:ascii="仿宋_GB2312"/>
          <w:szCs w:val="32"/>
        </w:rPr>
        <w:t>年度决算数为0万元，原因是：2017年未发生公务用车购置费，年初预算未安排 ，2016年也未发生公务用车购置费。</w:t>
      </w:r>
    </w:p>
    <w:p>
      <w:pPr>
        <w:ind w:firstLine="640"/>
        <w:rPr>
          <w:rFonts w:ascii="仿宋_GB2312"/>
          <w:szCs w:val="32"/>
        </w:rPr>
      </w:pPr>
      <w:r>
        <w:rPr>
          <w:rFonts w:hint="eastAsia" w:ascii="仿宋_GB2312"/>
          <w:szCs w:val="32"/>
        </w:rPr>
        <w:t>其中：公务用车维护费,</w:t>
      </w:r>
      <w:r>
        <w:rPr>
          <w:rFonts w:hint="eastAsia"/>
        </w:rPr>
        <w:t xml:space="preserve"> </w:t>
      </w:r>
      <w:r>
        <w:rPr>
          <w:rFonts w:hint="eastAsia" w:ascii="仿宋_GB2312"/>
          <w:szCs w:val="32"/>
        </w:rPr>
        <w:t>与年初预算相比增加5</w:t>
      </w:r>
      <w:r>
        <w:rPr>
          <w:rFonts w:ascii="仿宋_GB2312"/>
          <w:szCs w:val="32"/>
        </w:rPr>
        <w:t>.63</w:t>
      </w:r>
      <w:r>
        <w:rPr>
          <w:rFonts w:hint="eastAsia" w:ascii="仿宋_GB2312"/>
          <w:szCs w:val="32"/>
        </w:rPr>
        <w:t>万元，增长7</w:t>
      </w:r>
      <w:r>
        <w:rPr>
          <w:rFonts w:ascii="仿宋_GB2312"/>
          <w:szCs w:val="32"/>
        </w:rPr>
        <w:t>4.56</w:t>
      </w:r>
      <w:r>
        <w:rPr>
          <w:rFonts w:hint="eastAsia" w:ascii="仿宋_GB2312"/>
          <w:szCs w:val="32"/>
        </w:rPr>
        <w:t>%，原因是：</w:t>
      </w:r>
      <w:r>
        <w:rPr>
          <w:rFonts w:hint="eastAsia" w:ascii="仿宋_GB2312" w:hAnsi="仿宋" w:cs="仿宋"/>
          <w:szCs w:val="32"/>
          <w:lang w:bidi="ar"/>
        </w:rPr>
        <w:t>财政未安排学校的公务用车运行维护费</w:t>
      </w:r>
      <w:r>
        <w:rPr>
          <w:rFonts w:hint="eastAsia" w:ascii="仿宋_GB2312"/>
          <w:szCs w:val="32"/>
        </w:rPr>
        <w:t>，与2016年度决算数相比减少5</w:t>
      </w:r>
      <w:r>
        <w:rPr>
          <w:rFonts w:ascii="仿宋_GB2312"/>
          <w:szCs w:val="32"/>
        </w:rPr>
        <w:t>.47</w:t>
      </w:r>
      <w:r>
        <w:rPr>
          <w:rFonts w:hint="eastAsia" w:ascii="仿宋_GB2312"/>
          <w:szCs w:val="32"/>
        </w:rPr>
        <w:t>万元，原因是：压缩</w:t>
      </w:r>
      <w:r>
        <w:rPr>
          <w:rFonts w:ascii="仿宋_GB2312"/>
          <w:szCs w:val="32"/>
        </w:rPr>
        <w:t>公务用车运行维护费</w:t>
      </w:r>
      <w:r>
        <w:rPr>
          <w:rFonts w:hint="eastAsia" w:ascii="仿宋_GB2312"/>
          <w:szCs w:val="32"/>
        </w:rPr>
        <w:t>。</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w:t>
      </w:r>
      <w:r>
        <w:rPr>
          <w:rFonts w:ascii="仿宋_GB2312"/>
          <w:szCs w:val="32"/>
        </w:rPr>
        <w:t>0</w:t>
      </w:r>
      <w:r>
        <w:rPr>
          <w:rFonts w:hint="eastAsia" w:ascii="仿宋_GB2312"/>
          <w:szCs w:val="32"/>
        </w:rPr>
        <w:t>万元，年初预算为56.92万元，2</w:t>
      </w:r>
      <w:r>
        <w:rPr>
          <w:rFonts w:ascii="仿宋_GB2312"/>
          <w:szCs w:val="32"/>
        </w:rPr>
        <w:t>016</w:t>
      </w:r>
      <w:r>
        <w:rPr>
          <w:rFonts w:hint="eastAsia" w:ascii="仿宋_GB2312"/>
          <w:szCs w:val="32"/>
        </w:rPr>
        <w:t>年度决算数为0万元，原因是：2017年未发生公务接待费，2016年也未发生公务接待费。</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ascii="仿宋_GB2312"/>
          <w:szCs w:val="32"/>
        </w:rPr>
        <w:t>0</w:t>
      </w:r>
      <w:r>
        <w:rPr>
          <w:rFonts w:hint="eastAsia" w:ascii="仿宋_GB2312"/>
          <w:szCs w:val="32"/>
        </w:rPr>
        <w:t>辆，公务用车保有量</w:t>
      </w:r>
      <w:r>
        <w:rPr>
          <w:rFonts w:ascii="仿宋_GB2312"/>
          <w:szCs w:val="32"/>
        </w:rPr>
        <w:t>11</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ascii="仿宋_GB2312"/>
          <w:szCs w:val="32"/>
        </w:rPr>
        <w:t>0</w:t>
      </w:r>
      <w:r>
        <w:rPr>
          <w:rFonts w:hint="eastAsia" w:ascii="仿宋_GB2312"/>
          <w:szCs w:val="32"/>
        </w:rPr>
        <w:t>个，</w:t>
      </w:r>
      <w:r>
        <w:rPr>
          <w:rFonts w:ascii="仿宋_GB2312"/>
          <w:szCs w:val="32"/>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ascii="仿宋_GB2312"/>
          <w:szCs w:val="32"/>
        </w:rPr>
        <w:t>0</w:t>
      </w:r>
      <w:r>
        <w:rPr>
          <w:rFonts w:hint="eastAsia" w:ascii="仿宋_GB2312"/>
          <w:szCs w:val="32"/>
        </w:rPr>
        <w:t>批次，</w:t>
      </w:r>
      <w:r>
        <w:rPr>
          <w:rFonts w:ascii="仿宋_GB2312"/>
          <w:szCs w:val="32"/>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pStyle w:val="10"/>
        <w:numPr>
          <w:ilvl w:val="0"/>
          <w:numId w:val="2"/>
        </w:numPr>
        <w:ind w:firstLineChars="0"/>
        <w:rPr>
          <w:rFonts w:ascii="仿宋_GB2312"/>
          <w:szCs w:val="32"/>
        </w:rPr>
      </w:pPr>
      <w:r>
        <w:rPr>
          <w:rFonts w:hint="eastAsia" w:ascii="仿宋_GB2312"/>
          <w:szCs w:val="32"/>
        </w:rPr>
        <w:t>预算绩效管理工作开展情况</w:t>
      </w:r>
    </w:p>
    <w:p>
      <w:pPr>
        <w:ind w:firstLine="640"/>
        <w:rPr>
          <w:rFonts w:ascii="仿宋_GB2312"/>
          <w:szCs w:val="32"/>
        </w:rPr>
      </w:pPr>
      <w:r>
        <w:rPr>
          <w:rFonts w:hint="eastAsia" w:ascii="仿宋_GB2312"/>
          <w:szCs w:val="32"/>
        </w:rPr>
        <w:t>我</w:t>
      </w:r>
      <w:r>
        <w:rPr>
          <w:rFonts w:ascii="仿宋_GB2312"/>
          <w:szCs w:val="32"/>
        </w:rPr>
        <w:t>部门</w:t>
      </w:r>
      <w:r>
        <w:rPr>
          <w:rFonts w:hint="eastAsia" w:ascii="仿宋_GB2312"/>
          <w:szCs w:val="32"/>
        </w:rPr>
        <w:t>统筹规划，制定教育长远发展规划和年度工作计划，制定详细的绩效指标和实施方案，明确规定需要完成的具体工作和达到的效果，对项目组织管理、实施步骤、职责分工、质量监控及项目验收拨款等做出更加具体的规定，既要充分发挥财政资金的引导作用，也便于跟踪评价考核项目资金的使用效果。收到财政资金后应及时开展工作，确保项目在规定时间内及时完成，避免财政资金浪费，确保项目资金使用效益的有效发挥。</w:t>
      </w:r>
    </w:p>
    <w:p>
      <w:pPr>
        <w:pStyle w:val="10"/>
        <w:numPr>
          <w:ilvl w:val="0"/>
          <w:numId w:val="2"/>
        </w:numPr>
        <w:ind w:firstLineChars="0"/>
        <w:rPr>
          <w:rFonts w:ascii="仿宋_GB2312"/>
          <w:szCs w:val="32"/>
        </w:rPr>
      </w:pPr>
      <w:r>
        <w:rPr>
          <w:rFonts w:hint="eastAsia" w:ascii="仿宋_GB2312"/>
          <w:szCs w:val="32"/>
        </w:rPr>
        <w:t>预算项目绩效评价开展情况</w:t>
      </w:r>
    </w:p>
    <w:p>
      <w:pPr>
        <w:pStyle w:val="4"/>
        <w:shd w:val="clear" w:color="auto" w:fill="FFFFFF"/>
        <w:spacing w:before="0" w:beforeAutospacing="0" w:after="225" w:afterAutospacing="0" w:line="450" w:lineRule="atLeast"/>
        <w:ind w:firstLine="736"/>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是成立评价工作组，具体负责评价各环节工作。二是制定实施方案，确保绩效评价工作有章可循，有序开展。三是实施评价阶段，通过对资料审核、现场评价（勘察、查询、账目审计、资料复核）和非现场评价（资料的分类、整理、分析），对项目绩效情况实施评价。</w:t>
      </w:r>
    </w:p>
    <w:p>
      <w:pPr>
        <w:pStyle w:val="10"/>
        <w:numPr>
          <w:ilvl w:val="0"/>
          <w:numId w:val="2"/>
        </w:numPr>
        <w:ind w:firstLineChars="0"/>
        <w:rPr>
          <w:rFonts w:ascii="仿宋_GB2312"/>
          <w:szCs w:val="32"/>
        </w:rPr>
      </w:pPr>
      <w:r>
        <w:rPr>
          <w:rFonts w:hint="eastAsia" w:ascii="仿宋_GB2312"/>
          <w:szCs w:val="32"/>
        </w:rPr>
        <w:t>预算项目绩效自评选例</w:t>
      </w:r>
    </w:p>
    <w:p>
      <w:pPr>
        <w:ind w:firstLine="640"/>
        <w:jc w:val="center"/>
        <w:rPr>
          <w:rFonts w:ascii="方正小标宋简体" w:hAnsi="仿宋" w:eastAsia="方正小标宋简体" w:cs="仿宋"/>
          <w:bCs/>
          <w:szCs w:val="32"/>
        </w:rPr>
      </w:pPr>
      <w:r>
        <w:rPr>
          <w:rFonts w:hint="eastAsia" w:ascii="方正小标宋简体" w:hAnsi="仿宋" w:eastAsia="方正小标宋简体" w:cs="仿宋"/>
          <w:bCs/>
          <w:szCs w:val="32"/>
        </w:rPr>
        <w:t>海港区2017年城乡义务教育公用经费绩效评价</w:t>
      </w:r>
    </w:p>
    <w:p>
      <w:pPr>
        <w:spacing w:line="500" w:lineRule="exact"/>
        <w:ind w:firstLine="640"/>
        <w:rPr>
          <w:rFonts w:ascii="仿宋_GB2312"/>
          <w:szCs w:val="32"/>
        </w:rPr>
      </w:pPr>
      <w:r>
        <w:rPr>
          <w:rFonts w:hint="eastAsia" w:ascii="仿宋_GB2312"/>
          <w:szCs w:val="32"/>
        </w:rPr>
        <w:t>城乡义务教育补助经费分为公用经费部分和寄宿生生活补助部分，本次绩效评价对象为公用经费部分，不包含寄宿生生活补助部分。</w:t>
      </w:r>
    </w:p>
    <w:p>
      <w:pPr>
        <w:spacing w:line="500" w:lineRule="exact"/>
        <w:ind w:firstLine="640"/>
        <w:rPr>
          <w:rFonts w:ascii="仿宋_GB2312"/>
          <w:szCs w:val="32"/>
        </w:rPr>
      </w:pPr>
      <w:r>
        <w:rPr>
          <w:rFonts w:hint="eastAsia" w:ascii="仿宋_GB2312"/>
          <w:szCs w:val="32"/>
        </w:rPr>
        <w:t>一、公用经费收入来源主要包括：</w:t>
      </w:r>
    </w:p>
    <w:p>
      <w:pPr>
        <w:spacing w:line="500" w:lineRule="exact"/>
        <w:ind w:left="640" w:leftChars="200" w:firstLine="320" w:firstLineChars="100"/>
        <w:rPr>
          <w:rFonts w:ascii="仿宋_GB2312"/>
          <w:szCs w:val="32"/>
        </w:rPr>
      </w:pPr>
      <w:r>
        <w:rPr>
          <w:rFonts w:hint="eastAsia" w:ascii="仿宋_GB2312"/>
          <w:szCs w:val="32"/>
        </w:rPr>
        <w:t>1、各学校的非税收入</w:t>
      </w:r>
    </w:p>
    <w:p>
      <w:pPr>
        <w:spacing w:line="500" w:lineRule="exact"/>
        <w:ind w:left="640" w:leftChars="200" w:firstLine="320" w:firstLineChars="100"/>
        <w:rPr>
          <w:rFonts w:ascii="仿宋_GB2312"/>
          <w:szCs w:val="32"/>
        </w:rPr>
      </w:pPr>
      <w:r>
        <w:rPr>
          <w:rFonts w:hint="eastAsia" w:ascii="仿宋_GB2312"/>
          <w:szCs w:val="32"/>
        </w:rPr>
        <w:t>2、上级和区本级配套的城乡义务教育补助经费（生均公用经费为中学885元，小学685元，比例文件中的取暖公用经费85元也用于补充日常办公费，因为水电暖已经单独做了预算）、区本级预算做的公用经费（中学108元/人，小学75元/人）</w:t>
      </w:r>
    </w:p>
    <w:p>
      <w:pPr>
        <w:spacing w:line="500" w:lineRule="exact"/>
        <w:ind w:left="640" w:leftChars="200" w:firstLine="320" w:firstLineChars="100"/>
        <w:rPr>
          <w:rFonts w:ascii="仿宋_GB2312"/>
          <w:szCs w:val="32"/>
        </w:rPr>
      </w:pPr>
      <w:r>
        <w:rPr>
          <w:rFonts w:hint="eastAsia" w:ascii="仿宋_GB2312"/>
          <w:szCs w:val="32"/>
        </w:rPr>
        <w:t>3、农村学校转移支付（教育）</w:t>
      </w:r>
    </w:p>
    <w:p>
      <w:pPr>
        <w:spacing w:line="500" w:lineRule="exact"/>
        <w:ind w:left="640" w:leftChars="200" w:firstLine="320" w:firstLineChars="100"/>
        <w:rPr>
          <w:rFonts w:ascii="仿宋_GB2312"/>
          <w:szCs w:val="32"/>
        </w:rPr>
      </w:pPr>
      <w:r>
        <w:rPr>
          <w:rFonts w:hint="eastAsia" w:ascii="仿宋_GB2312"/>
          <w:szCs w:val="32"/>
        </w:rPr>
        <w:t>4、其他单位拨付的资金。</w:t>
      </w:r>
    </w:p>
    <w:p>
      <w:pPr>
        <w:spacing w:line="500" w:lineRule="exact"/>
        <w:ind w:firstLine="640"/>
        <w:rPr>
          <w:rFonts w:ascii="仿宋_GB2312"/>
          <w:szCs w:val="32"/>
        </w:rPr>
      </w:pPr>
      <w:r>
        <w:rPr>
          <w:rFonts w:hint="eastAsia" w:ascii="仿宋_GB2312"/>
          <w:szCs w:val="32"/>
        </w:rPr>
        <w:t>二、2017年拨付给海港区的各级城乡义务教育补助经费情况</w:t>
      </w:r>
    </w:p>
    <w:p>
      <w:pPr>
        <w:spacing w:line="500" w:lineRule="exact"/>
        <w:ind w:firstLine="640"/>
        <w:rPr>
          <w:rFonts w:ascii="仿宋_GB2312"/>
          <w:szCs w:val="32"/>
        </w:rPr>
      </w:pPr>
      <w:r>
        <w:rPr>
          <w:rFonts w:hint="eastAsia" w:ascii="仿宋_GB2312"/>
          <w:szCs w:val="32"/>
        </w:rPr>
        <w:t>1、中央:</w:t>
      </w:r>
    </w:p>
    <w:p>
      <w:pPr>
        <w:spacing w:line="500" w:lineRule="exact"/>
        <w:ind w:firstLine="640"/>
        <w:rPr>
          <w:rFonts w:ascii="仿宋_GB2312"/>
          <w:szCs w:val="32"/>
        </w:rPr>
      </w:pPr>
      <w:r>
        <w:rPr>
          <w:rFonts w:hint="eastAsia" w:ascii="仿宋_GB2312"/>
          <w:szCs w:val="32"/>
        </w:rPr>
        <w:t xml:space="preserve">①秦财教【2016】1219号文件秦皇岛市财政局秦皇岛市教育局关于提前下达2017年城乡义务教育中央补助经费预算的通知，其中：公用经费部分的金额为3076万元，实际拨付3076万元，附件明细表显示共计123个学校，76752名学生，调整后学生人数为76911元。  </w:t>
      </w:r>
    </w:p>
    <w:p>
      <w:pPr>
        <w:spacing w:line="500" w:lineRule="exact"/>
        <w:ind w:firstLine="640"/>
        <w:rPr>
          <w:rFonts w:ascii="仿宋_GB2312"/>
          <w:szCs w:val="32"/>
        </w:rPr>
      </w:pPr>
      <w:r>
        <w:rPr>
          <w:rFonts w:hint="eastAsia" w:ascii="仿宋_GB2312"/>
          <w:szCs w:val="32"/>
        </w:rPr>
        <w:t>②秦财教【2017】443号文件秦皇岛市财政局秦皇岛市教育局关于追加2017年城乡义务教育中央补助经费预算的通知，该文件规定：各区财政教育部门要按照“重点倾斜、集中投入”原则，向寄宿制学校、规模较小学校、接收农民工子女较多的学校和薄弱学校倾斜，并与学校规划布局相结合，集中解决学校最突出最急需的问题，保证各类学校正常运转，海港区公用经费部分的金额为406万元，实际拨付406万元。附件明细表显示：共计123个学校，76752名学生，其中：明细表下边备注显示小学55403人，中学21508人，共计76911人，是由于不足100人的学校按110人计算，所以调整后学生人数为76911人。小学资金406*0.666=270.396万元，中学资金406*0.334=135.604万元，合计406万元。</w:t>
      </w:r>
    </w:p>
    <w:p>
      <w:pPr>
        <w:spacing w:line="500" w:lineRule="exact"/>
        <w:ind w:firstLine="640"/>
        <w:rPr>
          <w:rFonts w:ascii="仿宋_GB2312"/>
          <w:szCs w:val="32"/>
        </w:rPr>
      </w:pPr>
      <w:r>
        <w:rPr>
          <w:rFonts w:hint="eastAsia" w:ascii="仿宋_GB2312"/>
          <w:szCs w:val="32"/>
        </w:rPr>
        <w:t>2、省级:</w:t>
      </w:r>
    </w:p>
    <w:p>
      <w:pPr>
        <w:spacing w:line="500" w:lineRule="exact"/>
        <w:ind w:firstLine="640"/>
        <w:rPr>
          <w:rFonts w:ascii="仿宋_GB2312"/>
          <w:szCs w:val="32"/>
        </w:rPr>
      </w:pPr>
      <w:r>
        <w:rPr>
          <w:rFonts w:hint="eastAsia" w:ascii="仿宋_GB2312"/>
          <w:szCs w:val="32"/>
        </w:rPr>
        <w:t>①秦财教【2016】1060号文件关于提前下达2017年部分均衡性转移支付城乡义务教育省级补助经费公用经费部分的金额为863万元，实际拨付863万元，另外,该文件中海港区寄宿生补助4万元。</w:t>
      </w:r>
    </w:p>
    <w:p>
      <w:pPr>
        <w:spacing w:line="500" w:lineRule="exact"/>
        <w:ind w:firstLine="640"/>
        <w:rPr>
          <w:rFonts w:ascii="仿宋_GB2312"/>
          <w:szCs w:val="32"/>
        </w:rPr>
      </w:pPr>
      <w:r>
        <w:rPr>
          <w:rFonts w:hint="eastAsia" w:ascii="仿宋_GB2312"/>
          <w:szCs w:val="32"/>
        </w:rPr>
        <w:t>②秦财教【2017】821号文件关于下达2017年城乡义务教育省级补助经费的通知，公用经费部分的金额为68万元，实际拨付68万元。文件要求重点倾斜集中投入，主要是向接收农民工子女较多、条件薄弱的城市公办学校倾斜，但是教育局申请中未见各学校接收农民工子女人数，只是附了一个分配明细表。</w:t>
      </w:r>
    </w:p>
    <w:p>
      <w:pPr>
        <w:spacing w:line="500" w:lineRule="exact"/>
        <w:ind w:firstLine="640"/>
        <w:rPr>
          <w:rFonts w:ascii="仿宋_GB2312"/>
          <w:szCs w:val="32"/>
        </w:rPr>
      </w:pPr>
      <w:r>
        <w:rPr>
          <w:rFonts w:hint="eastAsia" w:ascii="仿宋_GB2312"/>
          <w:szCs w:val="32"/>
        </w:rPr>
        <w:t>3、市级:</w:t>
      </w:r>
    </w:p>
    <w:p>
      <w:pPr>
        <w:spacing w:line="500" w:lineRule="exact"/>
        <w:ind w:firstLine="640"/>
        <w:rPr>
          <w:rFonts w:ascii="仿宋_GB2312"/>
          <w:szCs w:val="32"/>
        </w:rPr>
      </w:pPr>
      <w:r>
        <w:rPr>
          <w:rFonts w:hint="eastAsia" w:ascii="仿宋_GB2312"/>
          <w:szCs w:val="32"/>
        </w:rPr>
        <w:t>秦财教【2017】225号关于下达2017年城乡义务教育市级补助经费的通知，该文件中市级补助公用经费部分的金额为863万元，实际拨付863万元。另外,该文件中海港区寄宿生补助2万元。明细表显示人数与其他表格相同。</w:t>
      </w:r>
    </w:p>
    <w:p>
      <w:pPr>
        <w:spacing w:line="500" w:lineRule="exact"/>
        <w:ind w:firstLine="640"/>
        <w:rPr>
          <w:rFonts w:ascii="仿宋_GB2312"/>
          <w:szCs w:val="32"/>
        </w:rPr>
      </w:pPr>
      <w:r>
        <w:rPr>
          <w:rFonts w:hint="eastAsia" w:ascii="仿宋_GB2312"/>
          <w:szCs w:val="32"/>
        </w:rPr>
        <w:t>4、区级:</w:t>
      </w:r>
    </w:p>
    <w:p>
      <w:pPr>
        <w:spacing w:line="500" w:lineRule="exact"/>
        <w:ind w:firstLine="640"/>
        <w:rPr>
          <w:rFonts w:ascii="仿宋_GB2312"/>
          <w:szCs w:val="32"/>
        </w:rPr>
      </w:pPr>
      <w:r>
        <w:rPr>
          <w:rFonts w:hint="eastAsia" w:ascii="仿宋_GB2312"/>
          <w:szCs w:val="32"/>
        </w:rPr>
        <w:t>预算为600万元，实际拨付500万元用于公用经费区级配套部分。未见文件及各个学校明细。</w:t>
      </w:r>
    </w:p>
    <w:p>
      <w:pPr>
        <w:spacing w:line="500" w:lineRule="exact"/>
        <w:ind w:firstLine="640"/>
        <w:rPr>
          <w:rFonts w:ascii="仿宋_GB2312"/>
          <w:szCs w:val="32"/>
        </w:rPr>
      </w:pPr>
      <w:r>
        <w:rPr>
          <w:rFonts w:hint="eastAsia" w:ascii="仿宋_GB2312"/>
          <w:szCs w:val="32"/>
        </w:rPr>
        <w:t>5、海港区2017年汇总</w:t>
      </w:r>
    </w:p>
    <w:p>
      <w:pPr>
        <w:spacing w:line="500" w:lineRule="exact"/>
        <w:ind w:firstLine="640"/>
        <w:rPr>
          <w:rFonts w:ascii="仿宋_GB2312"/>
          <w:szCs w:val="32"/>
        </w:rPr>
      </w:pPr>
      <w:r>
        <w:rPr>
          <w:rFonts w:hint="eastAsia" w:ascii="仿宋_GB2312"/>
          <w:szCs w:val="32"/>
        </w:rPr>
        <w:t>通过上述文件汇总计算，海港区2017年城乡义务教育补助经费公用经费部分金额3076+406+863+68+863+500=5776万元。</w:t>
      </w:r>
    </w:p>
    <w:p>
      <w:pPr>
        <w:spacing w:line="500" w:lineRule="exact"/>
        <w:ind w:firstLine="640"/>
        <w:rPr>
          <w:rFonts w:ascii="仿宋_GB2312"/>
          <w:szCs w:val="32"/>
        </w:rPr>
      </w:pPr>
      <w:r>
        <w:rPr>
          <w:rFonts w:hint="eastAsia" w:ascii="仿宋_GB2312"/>
          <w:szCs w:val="32"/>
        </w:rPr>
        <w:t>四、需要进行实地核查的学校建议</w:t>
      </w:r>
    </w:p>
    <w:p>
      <w:pPr>
        <w:spacing w:line="500" w:lineRule="exact"/>
        <w:ind w:firstLine="640"/>
        <w:rPr>
          <w:rFonts w:ascii="仿宋_GB2312"/>
          <w:szCs w:val="32"/>
        </w:rPr>
      </w:pPr>
      <w:r>
        <w:rPr>
          <w:rFonts w:hint="eastAsia" w:ascii="仿宋_GB2312"/>
          <w:szCs w:val="32"/>
        </w:rPr>
        <w:t>为了更充分地了解各个学校公用经费实际支出情况，落实各个学校是否存在苦乐不均的现象，对于中央“重点倾斜、集中投入”的原则是否落实到位，“向接收农民工子女较多、条件薄弱的城市公办学校倾斜的政策”是否得到有效落实，拟对海港区2017年城乡义务教育补助经费公用部分进行绩效评价。为了既能充分了解情况，又能节约成本提高效率拟选择以下五种不同规模的学校各2所共计10所学校进行绩效评价。</w:t>
      </w:r>
    </w:p>
    <w:p>
      <w:pPr>
        <w:numPr>
          <w:ilvl w:val="0"/>
          <w:numId w:val="3"/>
        </w:numPr>
        <w:spacing w:line="500" w:lineRule="exact"/>
        <w:ind w:firstLine="640"/>
        <w:rPr>
          <w:rFonts w:ascii="仿宋_GB2312"/>
          <w:szCs w:val="32"/>
        </w:rPr>
      </w:pPr>
      <w:r>
        <w:rPr>
          <w:rFonts w:hint="eastAsia" w:ascii="仿宋_GB2312"/>
          <w:szCs w:val="32"/>
        </w:rPr>
        <w:t>选择规模大学生人数多的学校2所，分别是迎秋里实验小学3266人，秦皇岛市第七中学3483人。这两所学校学生人数均在3000人以上，海港区学生人数超过3000人的只有这两所学校，而且分别代表大规模的小学和初中，同时七中需要考虑两个校区的实际情况，具有特殊性，所以选择这两个学校作为实地核查的被评价对象。</w:t>
      </w:r>
    </w:p>
    <w:p>
      <w:pPr>
        <w:numPr>
          <w:ilvl w:val="0"/>
          <w:numId w:val="3"/>
        </w:numPr>
        <w:spacing w:line="500" w:lineRule="exact"/>
        <w:ind w:firstLine="640"/>
        <w:rPr>
          <w:rFonts w:ascii="仿宋_GB2312"/>
          <w:szCs w:val="32"/>
        </w:rPr>
      </w:pPr>
      <w:r>
        <w:rPr>
          <w:rFonts w:hint="eastAsia" w:ascii="仿宋_GB2312"/>
          <w:szCs w:val="32"/>
        </w:rPr>
        <w:t>选择规模比较大学生人数比较多的学校2所，海港区人数超过2000人低于3000人的学校共计6所，分别是：迎宾路小学2113人，西港路小学2317人，北环路小学2390人，青云里小学2731人，杜庄学区第一小学2071人，秦皇岛市第八中学2450人。我们建议选择杜庄学区第一小学以及秦皇岛市第八中学，主要考虑了小学、中学各选择一个，同时杜庄小学属于从抚宁划转至海港区，学校基础设施可能会相对较差资金需求可能会相对较多的情况。选择不同情况的评价对象作为评价对象会更有代表性。</w:t>
      </w:r>
    </w:p>
    <w:p>
      <w:pPr>
        <w:numPr>
          <w:ilvl w:val="0"/>
          <w:numId w:val="3"/>
        </w:numPr>
        <w:spacing w:line="500" w:lineRule="exact"/>
        <w:ind w:firstLine="640"/>
        <w:rPr>
          <w:rFonts w:ascii="仿宋_GB2312"/>
          <w:szCs w:val="32"/>
        </w:rPr>
      </w:pPr>
      <w:r>
        <w:rPr>
          <w:rFonts w:hint="eastAsia" w:ascii="仿宋_GB2312"/>
          <w:szCs w:val="32"/>
        </w:rPr>
        <w:t>选择学生人数为1000-2000规模中等的学校2所进行绩效评价，处于这个规模的学校共计26所，我们建议选择石门寨中学1331人及建设路小学1804人，主要考虑了小学、中学各选择一个，同时石门寨中学属于从抚宁划转至海港区，学校基础设施可能会相对较差资金需求可能会相对较多的情况，建设路小学建校较早在本区间段学校中学生人数较多。选择不同情况的评价对象作为评价对象会更有代表性。</w:t>
      </w:r>
    </w:p>
    <w:p>
      <w:pPr>
        <w:numPr>
          <w:ilvl w:val="0"/>
          <w:numId w:val="3"/>
        </w:numPr>
        <w:spacing w:line="500" w:lineRule="exact"/>
        <w:ind w:firstLine="640"/>
        <w:rPr>
          <w:rFonts w:ascii="仿宋_GB2312"/>
          <w:szCs w:val="32"/>
        </w:rPr>
      </w:pPr>
      <w:r>
        <w:rPr>
          <w:rFonts w:hint="eastAsia" w:ascii="仿宋_GB2312"/>
          <w:szCs w:val="32"/>
        </w:rPr>
        <w:t>选择学生人数为500-1000人规模较小的学校2所进行绩效评价，处于这个规模的学校共计23 所，我们建议选择驻操营学区驻操营小学及秦皇岛市第二中学，其中：驻操营学区驻操营小学主校区365人，水门寺教学点207人，秦皇岛市第二中学743人，选择理由同上。</w:t>
      </w:r>
    </w:p>
    <w:p>
      <w:pPr>
        <w:numPr>
          <w:ilvl w:val="0"/>
          <w:numId w:val="3"/>
        </w:numPr>
        <w:spacing w:line="500" w:lineRule="exact"/>
        <w:ind w:firstLine="640"/>
        <w:rPr>
          <w:rFonts w:ascii="仿宋_GB2312"/>
          <w:szCs w:val="32"/>
        </w:rPr>
      </w:pPr>
      <w:r>
        <w:rPr>
          <w:rFonts w:hint="eastAsia" w:ascii="仿宋_GB2312"/>
          <w:szCs w:val="32"/>
        </w:rPr>
        <w:t>选择学生人数为500人以下小规模的学校2所进行绩效评价，处于这个规模的学校共计32所，我们建议选择规模较小的幕义寨小学，该学校有158人，暴庄小学116人。</w:t>
      </w:r>
    </w:p>
    <w:p>
      <w:pPr>
        <w:spacing w:line="500" w:lineRule="exact"/>
        <w:ind w:firstLine="678" w:firstLineChars="212"/>
        <w:rPr>
          <w:rFonts w:ascii="仿宋_GB2312"/>
          <w:szCs w:val="32"/>
        </w:rPr>
      </w:pPr>
      <w:r>
        <w:rPr>
          <w:rFonts w:hint="eastAsia" w:ascii="仿宋_GB2312"/>
          <w:szCs w:val="32"/>
        </w:rPr>
        <w:t>五、绩效评价的组织</w:t>
      </w:r>
    </w:p>
    <w:p>
      <w:pPr>
        <w:spacing w:line="500" w:lineRule="exact"/>
        <w:ind w:firstLine="640"/>
        <w:rPr>
          <w:rFonts w:ascii="仿宋_GB2312"/>
          <w:szCs w:val="32"/>
        </w:rPr>
      </w:pPr>
      <w:r>
        <w:rPr>
          <w:rFonts w:hint="eastAsia" w:ascii="仿宋_GB2312"/>
          <w:szCs w:val="32"/>
        </w:rPr>
        <w:t>根据《秦皇岛市财政支出绩效评价管理暂行办法》要求，成立评价工作组，具体负责此次评价各环节工作。</w:t>
      </w:r>
    </w:p>
    <w:p>
      <w:pPr>
        <w:spacing w:line="500" w:lineRule="exact"/>
        <w:ind w:firstLine="640"/>
        <w:rPr>
          <w:rFonts w:ascii="仿宋_GB2312"/>
          <w:szCs w:val="32"/>
        </w:rPr>
      </w:pPr>
      <w:r>
        <w:rPr>
          <w:rFonts w:hint="eastAsia" w:ascii="仿宋_GB2312"/>
          <w:szCs w:val="32"/>
        </w:rPr>
        <w:t>六、评价程序和时间安排</w:t>
      </w:r>
    </w:p>
    <w:p>
      <w:pPr>
        <w:spacing w:line="500" w:lineRule="exact"/>
        <w:ind w:firstLine="640"/>
        <w:rPr>
          <w:rFonts w:ascii="仿宋_GB2312"/>
          <w:szCs w:val="32"/>
        </w:rPr>
      </w:pPr>
      <w:r>
        <w:rPr>
          <w:rFonts w:hint="eastAsia" w:ascii="仿宋_GB2312"/>
          <w:szCs w:val="32"/>
        </w:rPr>
        <w:t>此次评价工作分前期准备、实施评价、撰写报告三个阶段进行，具体工作程序和时间安排如下：</w:t>
      </w:r>
    </w:p>
    <w:p>
      <w:pPr>
        <w:pStyle w:val="10"/>
        <w:numPr>
          <w:ilvl w:val="0"/>
          <w:numId w:val="4"/>
        </w:numPr>
        <w:spacing w:line="500" w:lineRule="exact"/>
        <w:ind w:firstLineChars="0"/>
        <w:rPr>
          <w:rFonts w:ascii="仿宋_GB2312"/>
          <w:szCs w:val="32"/>
        </w:rPr>
      </w:pPr>
      <w:r>
        <w:rPr>
          <w:rFonts w:hint="eastAsia" w:ascii="仿宋_GB2312"/>
          <w:szCs w:val="32"/>
        </w:rPr>
        <w:t>前期准备阶段</w:t>
      </w:r>
    </w:p>
    <w:p>
      <w:pPr>
        <w:spacing w:line="500" w:lineRule="exact"/>
        <w:ind w:firstLine="640"/>
        <w:rPr>
          <w:rFonts w:ascii="仿宋_GB2312"/>
          <w:szCs w:val="32"/>
        </w:rPr>
      </w:pPr>
      <w:r>
        <w:rPr>
          <w:rFonts w:hint="eastAsia" w:ascii="仿宋_GB2312"/>
          <w:szCs w:val="32"/>
        </w:rPr>
        <w:t>1、明确评价对象、评价工作目标及评价要求；</w:t>
      </w:r>
    </w:p>
    <w:p>
      <w:pPr>
        <w:tabs>
          <w:tab w:val="left" w:pos="1290"/>
        </w:tabs>
        <w:spacing w:line="500" w:lineRule="exact"/>
        <w:ind w:firstLine="640"/>
        <w:rPr>
          <w:rFonts w:ascii="仿宋_GB2312"/>
          <w:szCs w:val="32"/>
        </w:rPr>
      </w:pPr>
      <w:r>
        <w:rPr>
          <w:rFonts w:ascii="仿宋_GB2312"/>
          <w:szCs w:val="32"/>
        </w:rPr>
        <w:t>2</w:t>
      </w:r>
      <w:r>
        <w:rPr>
          <w:rFonts w:hint="eastAsia" w:ascii="仿宋_GB2312"/>
          <w:szCs w:val="32"/>
        </w:rPr>
        <w:t>、 提供相关的数据和文件资料，包括项目情况说明、文件依据、部门预算批复文件、预算执行或决算报告、与绩效指标相关的数据及其他相关资料；</w:t>
      </w:r>
    </w:p>
    <w:p>
      <w:pPr>
        <w:tabs>
          <w:tab w:val="left" w:pos="1290"/>
        </w:tabs>
        <w:spacing w:line="500" w:lineRule="exact"/>
        <w:ind w:firstLine="640"/>
        <w:rPr>
          <w:rFonts w:ascii="仿宋_GB2312"/>
          <w:szCs w:val="32"/>
        </w:rPr>
      </w:pPr>
      <w:r>
        <w:rPr>
          <w:rFonts w:hint="eastAsia" w:ascii="仿宋_GB2312"/>
          <w:szCs w:val="32"/>
        </w:rPr>
        <w:t>3、专业评价人员组成项目评价组。评价组工作职责：负责评价计划制定、方案起草，资料收集、整理、分类和分析，实施现场评价，对项目进行现场勘察，搜集相关资料，查看项目实际完成的状况和效果，计算定量指标、判断定性指标，提出项目实施过程中的问题及建议；</w:t>
      </w:r>
    </w:p>
    <w:p>
      <w:pPr>
        <w:tabs>
          <w:tab w:val="left" w:pos="1290"/>
        </w:tabs>
        <w:spacing w:line="500" w:lineRule="exact"/>
        <w:ind w:firstLine="640"/>
        <w:rPr>
          <w:rFonts w:ascii="仿宋_GB2312"/>
          <w:szCs w:val="32"/>
        </w:rPr>
      </w:pPr>
      <w:r>
        <w:rPr>
          <w:rFonts w:hint="eastAsia" w:ascii="仿宋_GB2312"/>
          <w:szCs w:val="32"/>
        </w:rPr>
        <w:t>4、绩效评价指标由共性指标和个性指标共同组成。共性指标由《秦皇岛市项目绩效评价指标一览表》中选取，个性指标由本次评价小组会同项目单位根据项目特点和学校实际情况以及项目产生的经济效益、社会效益、生态环境效益、可持续影响等因素设定。</w:t>
      </w:r>
    </w:p>
    <w:p>
      <w:pPr>
        <w:tabs>
          <w:tab w:val="left" w:pos="1290"/>
        </w:tabs>
        <w:spacing w:line="500" w:lineRule="exact"/>
        <w:ind w:firstLine="640"/>
        <w:rPr>
          <w:rFonts w:ascii="仿宋_GB2312"/>
          <w:szCs w:val="32"/>
        </w:rPr>
      </w:pPr>
      <w:r>
        <w:rPr>
          <w:rFonts w:hint="eastAsia" w:ascii="仿宋_GB2312"/>
          <w:szCs w:val="32"/>
        </w:rPr>
        <w:t>5、发放文件资料给评价组成员，组织评价组了解项目总体情况，学习绩效评价政策、评价标准，全面了解和掌握财政支出绩效评价方法和有关要求；</w:t>
      </w:r>
    </w:p>
    <w:p>
      <w:pPr>
        <w:tabs>
          <w:tab w:val="left" w:pos="1290"/>
        </w:tabs>
        <w:spacing w:line="500" w:lineRule="exact"/>
        <w:ind w:firstLine="640"/>
        <w:rPr>
          <w:rFonts w:ascii="仿宋_GB2312"/>
          <w:szCs w:val="32"/>
        </w:rPr>
      </w:pPr>
      <w:r>
        <w:rPr>
          <w:rFonts w:hint="eastAsia" w:ascii="仿宋_GB2312"/>
          <w:szCs w:val="32"/>
        </w:rPr>
        <w:t>6、评价工作组对取得的数据、资料进行核实、分析和整理，确定绩效评价指标标准；</w:t>
      </w:r>
    </w:p>
    <w:p>
      <w:pPr>
        <w:tabs>
          <w:tab w:val="left" w:pos="1290"/>
        </w:tabs>
        <w:spacing w:line="500" w:lineRule="exact"/>
        <w:ind w:firstLine="640"/>
        <w:rPr>
          <w:rFonts w:ascii="仿宋_GB2312"/>
          <w:szCs w:val="32"/>
        </w:rPr>
      </w:pPr>
      <w:r>
        <w:rPr>
          <w:rFonts w:ascii="仿宋_GB2312"/>
          <w:szCs w:val="32"/>
        </w:rPr>
        <w:t>7</w:t>
      </w:r>
      <w:r>
        <w:rPr>
          <w:rFonts w:hint="eastAsia" w:ascii="仿宋_GB2312"/>
          <w:szCs w:val="32"/>
        </w:rPr>
        <w:t>、确定现场评价工作日，拟定评价工作方案。</w:t>
      </w:r>
    </w:p>
    <w:p>
      <w:pPr>
        <w:spacing w:line="500" w:lineRule="exact"/>
        <w:ind w:firstLine="358" w:firstLineChars="112"/>
        <w:rPr>
          <w:rFonts w:ascii="仿宋_GB2312"/>
          <w:szCs w:val="32"/>
        </w:rPr>
      </w:pPr>
      <w:r>
        <w:rPr>
          <w:rFonts w:hint="eastAsia" w:ascii="仿宋_GB2312"/>
          <w:szCs w:val="32"/>
        </w:rPr>
        <w:t>（二）实施评价阶段</w:t>
      </w:r>
    </w:p>
    <w:p>
      <w:pPr>
        <w:spacing w:line="500" w:lineRule="exact"/>
        <w:ind w:firstLine="640"/>
        <w:rPr>
          <w:rFonts w:ascii="仿宋_GB2312"/>
          <w:szCs w:val="32"/>
        </w:rPr>
      </w:pPr>
      <w:r>
        <w:rPr>
          <w:rFonts w:hint="eastAsia" w:ascii="仿宋_GB2312"/>
          <w:szCs w:val="32"/>
        </w:rPr>
        <w:t>评价组通过对资料审核、现场评价（勘察、查询、账目审计、资料复核）和非现场评价（资料的分类、整理、分析），对项目绩效情况实施评价。</w:t>
      </w:r>
    </w:p>
    <w:p>
      <w:pPr>
        <w:numPr>
          <w:ilvl w:val="0"/>
          <w:numId w:val="5"/>
        </w:numPr>
        <w:spacing w:line="500" w:lineRule="exact"/>
        <w:ind w:hanging="581" w:firstLineChars="0"/>
        <w:rPr>
          <w:rFonts w:ascii="仿宋_GB2312"/>
          <w:szCs w:val="32"/>
        </w:rPr>
      </w:pPr>
      <w:r>
        <w:rPr>
          <w:rFonts w:hint="eastAsia" w:ascii="仿宋_GB2312"/>
          <w:szCs w:val="32"/>
        </w:rPr>
        <w:t>现场评价</w:t>
      </w:r>
    </w:p>
    <w:p>
      <w:pPr>
        <w:spacing w:line="500" w:lineRule="exact"/>
        <w:ind w:firstLine="640"/>
        <w:rPr>
          <w:rFonts w:ascii="仿宋_GB2312"/>
          <w:szCs w:val="32"/>
        </w:rPr>
      </w:pPr>
      <w:r>
        <w:rPr>
          <w:rFonts w:hint="eastAsia" w:ascii="仿宋_GB2312"/>
          <w:szCs w:val="32"/>
        </w:rPr>
        <w:t>（1）召开座谈会</w:t>
      </w:r>
    </w:p>
    <w:p>
      <w:pPr>
        <w:spacing w:line="500" w:lineRule="exact"/>
        <w:ind w:firstLine="640"/>
        <w:rPr>
          <w:rFonts w:ascii="仿宋_GB2312"/>
          <w:szCs w:val="32"/>
        </w:rPr>
      </w:pPr>
      <w:r>
        <w:rPr>
          <w:rFonts w:hint="eastAsia" w:ascii="仿宋_GB2312"/>
          <w:szCs w:val="32"/>
        </w:rPr>
        <w:t>由各学校项目负责人重点介绍财政拨款情况、实际支出情况、主要社会经济效益、环境影响、持续影响等情况、财务管理情况、项目管理制度及执行情况和项目绩效等内容，项目执行中的经验、存在的问题和建议等。</w:t>
      </w:r>
    </w:p>
    <w:p>
      <w:pPr>
        <w:spacing w:line="500" w:lineRule="exact"/>
        <w:ind w:firstLine="640"/>
        <w:rPr>
          <w:rFonts w:ascii="仿宋_GB2312"/>
          <w:szCs w:val="32"/>
        </w:rPr>
      </w:pPr>
      <w:r>
        <w:rPr>
          <w:rFonts w:hint="eastAsia" w:ascii="仿宋_GB2312"/>
          <w:szCs w:val="32"/>
        </w:rPr>
        <w:t>（2）绩效评价小组需要进行现场评价的10个学校收支情况进行审计，了解收支及结余情况以及支出的合规性。</w:t>
      </w:r>
    </w:p>
    <w:p>
      <w:pPr>
        <w:spacing w:line="500" w:lineRule="exact"/>
        <w:ind w:firstLine="640"/>
        <w:rPr>
          <w:rFonts w:ascii="仿宋_GB2312"/>
          <w:szCs w:val="32"/>
        </w:rPr>
      </w:pPr>
      <w:r>
        <w:rPr>
          <w:rFonts w:hint="eastAsia" w:ascii="仿宋_GB2312"/>
          <w:szCs w:val="32"/>
        </w:rPr>
        <w:t>（3）绩效评价小组实地查看项目效果；</w:t>
      </w:r>
    </w:p>
    <w:p>
      <w:pPr>
        <w:spacing w:line="500" w:lineRule="exact"/>
        <w:ind w:firstLine="640"/>
        <w:rPr>
          <w:rFonts w:ascii="仿宋_GB2312"/>
          <w:szCs w:val="32"/>
        </w:rPr>
      </w:pPr>
      <w:r>
        <w:rPr>
          <w:rFonts w:hint="eastAsia" w:ascii="仿宋_GB2312"/>
          <w:szCs w:val="32"/>
        </w:rPr>
        <w:t>（4）对服务对象教师及学生满意度进行问卷调查。</w:t>
      </w:r>
    </w:p>
    <w:p>
      <w:pPr>
        <w:numPr>
          <w:ilvl w:val="0"/>
          <w:numId w:val="5"/>
        </w:numPr>
        <w:spacing w:line="500" w:lineRule="exact"/>
        <w:ind w:hanging="439" w:firstLineChars="0"/>
        <w:rPr>
          <w:rFonts w:ascii="仿宋_GB2312"/>
          <w:szCs w:val="32"/>
        </w:rPr>
      </w:pPr>
      <w:r>
        <w:rPr>
          <w:rFonts w:hint="eastAsia" w:ascii="仿宋_GB2312"/>
          <w:szCs w:val="32"/>
        </w:rPr>
        <w:t>非现场评价</w:t>
      </w:r>
    </w:p>
    <w:p>
      <w:pPr>
        <w:spacing w:line="500" w:lineRule="exact"/>
        <w:ind w:firstLine="640"/>
        <w:rPr>
          <w:rFonts w:ascii="仿宋_GB2312"/>
          <w:szCs w:val="32"/>
        </w:rPr>
      </w:pPr>
      <w:r>
        <w:rPr>
          <w:rFonts w:hint="eastAsia" w:ascii="仿宋_GB2312"/>
          <w:szCs w:val="32"/>
        </w:rPr>
        <w:t>对单位提供的资料进行整理、分类和分析，评价组成员进一步计算统计定量指标，对定性指标作出经验判断，并运用相应的评价方法对绩效情况进行综合性评价。</w:t>
      </w:r>
    </w:p>
    <w:p>
      <w:pPr>
        <w:numPr>
          <w:ilvl w:val="0"/>
          <w:numId w:val="5"/>
        </w:numPr>
        <w:spacing w:line="500" w:lineRule="exact"/>
        <w:ind w:hanging="439" w:firstLineChars="0"/>
        <w:rPr>
          <w:rFonts w:ascii="仿宋_GB2312"/>
          <w:szCs w:val="32"/>
        </w:rPr>
      </w:pPr>
      <w:r>
        <w:rPr>
          <w:rFonts w:hint="eastAsia" w:ascii="仿宋_GB2312"/>
          <w:szCs w:val="32"/>
        </w:rPr>
        <w:t>评价方法</w:t>
      </w:r>
    </w:p>
    <w:p>
      <w:pPr>
        <w:spacing w:line="500" w:lineRule="exact"/>
        <w:ind w:firstLine="640"/>
        <w:rPr>
          <w:rFonts w:ascii="仿宋_GB2312"/>
          <w:szCs w:val="32"/>
        </w:rPr>
      </w:pPr>
      <w:r>
        <w:rPr>
          <w:rFonts w:hint="eastAsia" w:ascii="仿宋_GB2312"/>
          <w:szCs w:val="32"/>
        </w:rPr>
        <w:t>此次评价以定量分析评价方法为主，对难以采用定量评价方法的，在定性分析的基础上展开量化评价。定量评价选取综合指数评价法，依据各项指标的实际水平，对照评价标准值，分别计算各项指标指数得分，再根据一定的权数计算出综合指数。对于定性指标，参照定性指标参考标准进行量化比较分析，并转化为定性评价得分。</w:t>
      </w:r>
    </w:p>
    <w:p>
      <w:pPr>
        <w:spacing w:line="500" w:lineRule="exact"/>
        <w:ind w:firstLine="640"/>
        <w:rPr>
          <w:rFonts w:ascii="仿宋_GB2312"/>
          <w:szCs w:val="32"/>
        </w:rPr>
      </w:pPr>
      <w:r>
        <w:rPr>
          <w:rFonts w:hint="eastAsia" w:ascii="仿宋_GB2312"/>
          <w:szCs w:val="32"/>
        </w:rPr>
        <w:t>计分方法：综合评价得分=管理指标得分+结果指标得分</w:t>
      </w:r>
    </w:p>
    <w:p>
      <w:pPr>
        <w:spacing w:line="500" w:lineRule="exact"/>
        <w:ind w:left="570" w:hanging="3" w:firstLineChars="0"/>
        <w:rPr>
          <w:rFonts w:ascii="仿宋_GB2312"/>
          <w:szCs w:val="32"/>
        </w:rPr>
      </w:pPr>
      <w:r>
        <w:rPr>
          <w:rFonts w:hint="eastAsia" w:ascii="仿宋_GB2312"/>
          <w:szCs w:val="32"/>
        </w:rPr>
        <w:t>（三）撰写报告阶段</w:t>
      </w:r>
    </w:p>
    <w:p>
      <w:pPr>
        <w:spacing w:line="500" w:lineRule="exact"/>
        <w:ind w:firstLine="800" w:firstLineChars="250"/>
        <w:rPr>
          <w:rFonts w:ascii="仿宋_GB2312"/>
          <w:szCs w:val="32"/>
        </w:rPr>
      </w:pPr>
      <w:r>
        <w:rPr>
          <w:rFonts w:hint="eastAsia" w:ascii="仿宋_GB2312"/>
          <w:szCs w:val="32"/>
        </w:rPr>
        <w:t>1、召开评价组会议，组织讨论，评价打分，形成评价结论，提成问题、建议和意见，撰写初步评价报告。</w:t>
      </w:r>
    </w:p>
    <w:p>
      <w:pPr>
        <w:spacing w:line="500" w:lineRule="exact"/>
        <w:ind w:firstLine="838" w:firstLineChars="262"/>
        <w:rPr>
          <w:rFonts w:ascii="仿宋_GB2312"/>
          <w:szCs w:val="32"/>
        </w:rPr>
      </w:pPr>
      <w:r>
        <w:rPr>
          <w:rFonts w:hint="eastAsia" w:ascii="仿宋_GB2312"/>
          <w:szCs w:val="32"/>
        </w:rPr>
        <w:t>2、评价组内部审核评价报告；</w:t>
      </w:r>
    </w:p>
    <w:p>
      <w:pPr>
        <w:spacing w:line="500" w:lineRule="exact"/>
        <w:ind w:left="570" w:firstLine="278" w:firstLineChars="87"/>
        <w:rPr>
          <w:rFonts w:ascii="仿宋_GB2312"/>
          <w:szCs w:val="32"/>
        </w:rPr>
      </w:pPr>
      <w:r>
        <w:rPr>
          <w:rFonts w:hint="eastAsia" w:ascii="仿宋_GB2312"/>
          <w:szCs w:val="32"/>
        </w:rPr>
        <w:t>3、根据复核意见对评价报告进行修正、完善，出具正式绩效评价报告。</w:t>
      </w:r>
    </w:p>
    <w:p>
      <w:pPr>
        <w:ind w:firstLine="640"/>
        <w:rPr>
          <w:rFonts w:ascii="仿宋_GB2312"/>
          <w:szCs w:val="32"/>
        </w:rPr>
      </w:pPr>
      <w:r>
        <w:rPr>
          <w:rFonts w:hint="eastAsia" w:ascii="仿宋_GB2312"/>
          <w:szCs w:val="32"/>
        </w:rPr>
        <w:t>（四）部门决算量化评价说明</w:t>
      </w:r>
    </w:p>
    <w:p>
      <w:pPr>
        <w:ind w:firstLine="640"/>
        <w:rPr>
          <w:rFonts w:ascii="仿宋_GB2312"/>
          <w:szCs w:val="32"/>
        </w:rPr>
      </w:pPr>
      <w:r>
        <w:rPr>
          <w:rFonts w:hint="eastAsia" w:ascii="仿宋_GB2312"/>
          <w:szCs w:val="32"/>
        </w:rPr>
        <w:t>我部门绩效预算执行情况通过部门决算软件进行测评后得分为</w:t>
      </w:r>
      <w:r>
        <w:rPr>
          <w:rFonts w:ascii="仿宋_GB2312"/>
          <w:szCs w:val="32"/>
        </w:rPr>
        <w:t>60.5</w:t>
      </w:r>
      <w:r>
        <w:rPr>
          <w:rFonts w:hint="eastAsia" w:ascii="仿宋_GB2312"/>
          <w:szCs w:val="32"/>
        </w:rPr>
        <w:t>分，主要扣分及原因为：1、财政拨款收入预决算差异率扣4分，主要原因是归提寨</w:t>
      </w:r>
      <w:r>
        <w:rPr>
          <w:rFonts w:ascii="仿宋_GB2312"/>
          <w:szCs w:val="32"/>
        </w:rPr>
        <w:t>小学、第十四中学、玉龙湾学校</w:t>
      </w:r>
      <w:r>
        <w:rPr>
          <w:rFonts w:hint="eastAsia" w:ascii="仿宋_GB2312"/>
          <w:szCs w:val="32"/>
        </w:rPr>
        <w:t>新</w:t>
      </w:r>
      <w:r>
        <w:rPr>
          <w:rFonts w:ascii="仿宋_GB2312"/>
          <w:szCs w:val="32"/>
        </w:rPr>
        <w:t>建</w:t>
      </w:r>
      <w:r>
        <w:rPr>
          <w:rFonts w:hint="eastAsia" w:ascii="仿宋_GB2312"/>
          <w:szCs w:val="32"/>
        </w:rPr>
        <w:t>校</w:t>
      </w:r>
      <w:r>
        <w:rPr>
          <w:rFonts w:ascii="仿宋_GB2312"/>
          <w:szCs w:val="32"/>
        </w:rPr>
        <w:t>项目</w:t>
      </w:r>
      <w:r>
        <w:rPr>
          <w:rFonts w:hint="eastAsia" w:ascii="仿宋_GB2312"/>
          <w:szCs w:val="32"/>
        </w:rPr>
        <w:t>导致我部门本年实际收入大于年初预算；2、年初结转和结余预决算差异率扣5分，主要原因是年初结转和结余年初预算数金额为0元；3、人员经费预决算差异率扣2分</w:t>
      </w:r>
      <w:r>
        <w:rPr>
          <w:rFonts w:ascii="仿宋_GB2312"/>
          <w:szCs w:val="32"/>
        </w:rPr>
        <w:t>，主要</w:t>
      </w:r>
      <w:r>
        <w:rPr>
          <w:rFonts w:hint="eastAsia" w:ascii="仿宋_GB2312"/>
          <w:szCs w:val="32"/>
        </w:rPr>
        <w:t>原因增加教师</w:t>
      </w:r>
      <w:r>
        <w:rPr>
          <w:rFonts w:ascii="仿宋_GB2312"/>
          <w:szCs w:val="32"/>
        </w:rPr>
        <w:t>人数人员经费较预算</w:t>
      </w:r>
      <w:r>
        <w:rPr>
          <w:rFonts w:hint="eastAsia" w:ascii="仿宋_GB2312"/>
          <w:szCs w:val="32"/>
        </w:rPr>
        <w:t>增加</w:t>
      </w:r>
      <w:r>
        <w:rPr>
          <w:rFonts w:ascii="仿宋_GB2312"/>
          <w:szCs w:val="32"/>
        </w:rPr>
        <w:t>；</w:t>
      </w:r>
      <w:r>
        <w:rPr>
          <w:rFonts w:hint="eastAsia" w:ascii="仿宋_GB2312"/>
          <w:szCs w:val="32"/>
        </w:rPr>
        <w:t>4、公用经费预决算差异率扣2分</w:t>
      </w:r>
      <w:r>
        <w:rPr>
          <w:rFonts w:ascii="仿宋_GB2312"/>
          <w:szCs w:val="32"/>
        </w:rPr>
        <w:t>，主要原因</w:t>
      </w:r>
      <w:r>
        <w:rPr>
          <w:rFonts w:hint="eastAsia" w:ascii="仿宋_GB2312"/>
          <w:szCs w:val="32"/>
        </w:rPr>
        <w:t>学校</w:t>
      </w:r>
      <w:r>
        <w:rPr>
          <w:rFonts w:ascii="仿宋_GB2312"/>
          <w:szCs w:val="32"/>
        </w:rPr>
        <w:t>为改善办学学校支出增加；</w:t>
      </w:r>
      <w:r>
        <w:rPr>
          <w:rFonts w:hint="eastAsia" w:ascii="仿宋_GB2312"/>
          <w:szCs w:val="32"/>
        </w:rPr>
        <w:t>5、财政拨款结转和结余率扣1分</w:t>
      </w:r>
      <w:r>
        <w:rPr>
          <w:rFonts w:ascii="仿宋_GB2312"/>
          <w:szCs w:val="32"/>
        </w:rPr>
        <w:t>，主要原因</w:t>
      </w:r>
      <w:r>
        <w:rPr>
          <w:rFonts w:hint="eastAsia" w:ascii="仿宋_GB2312"/>
          <w:szCs w:val="32"/>
        </w:rPr>
        <w:t>决算</w:t>
      </w:r>
      <w:r>
        <w:rPr>
          <w:rFonts w:ascii="仿宋_GB2312"/>
          <w:szCs w:val="32"/>
        </w:rPr>
        <w:t>数</w:t>
      </w:r>
      <w:r>
        <w:rPr>
          <w:rFonts w:hint="eastAsia" w:ascii="仿宋_GB2312"/>
          <w:szCs w:val="32"/>
        </w:rPr>
        <w:t>较支出调整预算数有所</w:t>
      </w:r>
      <w:r>
        <w:rPr>
          <w:rFonts w:ascii="仿宋_GB2312"/>
          <w:szCs w:val="32"/>
        </w:rPr>
        <w:t>降低；</w:t>
      </w:r>
      <w:r>
        <w:rPr>
          <w:rFonts w:hint="eastAsia" w:ascii="仿宋_GB2312"/>
          <w:szCs w:val="32"/>
        </w:rPr>
        <w:t>6、财政收回存量资金占上年财政拨款结转和结余比重扣3.5分</w:t>
      </w:r>
      <w:r>
        <w:rPr>
          <w:rFonts w:ascii="仿宋_GB2312"/>
          <w:szCs w:val="32"/>
        </w:rPr>
        <w:t>，主要原因</w:t>
      </w:r>
      <w:r>
        <w:rPr>
          <w:rFonts w:hint="eastAsia" w:ascii="仿宋_GB2312"/>
          <w:szCs w:val="32"/>
        </w:rPr>
        <w:t>项目</w:t>
      </w:r>
      <w:r>
        <w:rPr>
          <w:rFonts w:ascii="仿宋_GB2312"/>
          <w:szCs w:val="32"/>
        </w:rPr>
        <w:t>未完成评审，导致资金未能</w:t>
      </w:r>
      <w:r>
        <w:rPr>
          <w:rFonts w:hint="eastAsia" w:ascii="仿宋_GB2312"/>
          <w:szCs w:val="32"/>
        </w:rPr>
        <w:t>计划</w:t>
      </w:r>
      <w:r>
        <w:rPr>
          <w:rFonts w:ascii="仿宋_GB2312"/>
          <w:szCs w:val="32"/>
        </w:rPr>
        <w:t>支付</w:t>
      </w:r>
      <w:r>
        <w:rPr>
          <w:rFonts w:hint="eastAsia" w:ascii="仿宋_GB2312"/>
          <w:szCs w:val="32"/>
        </w:rPr>
        <w:t>；7、“三公”经费支出预决算差异率扣5分</w:t>
      </w:r>
      <w:r>
        <w:rPr>
          <w:rFonts w:ascii="仿宋_GB2312"/>
          <w:szCs w:val="32"/>
        </w:rPr>
        <w:t>，主要原因</w:t>
      </w:r>
      <w:r>
        <w:rPr>
          <w:rFonts w:hint="eastAsia" w:ascii="仿宋_GB2312"/>
          <w:szCs w:val="32"/>
        </w:rPr>
        <w:t>预算</w:t>
      </w:r>
      <w:r>
        <w:rPr>
          <w:rFonts w:ascii="仿宋_GB2312"/>
          <w:szCs w:val="32"/>
        </w:rPr>
        <w:t>安排的公务</w:t>
      </w:r>
      <w:r>
        <w:rPr>
          <w:rFonts w:hint="eastAsia" w:ascii="仿宋_GB2312"/>
          <w:szCs w:val="32"/>
        </w:rPr>
        <w:t>接待费</w:t>
      </w:r>
      <w:r>
        <w:rPr>
          <w:rFonts w:ascii="仿宋_GB2312"/>
          <w:szCs w:val="32"/>
        </w:rPr>
        <w:t>未支出；</w:t>
      </w:r>
      <w:r>
        <w:rPr>
          <w:rFonts w:hint="eastAsia" w:ascii="仿宋_GB2312"/>
          <w:szCs w:val="32"/>
        </w:rPr>
        <w:t>8、资产类往来款变动率扣7分</w:t>
      </w:r>
      <w:r>
        <w:rPr>
          <w:rFonts w:ascii="仿宋_GB2312"/>
          <w:szCs w:val="32"/>
        </w:rPr>
        <w:t>，主要原因</w:t>
      </w:r>
      <w:r>
        <w:rPr>
          <w:rFonts w:hint="eastAsia" w:ascii="仿宋_GB2312"/>
          <w:szCs w:val="32"/>
        </w:rPr>
        <w:t>增加应收</w:t>
      </w:r>
      <w:r>
        <w:rPr>
          <w:rFonts w:ascii="仿宋_GB2312"/>
          <w:szCs w:val="32"/>
        </w:rPr>
        <w:t>逸城学校建设</w:t>
      </w:r>
      <w:r>
        <w:rPr>
          <w:rFonts w:hint="eastAsia" w:ascii="仿宋_GB2312"/>
          <w:szCs w:val="32"/>
        </w:rPr>
        <w:t>资金</w:t>
      </w:r>
      <w:r>
        <w:rPr>
          <w:rFonts w:ascii="仿宋_GB2312"/>
          <w:szCs w:val="32"/>
        </w:rPr>
        <w:t>；</w:t>
      </w:r>
      <w:r>
        <w:rPr>
          <w:rFonts w:hint="eastAsia" w:ascii="仿宋_GB2312"/>
          <w:szCs w:val="32"/>
        </w:rPr>
        <w:t>9、负债类往来款变动率扣6分</w:t>
      </w:r>
      <w:r>
        <w:rPr>
          <w:rFonts w:ascii="仿宋_GB2312"/>
          <w:szCs w:val="32"/>
        </w:rPr>
        <w:t>，主要原因</w:t>
      </w:r>
      <w:r>
        <w:rPr>
          <w:rFonts w:hint="eastAsia" w:ascii="仿宋_GB2312"/>
          <w:szCs w:val="32"/>
        </w:rPr>
        <w:t>增加应付</w:t>
      </w:r>
      <w:r>
        <w:rPr>
          <w:rFonts w:ascii="仿宋_GB2312"/>
          <w:szCs w:val="32"/>
        </w:rPr>
        <w:t>逸城学校建设</w:t>
      </w:r>
      <w:r>
        <w:rPr>
          <w:rFonts w:hint="eastAsia" w:ascii="仿宋_GB2312"/>
          <w:szCs w:val="32"/>
        </w:rPr>
        <w:t>资金；10、在职人员控制率扣3分，原因为工作需要使在职人数和编制人数差异较大。</w:t>
      </w:r>
      <w:r>
        <w:rPr>
          <w:rFonts w:ascii="仿宋_GB2312"/>
          <w:szCs w:val="32"/>
        </w:rPr>
        <w:t>11</w:t>
      </w:r>
      <w:r>
        <w:rPr>
          <w:rFonts w:hint="eastAsia" w:ascii="仿宋_GB2312"/>
          <w:szCs w:val="32"/>
        </w:rPr>
        <w:t>、其他人员增减率扣1分，原因为人事代理人员2016年起列入其他人员。</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ascii="仿宋_GB2312"/>
          <w:szCs w:val="32"/>
        </w:rPr>
        <w:t>598.75</w:t>
      </w:r>
      <w:r>
        <w:rPr>
          <w:rFonts w:hint="eastAsia" w:ascii="仿宋_GB2312"/>
          <w:szCs w:val="32"/>
        </w:rPr>
        <w:t>万元，比201</w:t>
      </w:r>
      <w:r>
        <w:rPr>
          <w:rFonts w:ascii="仿宋_GB2312"/>
          <w:szCs w:val="32"/>
        </w:rPr>
        <w:t>6</w:t>
      </w:r>
      <w:r>
        <w:rPr>
          <w:rFonts w:hint="eastAsia" w:ascii="仿宋_GB2312"/>
          <w:szCs w:val="32"/>
        </w:rPr>
        <w:t>年度减少</w:t>
      </w:r>
      <w:r>
        <w:rPr>
          <w:rFonts w:ascii="仿宋_GB2312"/>
          <w:szCs w:val="32"/>
        </w:rPr>
        <w:t>1909.35</w:t>
      </w:r>
      <w:r>
        <w:rPr>
          <w:rFonts w:hint="eastAsia" w:ascii="仿宋_GB2312"/>
          <w:szCs w:val="32"/>
        </w:rPr>
        <w:t>万元，降低</w:t>
      </w:r>
      <w:r>
        <w:rPr>
          <w:rFonts w:ascii="仿宋_GB2312"/>
          <w:szCs w:val="32"/>
        </w:rPr>
        <w:t>318.88</w:t>
      </w:r>
      <w:r>
        <w:rPr>
          <w:rFonts w:hint="eastAsia" w:ascii="仿宋_GB2312"/>
          <w:szCs w:val="32"/>
        </w:rPr>
        <w:t>%。主要原因是：计算口径</w:t>
      </w:r>
      <w:r>
        <w:rPr>
          <w:rFonts w:ascii="仿宋_GB2312"/>
          <w:szCs w:val="32"/>
        </w:rPr>
        <w:t>不一致造成金额差距较大</w:t>
      </w:r>
      <w:r>
        <w:rPr>
          <w:rFonts w:hint="eastAsia" w:ascii="仿宋_GB2312"/>
          <w:szCs w:val="32"/>
        </w:rPr>
        <w:t>。</w:t>
      </w:r>
    </w:p>
    <w:p>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ascii="仿宋_GB2312"/>
          <w:szCs w:val="32"/>
        </w:rPr>
        <w:t>6,313.22</w:t>
      </w:r>
      <w:r>
        <w:rPr>
          <w:rFonts w:hint="eastAsia" w:ascii="仿宋_GB2312"/>
          <w:szCs w:val="32"/>
        </w:rPr>
        <w:t>万元，其中：政府采购货物支出</w:t>
      </w:r>
      <w:r>
        <w:rPr>
          <w:rFonts w:ascii="仿宋_GB2312"/>
          <w:szCs w:val="32"/>
        </w:rPr>
        <w:t>3,810.47</w:t>
      </w:r>
      <w:r>
        <w:rPr>
          <w:rFonts w:hint="eastAsia" w:ascii="仿宋_GB2312"/>
          <w:szCs w:val="32"/>
        </w:rPr>
        <w:t>万元、政府采购工程支出</w:t>
      </w:r>
      <w:r>
        <w:rPr>
          <w:rFonts w:ascii="仿宋_GB2312"/>
          <w:szCs w:val="32"/>
        </w:rPr>
        <w:t>2</w:t>
      </w:r>
      <w:r>
        <w:rPr>
          <w:rFonts w:hint="eastAsia" w:ascii="仿宋_GB2312"/>
          <w:szCs w:val="32"/>
        </w:rPr>
        <w:t>,</w:t>
      </w:r>
      <w:r>
        <w:rPr>
          <w:rFonts w:ascii="仿宋_GB2312"/>
          <w:szCs w:val="32"/>
        </w:rPr>
        <w:t>462.91</w:t>
      </w:r>
      <w:r>
        <w:rPr>
          <w:rFonts w:hint="eastAsia" w:ascii="仿宋_GB2312"/>
          <w:szCs w:val="32"/>
        </w:rPr>
        <w:t>万元、政府采购服务支出</w:t>
      </w:r>
      <w:r>
        <w:rPr>
          <w:rFonts w:ascii="仿宋_GB2312"/>
          <w:szCs w:val="32"/>
        </w:rPr>
        <w:t>39.83</w:t>
      </w:r>
      <w:r>
        <w:rPr>
          <w:rFonts w:hint="eastAsia" w:ascii="仿宋_GB2312"/>
          <w:szCs w:val="32"/>
        </w:rPr>
        <w:t>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5"/>
        <w:tblW w:w="14879" w:type="dxa"/>
        <w:jc w:val="center"/>
        <w:tblInd w:w="0" w:type="dxa"/>
        <w:tblLayout w:type="fixed"/>
        <w:tblCellMar>
          <w:top w:w="0" w:type="dxa"/>
          <w:left w:w="108" w:type="dxa"/>
          <w:bottom w:w="0" w:type="dxa"/>
          <w:right w:w="108" w:type="dxa"/>
        </w:tblCellMar>
      </w:tblPr>
      <w:tblGrid>
        <w:gridCol w:w="2830"/>
        <w:gridCol w:w="709"/>
        <w:gridCol w:w="1276"/>
        <w:gridCol w:w="1276"/>
        <w:gridCol w:w="1134"/>
        <w:gridCol w:w="1134"/>
        <w:gridCol w:w="4252"/>
        <w:gridCol w:w="851"/>
        <w:gridCol w:w="1417"/>
      </w:tblGrid>
      <w:tr>
        <w:tblPrEx>
          <w:tblLayout w:type="fixed"/>
          <w:tblCellMar>
            <w:top w:w="0" w:type="dxa"/>
            <w:left w:w="108" w:type="dxa"/>
            <w:bottom w:w="0" w:type="dxa"/>
            <w:right w:w="108" w:type="dxa"/>
          </w:tblCellMar>
        </w:tblPrEx>
        <w:trPr>
          <w:trHeight w:val="402" w:hRule="atLeast"/>
          <w:jc w:val="center"/>
        </w:trPr>
        <w:tc>
          <w:tcPr>
            <w:tcW w:w="2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709"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55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226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520"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70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520"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417"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0"/>
                <w:szCs w:val="20"/>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0"/>
                <w:szCs w:val="2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51,645.26</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61,212.29</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0"/>
                <w:szCs w:val="20"/>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0"/>
                <w:szCs w:val="2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7,461.32</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12,896.81</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0"/>
                <w:szCs w:val="20"/>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0"/>
                <w:szCs w:val="2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44,183.94</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48,315.48</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2,909.00</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1" w:name="_Hlk3187520"/>
            <w:r>
              <w:rPr>
                <w:rFonts w:hint="eastAsia" w:ascii="宋体" w:hAnsi="宋体" w:eastAsia="宋体" w:cs="Arial"/>
                <w:color w:val="000000"/>
                <w:kern w:val="0"/>
                <w:sz w:val="22"/>
              </w:rPr>
              <w:t xml:space="preserve">  （一）房屋（平方米）</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305,573.48</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318,244.92</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16,702.43</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16,605.61</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305,046.94</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318,053.38</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16,685.84</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16,599.43</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77.00</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143.54</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143.54</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4.64</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4.64</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383.00</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48.00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11.95</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1.55</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2,832.00</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13</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154.87</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131.32</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1"/>
                <w:szCs w:val="21"/>
              </w:rPr>
              <w:t>三、年末单位负担费用的供暖面积（平方米）</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1,048,726.97</w:t>
            </w:r>
          </w:p>
        </w:tc>
      </w:tr>
      <w:tr>
        <w:tblPrEx>
          <w:tblLayout w:type="fixed"/>
          <w:tblCellMar>
            <w:top w:w="0" w:type="dxa"/>
            <w:left w:w="108" w:type="dxa"/>
            <w:bottom w:w="0" w:type="dxa"/>
            <w:right w:w="108" w:type="dxa"/>
          </w:tblCellMar>
        </w:tblPrEx>
        <w:trPr>
          <w:trHeight w:val="77"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9</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8</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111.96</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95.61</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8,744.60</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319,189.80</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22.51</w:t>
            </w: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22.51</w:t>
            </w:r>
            <w:r>
              <w:rPr>
                <w:rFonts w:hint="eastAsia" w:ascii="宋体" w:hAnsi="宋体" w:eastAsia="宋体" w:cs="Arial"/>
                <w:color w:val="000000"/>
                <w:kern w:val="0"/>
                <w:sz w:val="22"/>
              </w:rPr>
              <w:t>　</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13.20</w:t>
            </w: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13.20</w:t>
            </w:r>
            <w:r>
              <w:rPr>
                <w:rFonts w:hint="eastAsia" w:ascii="宋体" w:hAnsi="宋体" w:eastAsia="宋体" w:cs="Arial"/>
                <w:color w:val="000000"/>
                <w:kern w:val="0"/>
                <w:sz w:val="22"/>
              </w:rPr>
              <w:t>　</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7.20</w:t>
            </w: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27,326.64</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0"/>
                <w:szCs w:val="20"/>
              </w:rPr>
            </w:pPr>
            <w:r>
              <w:rPr>
                <w:rFonts w:ascii="宋体" w:hAnsi="宋体" w:eastAsia="宋体" w:cs="Arial"/>
                <w:color w:val="000000"/>
                <w:kern w:val="0"/>
                <w:sz w:val="20"/>
                <w:szCs w:val="20"/>
              </w:rPr>
              <w:t>31,578.55</w:t>
            </w: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21"/>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41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2830"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709"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2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3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2"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41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w:t>
      </w:r>
      <w:r>
        <w:rPr>
          <w:rFonts w:ascii="仿宋_GB2312"/>
          <w:szCs w:val="32"/>
        </w:rPr>
        <w:t>48,315.48</w:t>
      </w:r>
      <w:r>
        <w:rPr>
          <w:rFonts w:hint="eastAsia" w:ascii="仿宋_GB2312"/>
          <w:szCs w:val="32"/>
        </w:rPr>
        <w:t>万元，与2016年相比增加4</w:t>
      </w:r>
      <w:r>
        <w:rPr>
          <w:rFonts w:ascii="仿宋_GB2312"/>
          <w:szCs w:val="32"/>
        </w:rPr>
        <w:t>131.54</w:t>
      </w:r>
      <w:r>
        <w:rPr>
          <w:rFonts w:hint="eastAsia" w:ascii="仿宋_GB2312"/>
          <w:szCs w:val="32"/>
        </w:rPr>
        <w:t>万元，主要原因是：学校</w:t>
      </w:r>
      <w:r>
        <w:rPr>
          <w:rFonts w:ascii="仿宋_GB2312"/>
          <w:szCs w:val="32"/>
        </w:rPr>
        <w:t>为改善办学条件，购置的教学仪器设备</w:t>
      </w:r>
      <w:r>
        <w:rPr>
          <w:rFonts w:hint="eastAsia" w:ascii="仿宋_GB2312"/>
          <w:szCs w:val="32"/>
        </w:rPr>
        <w:t>。</w:t>
      </w:r>
    </w:p>
    <w:p>
      <w:pPr>
        <w:ind w:firstLine="640"/>
        <w:rPr>
          <w:rFonts w:ascii="仿宋_GB2312"/>
          <w:szCs w:val="32"/>
        </w:rPr>
      </w:pPr>
      <w:r>
        <w:rPr>
          <w:rFonts w:hint="eastAsia" w:ascii="仿宋_GB2312"/>
          <w:szCs w:val="32"/>
        </w:rPr>
        <w:t>本部门共有车辆</w:t>
      </w:r>
      <w:r>
        <w:rPr>
          <w:rFonts w:ascii="仿宋_GB2312"/>
          <w:szCs w:val="32"/>
        </w:rPr>
        <w:t>11</w:t>
      </w:r>
      <w:r>
        <w:rPr>
          <w:rFonts w:hint="eastAsia" w:ascii="仿宋_GB2312"/>
          <w:szCs w:val="32"/>
        </w:rPr>
        <w:t>辆，其中，一般公务用车</w:t>
      </w:r>
      <w:r>
        <w:rPr>
          <w:rFonts w:ascii="仿宋_GB2312"/>
          <w:szCs w:val="32"/>
        </w:rPr>
        <w:t>11</w:t>
      </w:r>
      <w:r>
        <w:rPr>
          <w:rFonts w:hint="eastAsia" w:ascii="仿宋_GB2312"/>
          <w:szCs w:val="32"/>
        </w:rPr>
        <w:t>辆、一般执法执勤用车</w:t>
      </w:r>
      <w:r>
        <w:rPr>
          <w:rFonts w:ascii="仿宋_GB2312"/>
          <w:szCs w:val="32"/>
        </w:rPr>
        <w:t>0</w:t>
      </w:r>
      <w:r>
        <w:rPr>
          <w:rFonts w:hint="eastAsia" w:ascii="仿宋_GB2312"/>
          <w:szCs w:val="32"/>
        </w:rPr>
        <w:t>辆、特种专业技术用车</w:t>
      </w:r>
      <w:r>
        <w:rPr>
          <w:rFonts w:ascii="仿宋_GB2312"/>
          <w:szCs w:val="32"/>
        </w:rPr>
        <w:t>0</w:t>
      </w:r>
      <w:r>
        <w:rPr>
          <w:rFonts w:hint="eastAsia" w:ascii="仿宋_GB2312"/>
          <w:szCs w:val="32"/>
        </w:rPr>
        <w:t>辆、其他用车</w:t>
      </w:r>
      <w:r>
        <w:rPr>
          <w:rFonts w:ascii="仿宋_GB2312"/>
          <w:szCs w:val="32"/>
        </w:rPr>
        <w:t>0</w:t>
      </w:r>
      <w:r>
        <w:rPr>
          <w:rFonts w:hint="eastAsia" w:ascii="仿宋_GB2312"/>
          <w:szCs w:val="32"/>
        </w:rPr>
        <w:t>辆；单位价值200万元以上大型设备</w:t>
      </w:r>
      <w:r>
        <w:rPr>
          <w:rFonts w:ascii="仿宋_GB2312"/>
          <w:szCs w:val="32"/>
        </w:rPr>
        <w:t>0</w:t>
      </w:r>
      <w:r>
        <w:rPr>
          <w:rFonts w:hint="eastAsia" w:ascii="仿宋_GB2312"/>
          <w:szCs w:val="32"/>
        </w:rPr>
        <w:t>台。</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_GB2312"/>
          <w:szCs w:val="32"/>
        </w:rPr>
      </w:pPr>
      <w:r>
        <w:rPr>
          <w:rFonts w:hint="eastAsia" w:ascii="仿宋" w:hAnsi="仿宋" w:eastAsia="仿宋"/>
          <w:szCs w:val="32"/>
        </w:rPr>
        <w:t>会议费支出情况。</w:t>
      </w:r>
      <w:bookmarkStart w:id="22" w:name="OLE_LINK47"/>
      <w:bookmarkStart w:id="23" w:name="OLE_LINK46"/>
      <w:r>
        <w:rPr>
          <w:rFonts w:hint="eastAsia" w:ascii="仿宋" w:hAnsi="仿宋" w:eastAsia="仿宋"/>
          <w:szCs w:val="32"/>
        </w:rPr>
        <w:t>2017年会议费总计</w:t>
      </w:r>
      <w:r>
        <w:rPr>
          <w:rFonts w:ascii="仿宋" w:hAnsi="仿宋" w:eastAsia="仿宋"/>
          <w:szCs w:val="32"/>
        </w:rPr>
        <w:t>0</w:t>
      </w:r>
      <w:r>
        <w:rPr>
          <w:rFonts w:hint="eastAsia" w:ascii="仿宋" w:hAnsi="仿宋" w:eastAsia="仿宋"/>
          <w:szCs w:val="32"/>
        </w:rPr>
        <w:t>万元，2016年支出为</w:t>
      </w:r>
      <w:r>
        <w:rPr>
          <w:rFonts w:ascii="仿宋" w:hAnsi="仿宋" w:eastAsia="仿宋"/>
          <w:szCs w:val="32"/>
        </w:rPr>
        <w:t>0</w:t>
      </w:r>
      <w:r>
        <w:rPr>
          <w:rFonts w:hint="eastAsia" w:ascii="仿宋" w:hAnsi="仿宋" w:eastAsia="仿宋"/>
          <w:szCs w:val="32"/>
        </w:rPr>
        <w:t>万元。原因是：</w:t>
      </w:r>
      <w:r>
        <w:rPr>
          <w:rFonts w:hint="eastAsia" w:ascii="仿宋_GB2312"/>
          <w:szCs w:val="32"/>
        </w:rPr>
        <w:t>2017年未发生</w:t>
      </w:r>
      <w:r>
        <w:rPr>
          <w:rFonts w:hint="eastAsia" w:ascii="仿宋" w:hAnsi="仿宋" w:eastAsia="仿宋"/>
          <w:szCs w:val="32"/>
        </w:rPr>
        <w:t>会议费支出</w:t>
      </w:r>
      <w:r>
        <w:rPr>
          <w:rFonts w:hint="eastAsia" w:ascii="仿宋_GB2312"/>
          <w:szCs w:val="32"/>
        </w:rPr>
        <w:t>，2016年也未发生</w:t>
      </w:r>
      <w:r>
        <w:rPr>
          <w:rFonts w:hint="eastAsia" w:ascii="仿宋" w:hAnsi="仿宋" w:eastAsia="仿宋"/>
          <w:szCs w:val="32"/>
        </w:rPr>
        <w:t>会议费支出</w:t>
      </w:r>
      <w:r>
        <w:rPr>
          <w:rFonts w:hint="eastAsia" w:ascii="仿宋_GB2312"/>
          <w:szCs w:val="32"/>
        </w:rPr>
        <w:t>。</w:t>
      </w:r>
    </w:p>
    <w:bookmarkEnd w:id="22"/>
    <w:bookmarkEnd w:id="23"/>
    <w:p>
      <w:pPr>
        <w:ind w:firstLine="640"/>
        <w:rPr>
          <w:rFonts w:ascii="仿宋_GB2312"/>
          <w:szCs w:val="32"/>
        </w:rPr>
      </w:pPr>
      <w:r>
        <w:rPr>
          <w:rFonts w:hint="eastAsia" w:ascii="仿宋" w:hAnsi="仿宋" w:eastAsia="仿宋"/>
          <w:szCs w:val="32"/>
        </w:rPr>
        <w:t>培训费支出情况。2017年培训费总计</w:t>
      </w:r>
      <w:r>
        <w:rPr>
          <w:rFonts w:ascii="仿宋" w:hAnsi="仿宋" w:eastAsia="仿宋"/>
          <w:szCs w:val="32"/>
        </w:rPr>
        <w:t>378.09</w:t>
      </w:r>
      <w:r>
        <w:rPr>
          <w:rFonts w:hint="eastAsia" w:ascii="仿宋" w:hAnsi="仿宋" w:eastAsia="仿宋"/>
          <w:szCs w:val="32"/>
        </w:rPr>
        <w:t>万元，2016年支出为</w:t>
      </w:r>
      <w:r>
        <w:rPr>
          <w:rFonts w:ascii="仿宋_GB2312"/>
          <w:szCs w:val="32"/>
        </w:rPr>
        <w:t>401.50</w:t>
      </w:r>
      <w:r>
        <w:rPr>
          <w:rFonts w:hint="eastAsia" w:ascii="仿宋" w:hAnsi="仿宋" w:eastAsia="仿宋"/>
          <w:szCs w:val="32"/>
        </w:rPr>
        <w:t>万元，比上年减少</w:t>
      </w:r>
      <w:r>
        <w:rPr>
          <w:rFonts w:hint="eastAsia" w:ascii="仿宋_GB2312"/>
          <w:szCs w:val="32"/>
        </w:rPr>
        <w:t>23.41</w:t>
      </w:r>
      <w:r>
        <w:rPr>
          <w:rFonts w:hint="eastAsia" w:ascii="仿宋" w:hAnsi="仿宋" w:eastAsia="仿宋"/>
          <w:szCs w:val="32"/>
        </w:rPr>
        <w:t>万元，降低6.19%。原因是：厉行节约</w:t>
      </w:r>
      <w:r>
        <w:rPr>
          <w:rFonts w:ascii="仿宋" w:hAnsi="仿宋" w:eastAsia="仿宋"/>
          <w:szCs w:val="32"/>
        </w:rPr>
        <w:t>，压缩</w:t>
      </w:r>
      <w:r>
        <w:rPr>
          <w:rFonts w:hint="eastAsia" w:ascii="仿宋" w:hAnsi="仿宋" w:eastAsia="仿宋"/>
          <w:szCs w:val="32"/>
        </w:rPr>
        <w:t>培训费</w:t>
      </w:r>
      <w:r>
        <w:rPr>
          <w:rFonts w:ascii="仿宋" w:hAnsi="仿宋" w:eastAsia="仿宋"/>
          <w:szCs w:val="32"/>
        </w:rPr>
        <w:t>支出</w:t>
      </w:r>
      <w:r>
        <w:rPr>
          <w:rFonts w:hint="eastAsia" w:ascii="仿宋" w:hAnsi="仿宋" w:eastAsia="仿宋"/>
          <w:szCs w:val="32"/>
        </w:rPr>
        <w:t>。</w:t>
      </w:r>
    </w:p>
    <w:p>
      <w:pPr>
        <w:ind w:firstLine="640"/>
        <w:rPr>
          <w:rFonts w:ascii="仿宋_GB2312"/>
          <w:szCs w:val="32"/>
        </w:rPr>
      </w:pP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8</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28</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4B6EE"/>
    <w:multiLevelType w:val="multilevel"/>
    <w:tmpl w:val="8934B6EE"/>
    <w:lvl w:ilvl="0" w:tentative="0">
      <w:start w:val="1"/>
      <w:numFmt w:val="decimal"/>
      <w:suff w:val="nothing"/>
      <w:lvlText w:val="%1、"/>
      <w:lvlJc w:val="left"/>
      <w:rPr>
        <w:rFonts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1">
    <w:nsid w:val="00D7749B"/>
    <w:multiLevelType w:val="multilevel"/>
    <w:tmpl w:val="00D7749B"/>
    <w:lvl w:ilvl="0" w:tentative="0">
      <w:start w:val="1"/>
      <w:numFmt w:val="japaneseCounting"/>
      <w:lvlText w:val="（%1）"/>
      <w:lvlJc w:val="left"/>
      <w:pPr>
        <w:ind w:left="1455" w:hanging="885"/>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
    <w:nsid w:val="0616233A"/>
    <w:multiLevelType w:val="multilevel"/>
    <w:tmpl w:val="0616233A"/>
    <w:lvl w:ilvl="0" w:tentative="0">
      <w:start w:val="1"/>
      <w:numFmt w:val="japaneseCounting"/>
      <w:lvlText w:val="%1、"/>
      <w:lvlJc w:val="left"/>
      <w:pPr>
        <w:ind w:left="1994" w:hanging="720"/>
      </w:pPr>
      <w:rPr>
        <w:rFonts w:hint="default"/>
        <w:lang w:val="en-US"/>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abstractNum w:abstractNumId="3">
    <w:nsid w:val="25FB5040"/>
    <w:multiLevelType w:val="multilevel"/>
    <w:tmpl w:val="25FB5040"/>
    <w:lvl w:ilvl="0" w:tentative="0">
      <w:start w:val="1"/>
      <w:numFmt w:val="decimal"/>
      <w:lvlText w:val="%1、"/>
      <w:lvlJc w:val="left"/>
      <w:pPr>
        <w:tabs>
          <w:tab w:val="left" w:pos="1290"/>
        </w:tabs>
        <w:ind w:left="1290" w:hanging="72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4">
    <w:nsid w:val="69787D49"/>
    <w:multiLevelType w:val="multilevel"/>
    <w:tmpl w:val="69787D49"/>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0EF3"/>
    <w:rsid w:val="00005A31"/>
    <w:rsid w:val="000244B1"/>
    <w:rsid w:val="00054C53"/>
    <w:rsid w:val="0007561C"/>
    <w:rsid w:val="00096060"/>
    <w:rsid w:val="000E2B4B"/>
    <w:rsid w:val="000F00FD"/>
    <w:rsid w:val="00103253"/>
    <w:rsid w:val="001104D2"/>
    <w:rsid w:val="0011224D"/>
    <w:rsid w:val="00127C8F"/>
    <w:rsid w:val="00155A0C"/>
    <w:rsid w:val="00172A9E"/>
    <w:rsid w:val="00175A3A"/>
    <w:rsid w:val="0017741E"/>
    <w:rsid w:val="0019263B"/>
    <w:rsid w:val="001954FC"/>
    <w:rsid w:val="001F41FA"/>
    <w:rsid w:val="00204503"/>
    <w:rsid w:val="00231700"/>
    <w:rsid w:val="00271D6D"/>
    <w:rsid w:val="0027309A"/>
    <w:rsid w:val="00273E03"/>
    <w:rsid w:val="0029596B"/>
    <w:rsid w:val="002A3356"/>
    <w:rsid w:val="002A588A"/>
    <w:rsid w:val="002B1083"/>
    <w:rsid w:val="002D1C92"/>
    <w:rsid w:val="00305FCB"/>
    <w:rsid w:val="00310A7C"/>
    <w:rsid w:val="00312F9F"/>
    <w:rsid w:val="003155B1"/>
    <w:rsid w:val="003209A7"/>
    <w:rsid w:val="003C06DD"/>
    <w:rsid w:val="003D144F"/>
    <w:rsid w:val="003F222C"/>
    <w:rsid w:val="003F6043"/>
    <w:rsid w:val="00404522"/>
    <w:rsid w:val="00404BA5"/>
    <w:rsid w:val="00405DD5"/>
    <w:rsid w:val="004210A3"/>
    <w:rsid w:val="00443128"/>
    <w:rsid w:val="00450D4D"/>
    <w:rsid w:val="004E67B3"/>
    <w:rsid w:val="004E7B5F"/>
    <w:rsid w:val="004F1F8E"/>
    <w:rsid w:val="004F4129"/>
    <w:rsid w:val="00502034"/>
    <w:rsid w:val="005046AD"/>
    <w:rsid w:val="005462E5"/>
    <w:rsid w:val="00562ED9"/>
    <w:rsid w:val="00572864"/>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07B79"/>
    <w:rsid w:val="00712D5F"/>
    <w:rsid w:val="007138F0"/>
    <w:rsid w:val="00744B46"/>
    <w:rsid w:val="00746674"/>
    <w:rsid w:val="007C4984"/>
    <w:rsid w:val="007D2115"/>
    <w:rsid w:val="007D592B"/>
    <w:rsid w:val="0080381A"/>
    <w:rsid w:val="00804045"/>
    <w:rsid w:val="008248C5"/>
    <w:rsid w:val="00830C9C"/>
    <w:rsid w:val="008529DA"/>
    <w:rsid w:val="008716D0"/>
    <w:rsid w:val="00886E3A"/>
    <w:rsid w:val="008951B5"/>
    <w:rsid w:val="008C78C5"/>
    <w:rsid w:val="008D09EB"/>
    <w:rsid w:val="008F3A14"/>
    <w:rsid w:val="0092275C"/>
    <w:rsid w:val="00937A08"/>
    <w:rsid w:val="00945029"/>
    <w:rsid w:val="00952574"/>
    <w:rsid w:val="00965AC4"/>
    <w:rsid w:val="009964B9"/>
    <w:rsid w:val="009A2241"/>
    <w:rsid w:val="009D3E47"/>
    <w:rsid w:val="009E272B"/>
    <w:rsid w:val="009F4499"/>
    <w:rsid w:val="00A05198"/>
    <w:rsid w:val="00A13A55"/>
    <w:rsid w:val="00A220B4"/>
    <w:rsid w:val="00A266EB"/>
    <w:rsid w:val="00A4272B"/>
    <w:rsid w:val="00A513A6"/>
    <w:rsid w:val="00A9292B"/>
    <w:rsid w:val="00A93803"/>
    <w:rsid w:val="00AA33A5"/>
    <w:rsid w:val="00AB34E3"/>
    <w:rsid w:val="00AC76D6"/>
    <w:rsid w:val="00AF2C1C"/>
    <w:rsid w:val="00B42B02"/>
    <w:rsid w:val="00B701EF"/>
    <w:rsid w:val="00B72BF5"/>
    <w:rsid w:val="00B86180"/>
    <w:rsid w:val="00B965B5"/>
    <w:rsid w:val="00B96A7F"/>
    <w:rsid w:val="00BA26B2"/>
    <w:rsid w:val="00BB55D2"/>
    <w:rsid w:val="00BC4069"/>
    <w:rsid w:val="00BC625F"/>
    <w:rsid w:val="00BF0844"/>
    <w:rsid w:val="00BF1C0F"/>
    <w:rsid w:val="00C36EFE"/>
    <w:rsid w:val="00C71889"/>
    <w:rsid w:val="00CC09BA"/>
    <w:rsid w:val="00CE7AA1"/>
    <w:rsid w:val="00CF1175"/>
    <w:rsid w:val="00CF7D21"/>
    <w:rsid w:val="00D01A5A"/>
    <w:rsid w:val="00D063FA"/>
    <w:rsid w:val="00D15D39"/>
    <w:rsid w:val="00D2211A"/>
    <w:rsid w:val="00D2301D"/>
    <w:rsid w:val="00D34D1F"/>
    <w:rsid w:val="00D4698B"/>
    <w:rsid w:val="00D51081"/>
    <w:rsid w:val="00D82AF5"/>
    <w:rsid w:val="00D87BD4"/>
    <w:rsid w:val="00DC16FC"/>
    <w:rsid w:val="00DE515A"/>
    <w:rsid w:val="00E03175"/>
    <w:rsid w:val="00E401CB"/>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E5D88"/>
    <w:rsid w:val="00FF65FE"/>
    <w:rsid w:val="3C304D29"/>
    <w:rsid w:val="55866A20"/>
    <w:rsid w:val="78FD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4">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3"/>
    <w:qFormat/>
    <w:uiPriority w:val="99"/>
    <w:rPr>
      <w:rFonts w:ascii="Calibri" w:hAnsi="Calibri" w:eastAsia="宋体" w:cs="Times New Roman"/>
      <w:kern w:val="0"/>
      <w:sz w:val="18"/>
      <w:szCs w:val="18"/>
    </w:rPr>
  </w:style>
  <w:style w:type="character" w:customStyle="1" w:styleId="9">
    <w:name w:val="页脚 字符"/>
    <w:basedOn w:val="7"/>
    <w:link w:val="2"/>
    <w:qFormat/>
    <w:uiPriority w:val="99"/>
    <w:rPr>
      <w:rFonts w:ascii="Calibri" w:hAnsi="Calibri" w:eastAsia="宋体" w:cs="Times New Roman"/>
      <w:kern w:val="0"/>
      <w:sz w:val="18"/>
      <w:szCs w:val="18"/>
    </w:rPr>
  </w:style>
  <w:style w:type="paragraph" w:styleId="1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09343-B071-46EB-9E7F-A095DACBF964}">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Pages>
  <Words>1576</Words>
  <Characters>8987</Characters>
  <Lines>74</Lines>
  <Paragraphs>21</Paragraphs>
  <TotalTime>159</TotalTime>
  <ScaleCrop>false</ScaleCrop>
  <LinksUpToDate>false</LinksUpToDate>
  <CharactersWithSpaces>10542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2019-03-14T07:56:02Z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