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秦皇岛市海港区卫生和计划生育局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卫计</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卫计</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卫计</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5"/>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卫计部门概况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spacing w:line="560" w:lineRule="exact"/>
        <w:ind w:firstLine="672" w:firstLineChars="210"/>
        <w:jc w:val="left"/>
        <w:rPr>
          <w:rFonts w:ascii="仿宋" w:hAnsi="仿宋" w:eastAsia="仿宋"/>
          <w:szCs w:val="32"/>
        </w:rPr>
      </w:pPr>
      <w:r>
        <w:rPr>
          <w:rFonts w:hint="eastAsia" w:ascii="仿宋" w:hAnsi="仿宋" w:eastAsia="仿宋" w:cs="方正仿宋_GBK"/>
          <w:szCs w:val="32"/>
        </w:rPr>
        <w:t>1、</w:t>
      </w:r>
      <w:r>
        <w:rPr>
          <w:rFonts w:hint="eastAsia" w:ascii="仿宋" w:hAnsi="仿宋" w:eastAsia="仿宋"/>
          <w:szCs w:val="32"/>
        </w:rPr>
        <w:t>负责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pPr>
        <w:spacing w:line="560" w:lineRule="exact"/>
        <w:ind w:firstLine="480" w:firstLineChars="150"/>
        <w:jc w:val="left"/>
        <w:rPr>
          <w:rFonts w:ascii="仿宋" w:hAnsi="仿宋" w:eastAsia="仿宋"/>
          <w:szCs w:val="32"/>
        </w:rPr>
      </w:pPr>
      <w:r>
        <w:rPr>
          <w:rFonts w:hint="eastAsia" w:ascii="仿宋" w:hAnsi="仿宋" w:eastAsia="仿宋"/>
          <w:szCs w:val="32"/>
        </w:rPr>
        <w:t xml:space="preserve"> 2、贯彻执行国家基本药物制度，组织实施国家基本药物目录，拟定海港区国家基本药物采购、配送、使用制度和措施，监督和规范各级医疗机构基本药物使用。</w:t>
      </w:r>
    </w:p>
    <w:p>
      <w:pPr>
        <w:spacing w:line="560" w:lineRule="exact"/>
        <w:ind w:firstLine="640"/>
        <w:jc w:val="left"/>
        <w:rPr>
          <w:rFonts w:ascii="仿宋" w:hAnsi="仿宋" w:eastAsia="仿宋"/>
          <w:szCs w:val="32"/>
        </w:rPr>
      </w:pPr>
      <w:r>
        <w:rPr>
          <w:rFonts w:hint="eastAsia" w:ascii="仿宋" w:hAnsi="仿宋" w:eastAsia="仿宋"/>
          <w:szCs w:val="32"/>
        </w:rPr>
        <w:t>3、负责拟订基层卫生和计划生育服务、妇幼卫生发展规划和政策措施并组织实施，指导全区基层卫生和计划生育、妇幼卫生服务体系建设，推进基本公共卫生和计划生育服务均等化，完善基层运行新机制和乡村医生管理制度。</w:t>
      </w:r>
    </w:p>
    <w:p>
      <w:pPr>
        <w:spacing w:line="560" w:lineRule="exact"/>
        <w:ind w:firstLine="640"/>
        <w:jc w:val="left"/>
        <w:rPr>
          <w:rFonts w:ascii="仿宋" w:hAnsi="仿宋" w:eastAsia="仿宋"/>
          <w:szCs w:val="32"/>
        </w:rPr>
      </w:pPr>
      <w:r>
        <w:rPr>
          <w:rFonts w:hint="eastAsia" w:ascii="仿宋" w:hAnsi="仿宋" w:eastAsia="仿宋"/>
          <w:szCs w:val="32"/>
        </w:rPr>
        <w:t>4、负责组织推进公立医院改革，建立公益性为导向的绩效考核和评价运行机制，建设和谐医患关系，提出医疗服务和药品价格政策的建议。</w:t>
      </w:r>
    </w:p>
    <w:p>
      <w:pPr>
        <w:spacing w:line="560" w:lineRule="exact"/>
        <w:ind w:firstLine="640"/>
        <w:jc w:val="left"/>
        <w:rPr>
          <w:rFonts w:ascii="仿宋" w:hAnsi="仿宋" w:eastAsia="仿宋"/>
          <w:szCs w:val="32"/>
        </w:rPr>
      </w:pPr>
      <w:r>
        <w:rPr>
          <w:rFonts w:hint="eastAsia" w:ascii="仿宋" w:hAnsi="仿宋" w:eastAsia="仿宋"/>
          <w:szCs w:val="32"/>
        </w:rPr>
        <w:t>5、负责制定全区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pPr>
        <w:spacing w:line="560" w:lineRule="exact"/>
        <w:ind w:firstLine="640"/>
        <w:jc w:val="left"/>
        <w:rPr>
          <w:rFonts w:ascii="仿宋" w:hAnsi="仿宋" w:eastAsia="仿宋"/>
          <w:szCs w:val="32"/>
        </w:rPr>
      </w:pPr>
      <w:r>
        <w:rPr>
          <w:rFonts w:hint="eastAsia" w:ascii="仿宋" w:hAnsi="仿宋" w:eastAsia="仿宋"/>
          <w:szCs w:val="32"/>
        </w:rPr>
        <w:t>6、负责职业卫生、放射卫生、环境卫生、学校卫生、公共场所卫生、饮用水卫生的监督管理，组织开展相关监测、调查工作，负责传染病防治监督。配合市卫生和计划生育委员会做好食品安全风险监测和食品安全标准跟踪评价工作。</w:t>
      </w:r>
    </w:p>
    <w:p>
      <w:pPr>
        <w:spacing w:line="560" w:lineRule="exact"/>
        <w:ind w:firstLine="640"/>
        <w:jc w:val="left"/>
        <w:rPr>
          <w:rFonts w:ascii="仿宋" w:hAnsi="仿宋" w:eastAsia="仿宋"/>
          <w:szCs w:val="32"/>
        </w:rPr>
      </w:pPr>
      <w:r>
        <w:rPr>
          <w:rFonts w:hint="eastAsia" w:ascii="仿宋" w:hAnsi="仿宋" w:eastAsia="仿宋"/>
          <w:szCs w:val="32"/>
        </w:rPr>
        <w:t>7、负责医疗机构和医疗服务的监督管理。制定医疗机构及其医疗服务、医疗技术、医疗质量、医疗安全等有关规范、标准并组织指导实施，会同有关部门组织实施卫生专业技术人员准入，实施卫生专业技术人员执业规则和服务规范，建立医疗服务评价和监督管理体系。负责保健对象的医疗保健工作，重要会议与重大活动的医疗卫生保障工作。</w:t>
      </w:r>
    </w:p>
    <w:p>
      <w:pPr>
        <w:spacing w:line="560" w:lineRule="exact"/>
        <w:ind w:firstLine="640"/>
        <w:jc w:val="left"/>
        <w:rPr>
          <w:rFonts w:ascii="仿宋" w:hAnsi="仿宋" w:eastAsia="仿宋"/>
          <w:szCs w:val="32"/>
        </w:rPr>
      </w:pPr>
      <w:r>
        <w:rPr>
          <w:rFonts w:hint="eastAsia" w:ascii="仿宋" w:hAnsi="仿宋" w:eastAsia="仿宋"/>
          <w:szCs w:val="32"/>
        </w:rPr>
        <w:t>8、组织拟定医药卫生、计划生育科技发展规划和中医药中长期发展规划，组织实施国家及省、市、区重点医药卫生和计划生育科研攻关项目，组织开展继续医学教育和毕业后医学教育工作。</w:t>
      </w:r>
    </w:p>
    <w:p>
      <w:pPr>
        <w:spacing w:line="560" w:lineRule="exact"/>
        <w:ind w:firstLine="640"/>
        <w:jc w:val="left"/>
        <w:rPr>
          <w:rFonts w:ascii="仿宋" w:hAnsi="仿宋" w:eastAsia="仿宋"/>
          <w:szCs w:val="32"/>
        </w:rPr>
      </w:pPr>
      <w:r>
        <w:rPr>
          <w:rFonts w:hint="eastAsia" w:ascii="仿宋" w:hAnsi="仿宋" w:eastAsia="仿宋"/>
          <w:szCs w:val="32"/>
        </w:rPr>
        <w:t>9、负责贯彻落实计划生育工作的方针、政策，组织监测计划生育发展动态，提出发布计划生育安全预警预报信息建议。负责组织协调出生人口性别比综合治理工作；组织、指导、协调开展打击非医学需要鉴定胎儿性别和选择性别人工终止妊娠行为。负责监督计划生育技术服务管理制度的实施，依法规范计划生育技术和药具管理工作。负责节育手术并发症和病残医学鉴定的管理工作。负责再生育审批工作。拟订优生优育和提高出生人口素质的政策措施并组织实施，降低出生缺陷人口数量，推动实施计划生育生殖健康促进计划。</w:t>
      </w:r>
    </w:p>
    <w:p>
      <w:pPr>
        <w:spacing w:line="560" w:lineRule="exact"/>
        <w:ind w:firstLine="640"/>
        <w:jc w:val="left"/>
        <w:rPr>
          <w:rFonts w:ascii="仿宋" w:hAnsi="仿宋" w:eastAsia="仿宋"/>
          <w:szCs w:val="32"/>
        </w:rPr>
      </w:pPr>
      <w:r>
        <w:rPr>
          <w:rFonts w:hint="eastAsia" w:ascii="仿宋" w:hAnsi="仿宋" w:eastAsia="仿宋"/>
          <w:szCs w:val="32"/>
        </w:rPr>
        <w:t>10、组织建立计划生育利益导向、特殊困难计划生育家庭扶助和促进计划生育家庭发展等机制。负责协调推进有关部门、群众团体履行计划生育工作相关职责，建立与经济社会发展政策的衔接机制。</w:t>
      </w:r>
    </w:p>
    <w:p>
      <w:pPr>
        <w:spacing w:line="560" w:lineRule="exact"/>
        <w:ind w:firstLine="640"/>
        <w:jc w:val="left"/>
        <w:rPr>
          <w:rFonts w:ascii="仿宋" w:hAnsi="仿宋" w:eastAsia="仿宋"/>
          <w:szCs w:val="32"/>
        </w:rPr>
      </w:pPr>
      <w:r>
        <w:rPr>
          <w:rFonts w:hint="eastAsia" w:ascii="仿宋" w:hAnsi="仿宋" w:eastAsia="仿宋"/>
          <w:szCs w:val="32"/>
        </w:rPr>
        <w:t>11、落实流动人口计划生育服务管理制度，研究提出促进人口有序流动、合理分布的政策建议。负责流动人口计划生育区域协作，推动建立流动人口卫生和计划生育信息共享和公共服务工作机制。</w:t>
      </w:r>
    </w:p>
    <w:p>
      <w:pPr>
        <w:spacing w:line="560" w:lineRule="exact"/>
        <w:ind w:firstLine="640"/>
        <w:jc w:val="left"/>
        <w:rPr>
          <w:rFonts w:ascii="仿宋" w:hAnsi="仿宋" w:eastAsia="仿宋"/>
          <w:szCs w:val="32"/>
        </w:rPr>
      </w:pPr>
      <w:r>
        <w:rPr>
          <w:rFonts w:hint="eastAsia" w:ascii="仿宋" w:hAnsi="仿宋" w:eastAsia="仿宋"/>
          <w:szCs w:val="32"/>
        </w:rPr>
        <w:t>12、指导全区卫生和计划生育工作，完善综合监督执法体系，规范执法行为，监督检查法律法规和政策措施的落实，组织查处各类违法行为。坚持计划生育目标管理责任制，负责对计划生育规划及目标管理责任制执行情况进行监督和考核评估，监督落实计划生育一票否决制。</w:t>
      </w:r>
    </w:p>
    <w:p>
      <w:pPr>
        <w:spacing w:line="560" w:lineRule="exact"/>
        <w:ind w:firstLine="640"/>
        <w:jc w:val="left"/>
        <w:rPr>
          <w:rFonts w:ascii="仿宋" w:hAnsi="仿宋" w:eastAsia="仿宋"/>
          <w:szCs w:val="32"/>
        </w:rPr>
      </w:pPr>
      <w:r>
        <w:rPr>
          <w:rFonts w:hint="eastAsia" w:ascii="仿宋" w:hAnsi="仿宋" w:eastAsia="仿宋"/>
          <w:szCs w:val="32"/>
        </w:rPr>
        <w:t>13、组织拟订全区卫生和计划生育人才发展规划，指导卫生和计划生育人才队伍建设。加强全科医生等急需紧缺专业人才培养。</w:t>
      </w:r>
    </w:p>
    <w:p>
      <w:pPr>
        <w:spacing w:line="560" w:lineRule="exact"/>
        <w:ind w:firstLine="640"/>
        <w:jc w:val="left"/>
        <w:rPr>
          <w:rFonts w:ascii="仿宋" w:hAnsi="仿宋" w:eastAsia="仿宋"/>
          <w:szCs w:val="32"/>
        </w:rPr>
      </w:pPr>
      <w:r>
        <w:rPr>
          <w:rFonts w:hint="eastAsia" w:ascii="仿宋" w:hAnsi="仿宋" w:eastAsia="仿宋"/>
          <w:szCs w:val="32"/>
        </w:rPr>
        <w:t>14、负责卫生和计划生育宣传、健康教育、健康促进、交流合作和信息化建设等工作，依法组织实施统计、抽样调查和专项调查。</w:t>
      </w:r>
    </w:p>
    <w:p>
      <w:pPr>
        <w:spacing w:line="560" w:lineRule="exact"/>
        <w:ind w:firstLine="640"/>
        <w:jc w:val="left"/>
        <w:rPr>
          <w:rFonts w:ascii="仿宋" w:hAnsi="仿宋" w:eastAsia="仿宋"/>
          <w:szCs w:val="32"/>
        </w:rPr>
      </w:pPr>
      <w:r>
        <w:rPr>
          <w:rFonts w:hint="eastAsia" w:ascii="仿宋" w:hAnsi="仿宋" w:eastAsia="仿宋"/>
          <w:szCs w:val="32"/>
        </w:rPr>
        <w:t>15、承担区爱国卫生运动委员会、区深化医药卫生体制改革领导小组、区严重精神障碍防治工作领导小组、区人口和计划生育领导小组的日常工作。</w:t>
      </w:r>
    </w:p>
    <w:p>
      <w:pPr>
        <w:ind w:firstLine="672" w:firstLineChars="210"/>
        <w:rPr>
          <w:rFonts w:ascii="仿宋_GB2312" w:hAnsi="黑体"/>
          <w:szCs w:val="32"/>
        </w:rPr>
      </w:pPr>
      <w:r>
        <w:rPr>
          <w:rFonts w:hint="eastAsia" w:ascii="仿宋" w:hAnsi="仿宋" w:eastAsia="仿宋"/>
          <w:szCs w:val="32"/>
        </w:rPr>
        <w:t>16、承办区政府交办的其他事项</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1470"/>
        <w:gridCol w:w="163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25"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470"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1630"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25" w:type="dxa"/>
          </w:tcPr>
          <w:p>
            <w:pPr>
              <w:spacing w:before="100" w:beforeAutospacing="1" w:after="100" w:afterAutospacing="1" w:line="240" w:lineRule="auto"/>
              <w:ind w:left="0" w:leftChars="0" w:firstLine="0" w:firstLineChars="0"/>
              <w:rPr>
                <w:rFonts w:ascii="仿宋" w:hAnsi="仿宋" w:eastAsia="仿宋"/>
                <w:sz w:val="21"/>
                <w:szCs w:val="21"/>
              </w:rPr>
            </w:pPr>
            <w:bookmarkStart w:id="41" w:name="_GoBack" w:colFirst="1" w:colLast="2"/>
            <w:r>
              <w:rPr>
                <w:rFonts w:hint="eastAsia" w:ascii="仿宋" w:hAnsi="仿宋" w:eastAsia="仿宋"/>
                <w:sz w:val="21"/>
                <w:szCs w:val="21"/>
              </w:rPr>
              <w:t>秦皇岛海港区卫生和计划生育局</w:t>
            </w:r>
          </w:p>
        </w:tc>
        <w:tc>
          <w:tcPr>
            <w:tcW w:w="1470" w:type="dxa"/>
          </w:tcPr>
          <w:p>
            <w:pPr>
              <w:spacing w:before="100" w:beforeAutospacing="1" w:after="100" w:afterAutospacing="1" w:line="240" w:lineRule="auto"/>
              <w:ind w:left="0" w:leftChars="0" w:firstLine="0" w:firstLineChars="0"/>
              <w:jc w:val="center"/>
              <w:rPr>
                <w:rFonts w:hint="eastAsia" w:ascii="仿宋" w:hAnsi="仿宋" w:eastAsia="仿宋"/>
                <w:sz w:val="24"/>
                <w:szCs w:val="24"/>
                <w:lang w:eastAsia="zh-CN"/>
              </w:rPr>
            </w:pPr>
            <w:r>
              <w:rPr>
                <w:rFonts w:hint="eastAsia" w:ascii="仿宋" w:hAnsi="仿宋" w:eastAsia="仿宋"/>
                <w:sz w:val="24"/>
                <w:szCs w:val="24"/>
              </w:rPr>
              <w:t>行政</w:t>
            </w:r>
            <w:r>
              <w:rPr>
                <w:rFonts w:hint="eastAsia" w:ascii="仿宋" w:hAnsi="仿宋" w:eastAsia="仿宋"/>
                <w:sz w:val="24"/>
                <w:szCs w:val="24"/>
                <w:lang w:eastAsia="zh-CN"/>
              </w:rPr>
              <w:t>机关</w:t>
            </w:r>
          </w:p>
        </w:tc>
        <w:tc>
          <w:tcPr>
            <w:tcW w:w="1630" w:type="dxa"/>
          </w:tcPr>
          <w:p>
            <w:pPr>
              <w:spacing w:before="100" w:beforeAutospacing="1" w:after="100" w:afterAutospacing="1" w:line="240" w:lineRule="auto"/>
              <w:ind w:firstLine="480"/>
              <w:jc w:val="center"/>
              <w:rPr>
                <w:rFonts w:ascii="仿宋" w:hAnsi="仿宋" w:eastAsia="仿宋"/>
                <w:sz w:val="24"/>
                <w:szCs w:val="24"/>
              </w:rPr>
            </w:pPr>
            <w:r>
              <w:rPr>
                <w:rFonts w:hint="eastAsia" w:ascii="仿宋" w:hAnsi="仿宋" w:eastAsia="仿宋"/>
                <w:sz w:val="24"/>
                <w:szCs w:val="24"/>
              </w:rPr>
              <w:t>正科级</w:t>
            </w:r>
          </w:p>
        </w:tc>
        <w:tc>
          <w:tcPr>
            <w:tcW w:w="2209" w:type="dxa"/>
          </w:tcPr>
          <w:p>
            <w:pPr>
              <w:spacing w:before="100" w:beforeAutospacing="1" w:after="100" w:afterAutospacing="1" w:line="240" w:lineRule="auto"/>
              <w:ind w:firstLine="480"/>
              <w:rPr>
                <w:rFonts w:ascii="仿宋" w:hAnsi="仿宋" w:eastAsia="仿宋"/>
                <w:sz w:val="24"/>
                <w:szCs w:val="24"/>
              </w:rPr>
            </w:pPr>
            <w:r>
              <w:rPr>
                <w:rFonts w:hint="eastAsia" w:ascii="仿宋" w:hAnsi="仿宋" w:eastAsia="仿宋"/>
                <w:sz w:val="24"/>
                <w:szCs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25"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秦皇岛海港区妇幼保健站</w:t>
            </w:r>
          </w:p>
        </w:tc>
        <w:tc>
          <w:tcPr>
            <w:tcW w:w="1470" w:type="dxa"/>
          </w:tcPr>
          <w:p>
            <w:pPr>
              <w:spacing w:before="100" w:beforeAutospacing="1" w:after="100" w:afterAutospacing="1" w:line="240" w:lineRule="auto"/>
              <w:ind w:left="0" w:leftChars="0" w:firstLine="0" w:firstLineChars="0"/>
              <w:jc w:val="center"/>
              <w:rPr>
                <w:rFonts w:hint="eastAsia" w:ascii="仿宋" w:hAnsi="仿宋" w:eastAsia="仿宋"/>
                <w:sz w:val="24"/>
                <w:szCs w:val="24"/>
                <w:lang w:eastAsia="zh-CN"/>
              </w:rPr>
            </w:pPr>
            <w:r>
              <w:rPr>
                <w:rFonts w:hint="eastAsia" w:ascii="仿宋" w:hAnsi="仿宋" w:eastAsia="仿宋"/>
                <w:sz w:val="24"/>
                <w:szCs w:val="24"/>
              </w:rPr>
              <w:t>事业</w:t>
            </w:r>
            <w:r>
              <w:rPr>
                <w:rFonts w:hint="eastAsia" w:ascii="仿宋" w:hAnsi="仿宋" w:eastAsia="仿宋"/>
                <w:sz w:val="24"/>
                <w:szCs w:val="24"/>
                <w:lang w:eastAsia="zh-CN"/>
              </w:rPr>
              <w:t>单位</w:t>
            </w:r>
          </w:p>
        </w:tc>
        <w:tc>
          <w:tcPr>
            <w:tcW w:w="1630" w:type="dxa"/>
          </w:tcPr>
          <w:p>
            <w:pPr>
              <w:spacing w:before="100" w:beforeAutospacing="1" w:after="100" w:afterAutospacing="1" w:line="240" w:lineRule="auto"/>
              <w:ind w:firstLine="480"/>
              <w:jc w:val="center"/>
              <w:rPr>
                <w:rFonts w:ascii="仿宋" w:hAnsi="仿宋" w:eastAsia="仿宋"/>
                <w:sz w:val="24"/>
                <w:szCs w:val="24"/>
              </w:rPr>
            </w:pPr>
            <w:r>
              <w:rPr>
                <w:rFonts w:hint="eastAsia" w:ascii="仿宋" w:hAnsi="仿宋" w:eastAsia="仿宋"/>
                <w:sz w:val="24"/>
                <w:szCs w:val="24"/>
              </w:rPr>
              <w:t>副科级</w:t>
            </w:r>
          </w:p>
        </w:tc>
        <w:tc>
          <w:tcPr>
            <w:tcW w:w="2209"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25"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秦皇岛市海港区疾病预防控制中心</w:t>
            </w:r>
          </w:p>
        </w:tc>
        <w:tc>
          <w:tcPr>
            <w:tcW w:w="1470" w:type="dxa"/>
          </w:tcPr>
          <w:p>
            <w:pPr>
              <w:spacing w:before="100" w:beforeAutospacing="1" w:after="100" w:afterAutospacing="1" w:line="240" w:lineRule="auto"/>
              <w:ind w:left="0" w:leftChars="0" w:firstLine="0" w:firstLineChars="0"/>
              <w:jc w:val="center"/>
              <w:rPr>
                <w:rFonts w:ascii="仿宋" w:hAnsi="仿宋" w:eastAsia="仿宋"/>
                <w:sz w:val="24"/>
                <w:szCs w:val="24"/>
              </w:rPr>
            </w:pPr>
            <w:r>
              <w:rPr>
                <w:rFonts w:hint="eastAsia" w:ascii="仿宋" w:hAnsi="仿宋" w:eastAsia="仿宋"/>
                <w:sz w:val="24"/>
                <w:szCs w:val="24"/>
              </w:rPr>
              <w:t>事业</w:t>
            </w:r>
            <w:r>
              <w:rPr>
                <w:rFonts w:hint="eastAsia" w:ascii="仿宋" w:hAnsi="仿宋" w:eastAsia="仿宋"/>
                <w:sz w:val="24"/>
                <w:szCs w:val="24"/>
                <w:lang w:eastAsia="zh-CN"/>
              </w:rPr>
              <w:t>单位</w:t>
            </w:r>
          </w:p>
        </w:tc>
        <w:tc>
          <w:tcPr>
            <w:tcW w:w="1630" w:type="dxa"/>
          </w:tcPr>
          <w:p>
            <w:pPr>
              <w:spacing w:before="100" w:beforeAutospacing="1" w:after="100" w:afterAutospacing="1" w:line="240" w:lineRule="auto"/>
              <w:ind w:firstLine="480"/>
              <w:jc w:val="center"/>
              <w:rPr>
                <w:rFonts w:ascii="仿宋" w:hAnsi="仿宋" w:eastAsia="仿宋"/>
                <w:sz w:val="24"/>
                <w:szCs w:val="24"/>
              </w:rPr>
            </w:pPr>
            <w:r>
              <w:rPr>
                <w:rFonts w:hint="eastAsia" w:ascii="仿宋" w:hAnsi="仿宋" w:eastAsia="仿宋"/>
                <w:sz w:val="24"/>
                <w:szCs w:val="24"/>
              </w:rPr>
              <w:t>正科级</w:t>
            </w:r>
          </w:p>
        </w:tc>
        <w:tc>
          <w:tcPr>
            <w:tcW w:w="2209"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25"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秦皇岛市海港区卫生执法监督所</w:t>
            </w:r>
          </w:p>
        </w:tc>
        <w:tc>
          <w:tcPr>
            <w:tcW w:w="1470" w:type="dxa"/>
          </w:tcPr>
          <w:p>
            <w:pPr>
              <w:spacing w:before="100" w:beforeAutospacing="1" w:after="100" w:afterAutospacing="1" w:line="240" w:lineRule="auto"/>
              <w:ind w:left="0" w:leftChars="0" w:firstLine="0" w:firstLineChars="0"/>
              <w:jc w:val="center"/>
              <w:rPr>
                <w:rFonts w:ascii="仿宋" w:hAnsi="仿宋" w:eastAsia="仿宋"/>
                <w:sz w:val="24"/>
                <w:szCs w:val="24"/>
              </w:rPr>
            </w:pPr>
            <w:r>
              <w:rPr>
                <w:rFonts w:hint="eastAsia" w:ascii="仿宋" w:hAnsi="仿宋" w:eastAsia="仿宋"/>
                <w:sz w:val="24"/>
                <w:szCs w:val="24"/>
              </w:rPr>
              <w:t>事业</w:t>
            </w:r>
            <w:r>
              <w:rPr>
                <w:rFonts w:hint="eastAsia" w:ascii="仿宋" w:hAnsi="仿宋" w:eastAsia="仿宋"/>
                <w:sz w:val="24"/>
                <w:szCs w:val="24"/>
                <w:lang w:eastAsia="zh-CN"/>
              </w:rPr>
              <w:t>单位</w:t>
            </w:r>
          </w:p>
        </w:tc>
        <w:tc>
          <w:tcPr>
            <w:tcW w:w="1630" w:type="dxa"/>
          </w:tcPr>
          <w:p>
            <w:pPr>
              <w:spacing w:before="100" w:beforeAutospacing="1" w:after="100" w:afterAutospacing="1" w:line="240" w:lineRule="auto"/>
              <w:ind w:firstLine="480"/>
              <w:jc w:val="center"/>
              <w:rPr>
                <w:rFonts w:ascii="仿宋" w:hAnsi="仿宋" w:eastAsia="仿宋"/>
                <w:sz w:val="24"/>
                <w:szCs w:val="24"/>
              </w:rPr>
            </w:pPr>
            <w:r>
              <w:rPr>
                <w:rFonts w:hint="eastAsia" w:ascii="仿宋" w:hAnsi="仿宋" w:eastAsia="仿宋"/>
                <w:sz w:val="24"/>
                <w:szCs w:val="24"/>
              </w:rPr>
              <w:t>副科级</w:t>
            </w:r>
          </w:p>
        </w:tc>
        <w:tc>
          <w:tcPr>
            <w:tcW w:w="2209" w:type="dxa"/>
          </w:tcPr>
          <w:p>
            <w:pPr>
              <w:spacing w:before="100" w:beforeAutospacing="1" w:after="100" w:afterAutospacing="1" w:line="240" w:lineRule="auto"/>
              <w:ind w:left="0" w:leftChars="0" w:firstLine="0" w:firstLineChars="0"/>
              <w:rPr>
                <w:rFonts w:ascii="仿宋" w:hAnsi="仿宋" w:eastAsia="仿宋"/>
                <w:sz w:val="21"/>
                <w:szCs w:val="21"/>
              </w:rPr>
            </w:pPr>
            <w:r>
              <w:rPr>
                <w:rFonts w:hint="eastAsia" w:ascii="仿宋" w:hAnsi="仿宋" w:eastAsia="仿宋"/>
                <w:sz w:val="21"/>
                <w:szCs w:val="21"/>
              </w:rPr>
              <w:t>财政性资金基本保证</w:t>
            </w:r>
          </w:p>
        </w:tc>
      </w:tr>
      <w:bookmarkEnd w:id="41"/>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卫计部门201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卫计部门201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2"/>
      <w:bookmarkStart w:id="11" w:name="OLE_LINK1"/>
    </w:p>
    <w:bookmarkEnd w:id="10"/>
    <w:bookmarkEnd w:id="11"/>
    <w:p>
      <w:pPr>
        <w:ind w:firstLine="640"/>
        <w:rPr>
          <w:rFonts w:ascii="仿宋_GB2312"/>
          <w:szCs w:val="32"/>
        </w:rPr>
      </w:pPr>
      <w:bookmarkStart w:id="12" w:name="OLE_LINK23"/>
      <w:bookmarkStart w:id="13" w:name="OLE_LINK4"/>
      <w:bookmarkStart w:id="14" w:name="OLE_LINK3"/>
      <w:r>
        <w:rPr>
          <w:rFonts w:hint="eastAsia" w:ascii="仿宋_GB2312"/>
          <w:szCs w:val="32"/>
        </w:rPr>
        <w:t>2017年度决算收入总计13358.69万元，决算支出总计14634.57万元，</w:t>
      </w:r>
      <w:bookmarkStart w:id="15" w:name="OLE_LINK37"/>
      <w:r>
        <w:rPr>
          <w:rFonts w:hint="eastAsia" w:ascii="仿宋_GB2312"/>
          <w:szCs w:val="32"/>
        </w:rPr>
        <w:t>年初结转和结余1728.19万元，年末结转和结余452.31万元</w:t>
      </w:r>
      <w:bookmarkEnd w:id="15"/>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年度收入与年初预算对比增加4709.44万元，原因是1、人员工资调基数，加大了收入。2、专项资金提高基数，加大了支出；与2</w:t>
      </w:r>
      <w:r>
        <w:rPr>
          <w:rFonts w:ascii="仿宋_GB2312"/>
          <w:szCs w:val="32"/>
        </w:rPr>
        <w:t>016</w:t>
      </w:r>
      <w:r>
        <w:rPr>
          <w:rFonts w:hint="eastAsia" w:ascii="仿宋_GB2312"/>
          <w:szCs w:val="32"/>
        </w:rPr>
        <w:t>年度收入相比，减少1477.03万元，原因是：财政缩减资金，减少各类专项资金数额。</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年度支出与年初预算对比增加5958.32万元，原因是：基本公卫，计划生育资金提标，加大了我区配套金额；与2</w:t>
      </w:r>
      <w:r>
        <w:rPr>
          <w:rFonts w:ascii="仿宋_GB2312"/>
          <w:szCs w:val="32"/>
        </w:rPr>
        <w:t>016</w:t>
      </w:r>
      <w:r>
        <w:rPr>
          <w:rFonts w:hint="eastAsia" w:ascii="仿宋_GB2312"/>
          <w:szCs w:val="32"/>
        </w:rPr>
        <w:t>年度支出相比，增加了59.59万元，原因是：基本公卫，计划生育资金提标，加大了我区配套金额。</w:t>
      </w:r>
    </w:p>
    <w:bookmarkEnd w:id="12"/>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13358.69万元，其中：财政拨款收入13358.69万元，占总收入 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年度支出合计14634.57万元，其中：</w:t>
      </w:r>
      <w:bookmarkStart w:id="18" w:name="OLE_LINK35"/>
      <w:r>
        <w:rPr>
          <w:rFonts w:hint="eastAsia" w:ascii="仿宋" w:hAnsi="仿宋" w:eastAsia="仿宋"/>
          <w:szCs w:val="32"/>
        </w:rPr>
        <w:t>基本支出 8792.13万元，占总支出60%；</w:t>
      </w:r>
      <w:bookmarkEnd w:id="18"/>
      <w:r>
        <w:rPr>
          <w:rFonts w:hint="eastAsia" w:ascii="仿宋" w:hAnsi="仿宋" w:eastAsia="仿宋"/>
          <w:szCs w:val="32"/>
        </w:rPr>
        <w:t>项目支出5842.43万元，占总支出40%。</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13358.69</w:t>
      </w:r>
      <w:r>
        <w:rPr>
          <w:rFonts w:hint="eastAsia" w:ascii="仿宋_GB2312"/>
          <w:szCs w:val="32"/>
        </w:rPr>
        <w:t>万元，财政拨款支出决算总计</w:t>
      </w:r>
      <w:r>
        <w:rPr>
          <w:rFonts w:hint="eastAsia" w:ascii="仿宋" w:hAnsi="仿宋" w:eastAsia="仿宋"/>
          <w:szCs w:val="32"/>
        </w:rPr>
        <w:t>14634.57</w:t>
      </w:r>
      <w:r>
        <w:rPr>
          <w:rFonts w:hint="eastAsia" w:ascii="仿宋_GB2312"/>
          <w:szCs w:val="32"/>
        </w:rPr>
        <w:t>万元，年初结转和结余1728.19万元，年末结转和结余452.31万元。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年度财政拨款收入与年初预算对比增加4709.44万元，原因是：1、人员工资调基数，增加了收入。2、专项资金提高比例，加大了支出；与2</w:t>
      </w:r>
      <w:r>
        <w:rPr>
          <w:rFonts w:ascii="仿宋_GB2312"/>
          <w:szCs w:val="32"/>
        </w:rPr>
        <w:t>016</w:t>
      </w:r>
      <w:r>
        <w:rPr>
          <w:rFonts w:hint="eastAsia" w:ascii="仿宋_GB2312"/>
          <w:szCs w:val="32"/>
        </w:rPr>
        <w:t>年度相比，减少1477.03万元，原因是：财政缩减资金，减少了各类专项资金数额。</w:t>
      </w:r>
      <w:bookmarkEnd w:id="19"/>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年度财政拨款支出与年初预算对比增加5985.32万元，原因是：基本公卫，计划生育等专项资金提高标准，与预算数相比加大了支出数额；与2</w:t>
      </w:r>
      <w:r>
        <w:rPr>
          <w:rFonts w:ascii="仿宋_GB2312"/>
          <w:szCs w:val="32"/>
        </w:rPr>
        <w:t>016</w:t>
      </w:r>
      <w:r>
        <w:rPr>
          <w:rFonts w:hint="eastAsia" w:ascii="仿宋_GB2312"/>
          <w:szCs w:val="32"/>
        </w:rPr>
        <w:t>年度支出相比，增加59.59万元，原因是：基本公卫，计划生育等专项资金提高标准。</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jc w:val="center"/>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22.55</w:t>
            </w:r>
          </w:p>
        </w:tc>
        <w:tc>
          <w:tcPr>
            <w:tcW w:w="1446" w:type="dxa"/>
          </w:tcPr>
          <w:p>
            <w:pPr>
              <w:ind w:firstLine="0" w:firstLineChars="0"/>
              <w:jc w:val="center"/>
              <w:rPr>
                <w:rFonts w:ascii="仿宋_GB2312"/>
                <w:sz w:val="24"/>
                <w:szCs w:val="24"/>
              </w:rPr>
            </w:pPr>
            <w:r>
              <w:rPr>
                <w:rFonts w:hint="eastAsia" w:ascii="仿宋_GB2312"/>
                <w:sz w:val="24"/>
                <w:szCs w:val="24"/>
              </w:rPr>
              <w:t>25.52</w:t>
            </w:r>
          </w:p>
        </w:tc>
        <w:tc>
          <w:tcPr>
            <w:tcW w:w="1446" w:type="dxa"/>
          </w:tcPr>
          <w:p>
            <w:pPr>
              <w:ind w:firstLine="0" w:firstLineChars="0"/>
              <w:jc w:val="center"/>
              <w:rPr>
                <w:rFonts w:ascii="仿宋_GB2312"/>
                <w:sz w:val="24"/>
                <w:szCs w:val="24"/>
              </w:rPr>
            </w:pPr>
            <w:r>
              <w:rPr>
                <w:rFonts w:hint="eastAsia" w:ascii="仿宋_GB2312"/>
                <w:sz w:val="24"/>
                <w:szCs w:val="24"/>
              </w:rPr>
              <w:t>38.48</w:t>
            </w:r>
          </w:p>
        </w:tc>
        <w:tc>
          <w:tcPr>
            <w:tcW w:w="1474" w:type="dxa"/>
          </w:tcPr>
          <w:p>
            <w:pPr>
              <w:ind w:firstLine="0" w:firstLineChars="0"/>
              <w:jc w:val="center"/>
              <w:rPr>
                <w:rFonts w:ascii="仿宋_GB2312"/>
                <w:sz w:val="24"/>
                <w:szCs w:val="24"/>
              </w:rPr>
            </w:pPr>
            <w:r>
              <w:rPr>
                <w:rFonts w:hint="eastAsia" w:ascii="仿宋_GB2312"/>
                <w:sz w:val="24"/>
                <w:szCs w:val="24"/>
              </w:rPr>
              <w:t>减少2.97</w:t>
            </w:r>
          </w:p>
        </w:tc>
        <w:tc>
          <w:tcPr>
            <w:tcW w:w="1417" w:type="dxa"/>
          </w:tcPr>
          <w:p>
            <w:pPr>
              <w:ind w:firstLine="0" w:firstLineChars="0"/>
              <w:jc w:val="center"/>
              <w:rPr>
                <w:rFonts w:ascii="仿宋_GB2312"/>
                <w:sz w:val="24"/>
                <w:szCs w:val="24"/>
              </w:rPr>
            </w:pPr>
            <w:r>
              <w:rPr>
                <w:rFonts w:hint="eastAsia" w:ascii="仿宋_GB2312"/>
                <w:sz w:val="24"/>
                <w:szCs w:val="24"/>
              </w:rPr>
              <w:t>减少15.93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jc w:val="center"/>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jc w:val="center"/>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22.55</w:t>
            </w:r>
          </w:p>
        </w:tc>
        <w:tc>
          <w:tcPr>
            <w:tcW w:w="1446" w:type="dxa"/>
          </w:tcPr>
          <w:p>
            <w:pPr>
              <w:ind w:firstLine="0" w:firstLineChars="0"/>
              <w:jc w:val="center"/>
              <w:rPr>
                <w:rFonts w:ascii="仿宋_GB2312"/>
                <w:sz w:val="24"/>
                <w:szCs w:val="24"/>
              </w:rPr>
            </w:pPr>
            <w:r>
              <w:rPr>
                <w:rFonts w:hint="eastAsia" w:ascii="仿宋_GB2312"/>
                <w:sz w:val="24"/>
                <w:szCs w:val="24"/>
              </w:rPr>
              <w:t>21.1</w:t>
            </w:r>
          </w:p>
        </w:tc>
        <w:tc>
          <w:tcPr>
            <w:tcW w:w="1446" w:type="dxa"/>
          </w:tcPr>
          <w:p>
            <w:pPr>
              <w:ind w:firstLine="0" w:firstLineChars="0"/>
              <w:jc w:val="center"/>
              <w:rPr>
                <w:rFonts w:ascii="仿宋_GB2312"/>
                <w:sz w:val="24"/>
                <w:szCs w:val="24"/>
              </w:rPr>
            </w:pPr>
            <w:r>
              <w:rPr>
                <w:rFonts w:hint="eastAsia" w:ascii="仿宋_GB2312"/>
                <w:sz w:val="24"/>
                <w:szCs w:val="24"/>
              </w:rPr>
              <w:t>37.99</w:t>
            </w:r>
          </w:p>
        </w:tc>
        <w:tc>
          <w:tcPr>
            <w:tcW w:w="1474" w:type="dxa"/>
          </w:tcPr>
          <w:p>
            <w:pPr>
              <w:ind w:firstLine="0" w:firstLineChars="0"/>
              <w:jc w:val="center"/>
              <w:rPr>
                <w:rFonts w:ascii="仿宋_GB2312"/>
                <w:sz w:val="24"/>
                <w:szCs w:val="24"/>
              </w:rPr>
            </w:pPr>
            <w:r>
              <w:rPr>
                <w:rFonts w:hint="eastAsia" w:ascii="仿宋_GB2312"/>
                <w:sz w:val="24"/>
                <w:szCs w:val="24"/>
              </w:rPr>
              <w:t>增加1.45</w:t>
            </w:r>
          </w:p>
        </w:tc>
        <w:tc>
          <w:tcPr>
            <w:tcW w:w="1417" w:type="dxa"/>
          </w:tcPr>
          <w:p>
            <w:pPr>
              <w:ind w:firstLine="0" w:firstLineChars="0"/>
              <w:jc w:val="center"/>
              <w:rPr>
                <w:rFonts w:ascii="仿宋_GB2312"/>
                <w:sz w:val="24"/>
                <w:szCs w:val="24"/>
              </w:rPr>
            </w:pPr>
            <w:r>
              <w:rPr>
                <w:rFonts w:hint="eastAsia" w:ascii="仿宋_GB2312"/>
                <w:sz w:val="24"/>
                <w:szCs w:val="24"/>
              </w:rPr>
              <w:t>减少15.44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jc w:val="center"/>
              <w:rPr>
                <w:rFonts w:ascii="仿宋_GB2312"/>
                <w:sz w:val="24"/>
                <w:szCs w:val="24"/>
              </w:rPr>
            </w:pPr>
            <w:bookmarkStart w:id="20"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jc w:val="center"/>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22.55</w:t>
            </w:r>
          </w:p>
        </w:tc>
        <w:tc>
          <w:tcPr>
            <w:tcW w:w="1446" w:type="dxa"/>
          </w:tcPr>
          <w:p>
            <w:pPr>
              <w:ind w:firstLine="0" w:firstLineChars="0"/>
              <w:jc w:val="center"/>
              <w:rPr>
                <w:rFonts w:ascii="仿宋_GB2312"/>
                <w:sz w:val="24"/>
                <w:szCs w:val="24"/>
              </w:rPr>
            </w:pPr>
            <w:r>
              <w:rPr>
                <w:rFonts w:hint="eastAsia" w:ascii="仿宋_GB2312"/>
                <w:sz w:val="24"/>
                <w:szCs w:val="24"/>
              </w:rPr>
              <w:t>21.1</w:t>
            </w:r>
          </w:p>
        </w:tc>
        <w:tc>
          <w:tcPr>
            <w:tcW w:w="1446" w:type="dxa"/>
          </w:tcPr>
          <w:p>
            <w:pPr>
              <w:ind w:firstLine="0" w:firstLineChars="0"/>
              <w:jc w:val="center"/>
              <w:rPr>
                <w:rFonts w:ascii="仿宋_GB2312"/>
                <w:sz w:val="24"/>
                <w:szCs w:val="24"/>
              </w:rPr>
            </w:pPr>
            <w:r>
              <w:rPr>
                <w:rFonts w:hint="eastAsia" w:ascii="仿宋_GB2312"/>
                <w:sz w:val="24"/>
                <w:szCs w:val="24"/>
              </w:rPr>
              <w:t>37.99</w:t>
            </w:r>
          </w:p>
        </w:tc>
        <w:tc>
          <w:tcPr>
            <w:tcW w:w="1474" w:type="dxa"/>
          </w:tcPr>
          <w:p>
            <w:pPr>
              <w:ind w:firstLine="0" w:firstLineChars="0"/>
              <w:jc w:val="center"/>
              <w:rPr>
                <w:rFonts w:ascii="仿宋_GB2312"/>
                <w:sz w:val="24"/>
                <w:szCs w:val="24"/>
              </w:rPr>
            </w:pPr>
            <w:r>
              <w:rPr>
                <w:rFonts w:hint="eastAsia" w:ascii="仿宋_GB2312"/>
                <w:sz w:val="24"/>
                <w:szCs w:val="24"/>
              </w:rPr>
              <w:t>增加1.45</w:t>
            </w:r>
          </w:p>
        </w:tc>
        <w:tc>
          <w:tcPr>
            <w:tcW w:w="1417" w:type="dxa"/>
          </w:tcPr>
          <w:p>
            <w:pPr>
              <w:ind w:firstLine="0" w:firstLineChars="0"/>
              <w:jc w:val="center"/>
              <w:rPr>
                <w:rFonts w:ascii="仿宋_GB2312"/>
                <w:sz w:val="24"/>
                <w:szCs w:val="24"/>
              </w:rPr>
            </w:pPr>
            <w:r>
              <w:rPr>
                <w:rFonts w:hint="eastAsia" w:ascii="仿宋_GB2312"/>
                <w:sz w:val="24"/>
                <w:szCs w:val="24"/>
              </w:rPr>
              <w:t>减少15.44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jc w:val="center"/>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4.42</w:t>
            </w:r>
          </w:p>
        </w:tc>
        <w:tc>
          <w:tcPr>
            <w:tcW w:w="1446" w:type="dxa"/>
          </w:tcPr>
          <w:p>
            <w:pPr>
              <w:ind w:firstLine="0" w:firstLineChars="0"/>
              <w:jc w:val="center"/>
              <w:rPr>
                <w:rFonts w:ascii="仿宋_GB2312"/>
                <w:sz w:val="24"/>
                <w:szCs w:val="24"/>
              </w:rPr>
            </w:pPr>
            <w:r>
              <w:rPr>
                <w:rFonts w:hint="eastAsia" w:ascii="仿宋_GB2312"/>
                <w:sz w:val="24"/>
                <w:szCs w:val="24"/>
              </w:rPr>
              <w:t>0.49</w:t>
            </w:r>
          </w:p>
        </w:tc>
        <w:tc>
          <w:tcPr>
            <w:tcW w:w="1474" w:type="dxa"/>
          </w:tcPr>
          <w:p>
            <w:pPr>
              <w:ind w:firstLine="0" w:firstLineChars="0"/>
              <w:jc w:val="center"/>
              <w:rPr>
                <w:rFonts w:ascii="仿宋_GB2312"/>
                <w:sz w:val="24"/>
                <w:szCs w:val="24"/>
              </w:rPr>
            </w:pPr>
            <w:r>
              <w:rPr>
                <w:rFonts w:hint="eastAsia" w:ascii="仿宋_GB2312"/>
                <w:sz w:val="24"/>
                <w:szCs w:val="24"/>
              </w:rPr>
              <w:t>减少0.49</w:t>
            </w:r>
          </w:p>
        </w:tc>
        <w:tc>
          <w:tcPr>
            <w:tcW w:w="1417" w:type="dxa"/>
          </w:tcPr>
          <w:p>
            <w:pPr>
              <w:ind w:firstLine="0" w:firstLineChars="0"/>
              <w:jc w:val="center"/>
              <w:rPr>
                <w:rFonts w:ascii="仿宋_GB2312"/>
                <w:sz w:val="24"/>
                <w:szCs w:val="24"/>
              </w:rPr>
            </w:pPr>
            <w:r>
              <w:rPr>
                <w:rFonts w:hint="eastAsia" w:ascii="仿宋_GB2312"/>
                <w:sz w:val="24"/>
                <w:szCs w:val="24"/>
              </w:rPr>
              <w:t>减少4.49</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年度“三公经费”支出总额22.55万元，与年初预算相比减少2.97万元，</w:t>
      </w:r>
      <w:bookmarkStart w:id="21" w:name="OLE_LINK39"/>
      <w:bookmarkStart w:id="22" w:name="OLE_LINK38"/>
      <w:bookmarkStart w:id="23" w:name="OLE_LINK10"/>
      <w:bookmarkStart w:id="24" w:name="OLE_LINK8"/>
      <w:r>
        <w:rPr>
          <w:rFonts w:hint="eastAsia" w:ascii="仿宋_GB2312"/>
          <w:szCs w:val="32"/>
        </w:rPr>
        <w:t>降低11.6%</w:t>
      </w:r>
      <w:bookmarkEnd w:id="21"/>
      <w:bookmarkEnd w:id="22"/>
      <w:r>
        <w:rPr>
          <w:rFonts w:hint="eastAsia" w:ascii="仿宋_GB2312"/>
          <w:szCs w:val="32"/>
        </w:rPr>
        <w:t>，</w:t>
      </w:r>
      <w:bookmarkEnd w:id="23"/>
      <w:bookmarkEnd w:id="24"/>
      <w:r>
        <w:rPr>
          <w:rFonts w:hint="eastAsia" w:ascii="仿宋_GB2312"/>
          <w:szCs w:val="32"/>
        </w:rPr>
        <w:t>原因是：减少了公务接待费用的支出</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年度决算数相比减少15.93万元，降低41%，原因是：财政缩减三公经费的支出。</w:t>
      </w:r>
    </w:p>
    <w:p>
      <w:pPr>
        <w:ind w:firstLine="643"/>
        <w:rPr>
          <w:rFonts w:ascii="仿宋_GB2312"/>
          <w:szCs w:val="32"/>
        </w:rPr>
      </w:pPr>
      <w:bookmarkStart w:id="25"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6" w:name="OLE_LINK17"/>
      <w:r>
        <w:rPr>
          <w:rFonts w:hint="eastAsia" w:ascii="仿宋_GB2312"/>
          <w:szCs w:val="32"/>
        </w:rPr>
        <w:t>度因公出国（境）</w:t>
      </w:r>
      <w:bookmarkStart w:id="27" w:name="OLE_LINK15"/>
      <w:bookmarkStart w:id="28" w:name="OLE_LINK16"/>
      <w:r>
        <w:rPr>
          <w:rFonts w:hint="eastAsia" w:ascii="仿宋_GB2312"/>
          <w:szCs w:val="32"/>
        </w:rPr>
        <w:t>费</w:t>
      </w:r>
      <w:bookmarkEnd w:id="26"/>
      <w:r>
        <w:rPr>
          <w:rFonts w:hint="eastAsia" w:ascii="仿宋_GB2312"/>
          <w:szCs w:val="32"/>
        </w:rPr>
        <w:t>0万元</w:t>
      </w:r>
      <w:bookmarkEnd w:id="27"/>
      <w:bookmarkEnd w:id="28"/>
      <w:r>
        <w:rPr>
          <w:rFonts w:hint="eastAsia" w:ascii="仿宋_GB2312"/>
          <w:szCs w:val="32"/>
        </w:rPr>
        <w:t>，与年初预算相比增加0万元，增长0%，原因是：2017年没有该项支出，年初预算未安排，与2</w:t>
      </w:r>
      <w:r>
        <w:rPr>
          <w:rFonts w:ascii="仿宋_GB2312"/>
          <w:szCs w:val="32"/>
        </w:rPr>
        <w:t>016</w:t>
      </w:r>
      <w:r>
        <w:rPr>
          <w:rFonts w:hint="eastAsia" w:ascii="仿宋_GB2312"/>
          <w:szCs w:val="32"/>
        </w:rPr>
        <w:t>年度决算数相比增加0万元，增长0%，原因是：</w:t>
      </w:r>
      <w:bookmarkEnd w:id="25"/>
      <w:bookmarkStart w:id="29" w:name="OLE_LINK9"/>
      <w:r>
        <w:rPr>
          <w:rFonts w:hint="eastAsia" w:ascii="仿宋_GB2312"/>
          <w:szCs w:val="32"/>
        </w:rPr>
        <w:t>2016年没有该项支出。</w:t>
      </w:r>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30" w:name="OLE_LINK19"/>
      <w:bookmarkStart w:id="31" w:name="OLE_LINK18"/>
      <w:r>
        <w:rPr>
          <w:rFonts w:hint="eastAsia" w:ascii="仿宋_GB2312"/>
          <w:szCs w:val="32"/>
        </w:rPr>
        <w:t>度公务用车购置及运行维护费</w:t>
      </w:r>
      <w:bookmarkEnd w:id="30"/>
      <w:bookmarkEnd w:id="31"/>
      <w:r>
        <w:rPr>
          <w:rFonts w:hint="eastAsia" w:ascii="仿宋_GB2312"/>
          <w:szCs w:val="32"/>
        </w:rPr>
        <w:t>22.55万元，与年初预算相比增加1.45万元，增长3.8%，原因是：业务用车车辆数多，增加了汽油费用，与2</w:t>
      </w:r>
      <w:r>
        <w:rPr>
          <w:rFonts w:ascii="仿宋_GB2312"/>
          <w:szCs w:val="32"/>
        </w:rPr>
        <w:t>016</w:t>
      </w:r>
      <w:r>
        <w:rPr>
          <w:rFonts w:hint="eastAsia" w:ascii="仿宋_GB2312"/>
          <w:szCs w:val="32"/>
        </w:rPr>
        <w:t>年度决算数相比减少15.44万元，降低40.6%，原因是：</w:t>
      </w:r>
      <w:bookmarkEnd w:id="29"/>
      <w:r>
        <w:rPr>
          <w:rFonts w:hint="eastAsia" w:ascii="仿宋_GB2312"/>
          <w:szCs w:val="32"/>
        </w:rPr>
        <w:t>控制了车辆的相关费用支出。</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2" w:name="OLE_LINK20"/>
      <w:r>
        <w:rPr>
          <w:rFonts w:hint="eastAsia" w:ascii="仿宋_GB2312"/>
          <w:szCs w:val="32"/>
        </w:rPr>
        <w:t>度公务接待费</w:t>
      </w:r>
      <w:bookmarkEnd w:id="32"/>
      <w:r>
        <w:rPr>
          <w:rFonts w:hint="eastAsia" w:ascii="仿宋_GB2312"/>
          <w:szCs w:val="32"/>
        </w:rPr>
        <w:t>0万元，与年初预算相比减少4.42万元，降低</w:t>
      </w:r>
      <w:bookmarkStart w:id="33" w:name="OLE_LINK43"/>
      <w:bookmarkStart w:id="34" w:name="OLE_LINK41"/>
      <w:bookmarkStart w:id="35" w:name="OLE_LINK40"/>
      <w:bookmarkStart w:id="36" w:name="OLE_LINK42"/>
      <w:r>
        <w:rPr>
          <w:rFonts w:hint="eastAsia" w:ascii="仿宋_GB2312"/>
          <w:szCs w:val="32"/>
        </w:rPr>
        <w:t>100%</w:t>
      </w:r>
      <w:bookmarkEnd w:id="33"/>
      <w:bookmarkEnd w:id="34"/>
      <w:bookmarkEnd w:id="35"/>
      <w:bookmarkEnd w:id="36"/>
      <w:r>
        <w:rPr>
          <w:rFonts w:hint="eastAsia" w:ascii="仿宋_GB2312"/>
          <w:szCs w:val="32"/>
        </w:rPr>
        <w:t>，原因是2017年没有公务接待支出，与2</w:t>
      </w:r>
      <w:r>
        <w:rPr>
          <w:rFonts w:ascii="仿宋_GB2312"/>
          <w:szCs w:val="32"/>
        </w:rPr>
        <w:t>016</w:t>
      </w:r>
      <w:r>
        <w:rPr>
          <w:rFonts w:hint="eastAsia" w:ascii="仿宋_GB2312"/>
          <w:szCs w:val="32"/>
        </w:rPr>
        <w:t>年度决算数相比减少0.49万元，降低100%，原因是：2017年没有公务接待项目支出。</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1．公务用车购置数量为0辆，公务用车保有量14辆；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jc w:val="left"/>
        <w:rPr>
          <w:rFonts w:ascii="仿宋" w:hAnsi="仿宋" w:eastAsia="仿宋" w:cs="仿宋_GB2312"/>
          <w:szCs w:val="32"/>
        </w:rPr>
      </w:pPr>
      <w:r>
        <w:rPr>
          <w:rFonts w:hint="eastAsia" w:ascii="仿宋" w:hAnsi="仿宋" w:eastAsia="仿宋" w:cs="仿宋_GB2312"/>
          <w:szCs w:val="32"/>
        </w:rPr>
        <w:t>我</w:t>
      </w:r>
      <w:r>
        <w:rPr>
          <w:rFonts w:hint="eastAsia" w:ascii="仿宋" w:hAnsi="仿宋" w:eastAsia="仿宋" w:cs="仿宋"/>
          <w:szCs w:val="32"/>
        </w:rPr>
        <w:t>部门</w:t>
      </w:r>
      <w:r>
        <w:rPr>
          <w:rFonts w:hint="eastAsia" w:ascii="仿宋" w:hAnsi="仿宋" w:eastAsia="仿宋" w:cs="仿宋_GB2312"/>
          <w:szCs w:val="32"/>
        </w:rPr>
        <w:t>绩效预算执行情况通过部门决算软件进行测评后得分为70.5分，主要减分原因为：</w:t>
      </w:r>
    </w:p>
    <w:p>
      <w:pPr>
        <w:ind w:firstLine="480" w:firstLineChars="150"/>
        <w:jc w:val="left"/>
        <w:rPr>
          <w:rFonts w:ascii="仿宋" w:hAnsi="仿宋" w:eastAsia="仿宋" w:cs="Arial"/>
          <w:color w:val="000000"/>
          <w:kern w:val="0"/>
          <w:szCs w:val="32"/>
        </w:rPr>
      </w:pPr>
      <w:r>
        <w:rPr>
          <w:rFonts w:hint="eastAsia" w:ascii="仿宋" w:hAnsi="仿宋" w:eastAsia="仿宋" w:cs="Arial"/>
          <w:color w:val="000000"/>
          <w:kern w:val="0"/>
          <w:szCs w:val="32"/>
        </w:rPr>
        <w:t>1、财政拨款收入预决算差异率减8.5分。原因是当年基本工资标准调整人员性支出大幅增加等原因导致我单位本年实际收入大于年初预算。2、年初结转和结余预决算差异率减5分。原因为本年财政拨款结转同比上年有所增加。3、财政拨款结转和结余率减0.5分。原因为本年财政拨款结转同比上年增加。4、财政收回存量资金占上年财政拨款结余比率减2.5分。原因为部分项目未进行，无法进行资金支出5、三公经费支出预决算差异率减5分。主要原因为因公出国和招待费未支出，公务用车维护费由于车辆数大，增加了支出6、人员经费预决算差异率减3分，主要是由于未核算卫生院退休人员经费，导致数额有出入。7、公用经费预决算差异率减2分，主要是上年公用经费支出有结余，本年支出进度慢。8、在职人员控制率减3分。</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年度本部门机关运行经费支出888.9万元，比201</w:t>
      </w:r>
      <w:r>
        <w:rPr>
          <w:rFonts w:ascii="仿宋_GB2312"/>
          <w:szCs w:val="32"/>
        </w:rPr>
        <w:t>6</w:t>
      </w:r>
      <w:r>
        <w:rPr>
          <w:rFonts w:hint="eastAsia" w:ascii="仿宋_GB2312"/>
          <w:szCs w:val="32"/>
        </w:rPr>
        <w:t>年度减少273.35万元，</w:t>
      </w:r>
      <w:bookmarkStart w:id="37" w:name="OLE_LINK6"/>
      <w:r>
        <w:rPr>
          <w:rFonts w:hint="eastAsia" w:ascii="仿宋_GB2312"/>
          <w:szCs w:val="32"/>
        </w:rPr>
        <w:t>降低24%</w:t>
      </w:r>
      <w:bookmarkEnd w:id="37"/>
      <w:r>
        <w:rPr>
          <w:rFonts w:hint="eastAsia" w:ascii="仿宋_GB2312"/>
          <w:szCs w:val="32"/>
        </w:rPr>
        <w:t>。主要原因是：缩减办公经费数额。</w:t>
      </w:r>
    </w:p>
    <w:p>
      <w:pPr>
        <w:ind w:firstLine="643"/>
        <w:rPr>
          <w:rFonts w:hint="eastAsia"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年度本部门政府采购支出总额649.31万元，其中：政府采购货物支出130.18万元、政府采购工程支出183.85万元、政府采购服务支出335.28万元。</w:t>
      </w:r>
    </w:p>
    <w:p>
      <w:pPr>
        <w:ind w:firstLine="643"/>
        <w:rPr>
          <w:rFonts w:ascii="仿宋" w:hAnsi="仿宋" w:eastAsia="仿宋"/>
          <w:b/>
          <w:szCs w:val="32"/>
        </w:rPr>
      </w:pPr>
      <w:r>
        <w:rPr>
          <w:rFonts w:hint="eastAsia" w:ascii="仿宋" w:hAnsi="仿宋" w:eastAsia="仿宋"/>
          <w:b/>
          <w:szCs w:val="32"/>
        </w:rPr>
        <w:t>3．国有资产占用情况。</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年12月31日，本部门共有车辆14辆，其中，一般公务用车2辆、一般执法执勤用车12辆、特种专业技术用车0辆、其他用车0辆，单位价值200万元以上大型设备0台。</w:t>
      </w:r>
    </w:p>
    <w:p>
      <w:pPr>
        <w:ind w:firstLine="643"/>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p>
    <w:tbl>
      <w:tblPr>
        <w:tblStyle w:val="4"/>
        <w:tblW w:w="15146" w:type="dxa"/>
        <w:jc w:val="center"/>
        <w:tblInd w:w="0" w:type="dxa"/>
        <w:tblLayout w:type="fixed"/>
        <w:tblCellMar>
          <w:top w:w="0" w:type="dxa"/>
          <w:left w:w="108" w:type="dxa"/>
          <w:bottom w:w="0" w:type="dxa"/>
          <w:right w:w="108" w:type="dxa"/>
        </w:tblCellMar>
      </w:tblPr>
      <w:tblGrid>
        <w:gridCol w:w="4566"/>
        <w:gridCol w:w="656"/>
        <w:gridCol w:w="876"/>
        <w:gridCol w:w="986"/>
        <w:gridCol w:w="986"/>
        <w:gridCol w:w="986"/>
        <w:gridCol w:w="4616"/>
        <w:gridCol w:w="656"/>
        <w:gridCol w:w="818"/>
      </w:tblGrid>
      <w:tr>
        <w:tblPrEx>
          <w:tblLayout w:type="fixed"/>
          <w:tblCellMar>
            <w:top w:w="0" w:type="dxa"/>
            <w:left w:w="108" w:type="dxa"/>
            <w:bottom w:w="0" w:type="dxa"/>
            <w:right w:w="108" w:type="dxa"/>
          </w:tblCellMar>
        </w:tblPrEx>
        <w:trPr>
          <w:trHeight w:val="402" w:hRule="atLeast"/>
          <w:jc w:val="center"/>
        </w:trPr>
        <w:tc>
          <w:tcPr>
            <w:tcW w:w="45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86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09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09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1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2972.30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1188.84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2070.16</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294.16</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902.14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894.68</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38"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1060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1060.68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530.34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530.34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1060</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1060.68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530.34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530.34</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41.33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41.33</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41.33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41.33</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330.48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323.01</w:t>
            </w: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38"/>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1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566"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1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1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年12月31日，固定资产894.68万元，与2016年相比减少7.46万元，主要原因是：一批办公设备到达使用年限且无法使用，进行报废处置，价值7.46万元。</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年12月31日，本部门共有车辆14辆，其中，一般公务用车2辆、一般执法执勤用车12辆、特种专业技术用车0辆、其他用车0辆，单位价值200万元以上大型设备0台。</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szCs w:val="32"/>
        </w:rPr>
      </w:pPr>
      <w:r>
        <w:rPr>
          <w:rFonts w:hint="eastAsia" w:ascii="仿宋" w:hAnsi="仿宋" w:eastAsia="仿宋"/>
          <w:szCs w:val="32"/>
        </w:rPr>
        <w:t>会议费支出情况。</w:t>
      </w:r>
      <w:bookmarkStart w:id="39" w:name="OLE_LINK47"/>
      <w:bookmarkStart w:id="40" w:name="OLE_LINK46"/>
      <w:r>
        <w:rPr>
          <w:rFonts w:hint="eastAsia" w:ascii="仿宋" w:hAnsi="仿宋" w:eastAsia="仿宋"/>
          <w:szCs w:val="32"/>
        </w:rPr>
        <w:t>2017年会议费总计0万元，2016年支出为0万元。</w:t>
      </w:r>
      <w:bookmarkEnd w:id="39"/>
      <w:bookmarkEnd w:id="40"/>
      <w:r>
        <w:rPr>
          <w:rFonts w:hint="eastAsia" w:ascii="仿宋" w:hAnsi="仿宋" w:eastAsia="仿宋"/>
          <w:szCs w:val="32"/>
        </w:rPr>
        <w:t>原因为：2017年未发生会议费，2016年也未发生会议费。</w:t>
      </w:r>
    </w:p>
    <w:p>
      <w:pPr>
        <w:ind w:firstLine="640"/>
        <w:rPr>
          <w:rFonts w:ascii="仿宋_GB2312"/>
          <w:szCs w:val="32"/>
        </w:rPr>
      </w:pPr>
      <w:r>
        <w:rPr>
          <w:rFonts w:hint="eastAsia" w:ascii="仿宋" w:hAnsi="仿宋" w:eastAsia="仿宋"/>
          <w:szCs w:val="32"/>
        </w:rPr>
        <w:t>培训费支出情况。2017年培训费总计0万元，2016年支出为0万元。原因为：2017年未发生培训费，2016年也未发生培训费。</w:t>
      </w:r>
    </w:p>
    <w:p>
      <w:pPr>
        <w:widowControl/>
        <w:spacing w:line="580" w:lineRule="exact"/>
        <w:ind w:firstLine="643"/>
        <w:rPr>
          <w:rFonts w:ascii="仿宋_GB2312"/>
          <w:b/>
          <w:szCs w:val="32"/>
        </w:rPr>
      </w:pP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10</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14</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5B7"/>
    <w:multiLevelType w:val="multilevel"/>
    <w:tmpl w:val="0C0545B7"/>
    <w:lvl w:ilvl="0" w:tentative="0">
      <w:start w:val="1"/>
      <w:numFmt w:val="japaneseCounting"/>
      <w:lvlText w:val="%1、"/>
      <w:lvlJc w:val="left"/>
      <w:pPr>
        <w:ind w:left="1994" w:hanging="720"/>
      </w:pPr>
      <w:rPr>
        <w:rFonts w:hint="default"/>
        <w:lang w:val="en-US"/>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2ED9"/>
    <w:rsid w:val="00005A31"/>
    <w:rsid w:val="000244B1"/>
    <w:rsid w:val="0003209B"/>
    <w:rsid w:val="00054C53"/>
    <w:rsid w:val="000666C0"/>
    <w:rsid w:val="0007561C"/>
    <w:rsid w:val="000925ED"/>
    <w:rsid w:val="000C50B0"/>
    <w:rsid w:val="000F00FD"/>
    <w:rsid w:val="00103253"/>
    <w:rsid w:val="0011224D"/>
    <w:rsid w:val="00127C8F"/>
    <w:rsid w:val="00155A0C"/>
    <w:rsid w:val="00163BC4"/>
    <w:rsid w:val="00172A9E"/>
    <w:rsid w:val="00175A3A"/>
    <w:rsid w:val="0017741E"/>
    <w:rsid w:val="0019263B"/>
    <w:rsid w:val="001C0395"/>
    <w:rsid w:val="001F41FA"/>
    <w:rsid w:val="00204503"/>
    <w:rsid w:val="00231700"/>
    <w:rsid w:val="00271D6D"/>
    <w:rsid w:val="0027309A"/>
    <w:rsid w:val="00273E03"/>
    <w:rsid w:val="0029596B"/>
    <w:rsid w:val="002A3356"/>
    <w:rsid w:val="002D1C92"/>
    <w:rsid w:val="002F211D"/>
    <w:rsid w:val="00305FCB"/>
    <w:rsid w:val="00310A7C"/>
    <w:rsid w:val="00312F9F"/>
    <w:rsid w:val="003155B1"/>
    <w:rsid w:val="003209A7"/>
    <w:rsid w:val="003B2393"/>
    <w:rsid w:val="003D144F"/>
    <w:rsid w:val="003F6043"/>
    <w:rsid w:val="00402A01"/>
    <w:rsid w:val="00404BA5"/>
    <w:rsid w:val="00405DD5"/>
    <w:rsid w:val="00443128"/>
    <w:rsid w:val="00450D4D"/>
    <w:rsid w:val="00471640"/>
    <w:rsid w:val="004A407E"/>
    <w:rsid w:val="004E7B5F"/>
    <w:rsid w:val="004F1F8E"/>
    <w:rsid w:val="004F4B86"/>
    <w:rsid w:val="00502034"/>
    <w:rsid w:val="005046AD"/>
    <w:rsid w:val="005462E5"/>
    <w:rsid w:val="00562ED9"/>
    <w:rsid w:val="00593550"/>
    <w:rsid w:val="00594763"/>
    <w:rsid w:val="005C39CD"/>
    <w:rsid w:val="005C5A21"/>
    <w:rsid w:val="005C7CFB"/>
    <w:rsid w:val="005E2EB4"/>
    <w:rsid w:val="005E382E"/>
    <w:rsid w:val="00630D6A"/>
    <w:rsid w:val="00632195"/>
    <w:rsid w:val="006508EE"/>
    <w:rsid w:val="00661402"/>
    <w:rsid w:val="00661FC6"/>
    <w:rsid w:val="00671803"/>
    <w:rsid w:val="00682F9B"/>
    <w:rsid w:val="006A1D43"/>
    <w:rsid w:val="006B012E"/>
    <w:rsid w:val="006C00CA"/>
    <w:rsid w:val="006D6A17"/>
    <w:rsid w:val="006F5699"/>
    <w:rsid w:val="006F7A05"/>
    <w:rsid w:val="00712D5F"/>
    <w:rsid w:val="00744B46"/>
    <w:rsid w:val="00746674"/>
    <w:rsid w:val="007725EC"/>
    <w:rsid w:val="0079577D"/>
    <w:rsid w:val="007C4984"/>
    <w:rsid w:val="007D592B"/>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2010"/>
    <w:rsid w:val="00A05198"/>
    <w:rsid w:val="00A11268"/>
    <w:rsid w:val="00A13A55"/>
    <w:rsid w:val="00A266EB"/>
    <w:rsid w:val="00A4272B"/>
    <w:rsid w:val="00A513A6"/>
    <w:rsid w:val="00A51858"/>
    <w:rsid w:val="00A93803"/>
    <w:rsid w:val="00AA1A6C"/>
    <w:rsid w:val="00AA33A5"/>
    <w:rsid w:val="00AB34E3"/>
    <w:rsid w:val="00AC76D6"/>
    <w:rsid w:val="00AF2C1C"/>
    <w:rsid w:val="00B146E5"/>
    <w:rsid w:val="00B42B02"/>
    <w:rsid w:val="00B701EF"/>
    <w:rsid w:val="00B72BF5"/>
    <w:rsid w:val="00B86180"/>
    <w:rsid w:val="00B96A7F"/>
    <w:rsid w:val="00BA26B2"/>
    <w:rsid w:val="00BB55D2"/>
    <w:rsid w:val="00BC4069"/>
    <w:rsid w:val="00BC625F"/>
    <w:rsid w:val="00BD2A15"/>
    <w:rsid w:val="00BF1C0F"/>
    <w:rsid w:val="00C12BEE"/>
    <w:rsid w:val="00C36EFE"/>
    <w:rsid w:val="00CE7AA1"/>
    <w:rsid w:val="00CF1175"/>
    <w:rsid w:val="00CF7D21"/>
    <w:rsid w:val="00D2211A"/>
    <w:rsid w:val="00D2301D"/>
    <w:rsid w:val="00D308CC"/>
    <w:rsid w:val="00D34D1F"/>
    <w:rsid w:val="00D4698B"/>
    <w:rsid w:val="00D51081"/>
    <w:rsid w:val="00D82AF5"/>
    <w:rsid w:val="00D87BD4"/>
    <w:rsid w:val="00DE515A"/>
    <w:rsid w:val="00E03175"/>
    <w:rsid w:val="00E069FC"/>
    <w:rsid w:val="00E10842"/>
    <w:rsid w:val="00E5216F"/>
    <w:rsid w:val="00E7487B"/>
    <w:rsid w:val="00EA5972"/>
    <w:rsid w:val="00EB45A9"/>
    <w:rsid w:val="00EB63A9"/>
    <w:rsid w:val="00EC1431"/>
    <w:rsid w:val="00EC62AA"/>
    <w:rsid w:val="00ED09E5"/>
    <w:rsid w:val="00ED6876"/>
    <w:rsid w:val="00ED6B4C"/>
    <w:rsid w:val="00EF493B"/>
    <w:rsid w:val="00F0518B"/>
    <w:rsid w:val="00F05F78"/>
    <w:rsid w:val="00F06F8D"/>
    <w:rsid w:val="00F7462B"/>
    <w:rsid w:val="00F9758A"/>
    <w:rsid w:val="00FC3BAC"/>
    <w:rsid w:val="00FD5BCA"/>
    <w:rsid w:val="00FF65FE"/>
    <w:rsid w:val="0EB73A65"/>
    <w:rsid w:val="53A1381D"/>
    <w:rsid w:val="6662599C"/>
    <w:rsid w:val="7D275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63CD9-87AD-4661-ADF7-2C8AE7F5F869}">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22</Pages>
  <Words>1104</Words>
  <Characters>6298</Characters>
  <Lines>52</Lines>
  <Paragraphs>14</Paragraphs>
  <TotalTime>0</TotalTime>
  <ScaleCrop>false</ScaleCrop>
  <LinksUpToDate>false</LinksUpToDate>
  <CharactersWithSpaces>7388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Lenovo</cp:lastModifiedBy>
  <dcterms:modified xsi:type="dcterms:W3CDTF">2019-03-14T07:37:36Z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