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秦皇岛市太阳城商业区管理委员会</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hint="eastAsia" w:eastAsia="黑体"/>
          <w:szCs w:val="32"/>
        </w:rPr>
        <w:t>第一部分</w:t>
      </w:r>
      <w:r>
        <w:rPr>
          <w:rFonts w:eastAsia="黑体"/>
          <w:szCs w:val="32"/>
        </w:rPr>
        <w:t xml:space="preserve">   </w:t>
      </w:r>
      <w:r>
        <w:rPr>
          <w:rFonts w:hint="eastAsia" w:eastAsia="黑体"/>
          <w:szCs w:val="32"/>
        </w:rPr>
        <w:t>太阳城管委会部门概况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640"/>
        <w:rPr>
          <w:sz w:val="20"/>
          <w:szCs w:val="32"/>
        </w:rPr>
      </w:pPr>
      <w:r>
        <w:rPr>
          <w:rFonts w:hint="eastAsia" w:eastAsia="黑体"/>
          <w:szCs w:val="32"/>
        </w:rPr>
        <w:t>第二部分</w:t>
      </w:r>
      <w:r>
        <w:rPr>
          <w:rFonts w:eastAsia="黑体"/>
          <w:szCs w:val="32"/>
        </w:rPr>
        <w:t xml:space="preserve">   </w:t>
      </w:r>
      <w:r>
        <w:rPr>
          <w:rFonts w:hint="eastAsia" w:eastAsia="黑体"/>
          <w:szCs w:val="32"/>
        </w:rPr>
        <w:t>太阳城管委会部门</w:t>
      </w:r>
      <w:r>
        <w:rPr>
          <w:rFonts w:eastAsia="黑体"/>
          <w:szCs w:val="32"/>
        </w:rPr>
        <w:t>2017</w:t>
      </w:r>
      <w:r>
        <w:rPr>
          <w:rFonts w:hint="eastAsia" w:eastAsia="黑体"/>
          <w:szCs w:val="32"/>
        </w:rPr>
        <w:t>年度部门决算报表</w:t>
      </w:r>
    </w:p>
    <w:p>
      <w:pPr>
        <w:widowControl/>
        <w:spacing w:line="580" w:lineRule="exact"/>
        <w:ind w:left="640" w:firstLine="640"/>
        <w:rPr>
          <w:szCs w:val="32"/>
        </w:rPr>
      </w:pPr>
      <w:r>
        <w:rPr>
          <w:rFonts w:hint="eastAsia"/>
          <w:szCs w:val="32"/>
        </w:rPr>
        <w:t>一、收入支出决算总表</w:t>
      </w:r>
    </w:p>
    <w:p>
      <w:pPr>
        <w:widowControl/>
        <w:spacing w:line="580" w:lineRule="exact"/>
        <w:ind w:left="640" w:firstLine="640"/>
        <w:rPr>
          <w:szCs w:val="32"/>
        </w:rPr>
      </w:pPr>
      <w:r>
        <w:rPr>
          <w:rFonts w:hint="eastAsia"/>
          <w:szCs w:val="32"/>
        </w:rPr>
        <w:t>二、收入决算表</w:t>
      </w:r>
    </w:p>
    <w:p>
      <w:pPr>
        <w:widowControl/>
        <w:spacing w:line="580" w:lineRule="exact"/>
        <w:ind w:left="640" w:firstLine="640"/>
        <w:rPr>
          <w:szCs w:val="32"/>
        </w:rPr>
      </w:pPr>
      <w:r>
        <w:rPr>
          <w:rFonts w:hint="eastAsia"/>
          <w:szCs w:val="32"/>
        </w:rPr>
        <w:t>三、支出决算表</w:t>
      </w:r>
    </w:p>
    <w:p>
      <w:pPr>
        <w:widowControl/>
        <w:spacing w:line="580" w:lineRule="exact"/>
        <w:ind w:left="640" w:firstLine="640"/>
        <w:rPr>
          <w:szCs w:val="32"/>
        </w:rPr>
      </w:pPr>
      <w:r>
        <w:rPr>
          <w:rFonts w:hint="eastAsia"/>
          <w:szCs w:val="32"/>
        </w:rPr>
        <w:t>四、财政拨款收入支出决算总表</w:t>
      </w:r>
    </w:p>
    <w:p>
      <w:pPr>
        <w:widowControl/>
        <w:spacing w:line="580" w:lineRule="exact"/>
        <w:ind w:left="640" w:firstLine="640"/>
        <w:rPr>
          <w:szCs w:val="32"/>
        </w:rPr>
      </w:pPr>
      <w:r>
        <w:rPr>
          <w:rFonts w:hint="eastAsia"/>
          <w:szCs w:val="32"/>
        </w:rPr>
        <w:t>五、一般公共预算财政拨款收入支出决算表</w:t>
      </w:r>
    </w:p>
    <w:p>
      <w:pPr>
        <w:widowControl/>
        <w:spacing w:line="580" w:lineRule="exact"/>
        <w:ind w:left="640" w:firstLine="640"/>
        <w:rPr>
          <w:szCs w:val="32"/>
        </w:rPr>
      </w:pPr>
      <w:r>
        <w:rPr>
          <w:rFonts w:hint="eastAsia"/>
          <w:szCs w:val="32"/>
        </w:rPr>
        <w:t>六、一般公共预算财政拨款基本支出决算经济分类表</w:t>
      </w:r>
    </w:p>
    <w:p>
      <w:pPr>
        <w:widowControl/>
        <w:spacing w:line="580" w:lineRule="exact"/>
        <w:ind w:left="640" w:firstLine="640"/>
        <w:rPr>
          <w:szCs w:val="32"/>
        </w:rPr>
      </w:pPr>
      <w:r>
        <w:rPr>
          <w:rFonts w:hint="eastAsia"/>
          <w:szCs w:val="32"/>
        </w:rPr>
        <w:t>七、政府性基金预算财政拨款收入支出决算表</w:t>
      </w:r>
    </w:p>
    <w:p>
      <w:pPr>
        <w:widowControl/>
        <w:spacing w:line="580" w:lineRule="exact"/>
        <w:ind w:left="640" w:firstLine="640"/>
        <w:rPr>
          <w:szCs w:val="32"/>
        </w:rPr>
      </w:pPr>
      <w:r>
        <w:rPr>
          <w:rFonts w:hint="eastAsia"/>
          <w:szCs w:val="32"/>
        </w:rPr>
        <w:t>八、国有资本经营预算财政拨款收入支出决算表</w:t>
      </w:r>
    </w:p>
    <w:p>
      <w:pPr>
        <w:widowControl/>
        <w:spacing w:line="580" w:lineRule="exact"/>
        <w:ind w:left="640" w:firstLine="64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640"/>
        <w:rPr>
          <w:szCs w:val="32"/>
        </w:rPr>
      </w:pPr>
      <w:r>
        <w:rPr>
          <w:rFonts w:hint="eastAsia"/>
          <w:szCs w:val="32"/>
        </w:rPr>
        <w:t>十、政府采购情况表</w:t>
      </w:r>
    </w:p>
    <w:p>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太阳城管委会部门</w:t>
      </w:r>
      <w:r>
        <w:rPr>
          <w:rFonts w:eastAsia="黑体"/>
          <w:szCs w:val="32"/>
        </w:rPr>
        <w:t>2017</w:t>
      </w:r>
      <w:r>
        <w:rPr>
          <w:rFonts w:hint="eastAsia" w:eastAsia="黑体"/>
          <w:szCs w:val="32"/>
        </w:rPr>
        <w:t>年度部门决算情况说明</w:t>
      </w:r>
    </w:p>
    <w:p>
      <w:pPr>
        <w:widowControl/>
        <w:spacing w:line="580" w:lineRule="exact"/>
        <w:ind w:left="640" w:firstLine="640"/>
        <w:rPr>
          <w:szCs w:val="32"/>
        </w:rPr>
      </w:pPr>
      <w:bookmarkStart w:id="0" w:name="OLE_LINK21"/>
      <w:r>
        <w:rPr>
          <w:rFonts w:hint="eastAsia"/>
          <w:szCs w:val="32"/>
        </w:rPr>
        <w:t>一、收入支出决算总体情况说明</w:t>
      </w:r>
    </w:p>
    <w:bookmarkEnd w:id="0"/>
    <w:p>
      <w:pPr>
        <w:widowControl/>
        <w:spacing w:line="580" w:lineRule="exact"/>
        <w:ind w:left="640" w:firstLine="640"/>
        <w:rPr>
          <w:szCs w:val="32"/>
        </w:rPr>
      </w:pPr>
      <w:bookmarkStart w:id="1" w:name="OLE_LINK22"/>
      <w:r>
        <w:rPr>
          <w:rFonts w:hint="eastAsia"/>
          <w:szCs w:val="32"/>
        </w:rPr>
        <w:t>二、收入决算情况说明</w:t>
      </w:r>
    </w:p>
    <w:p>
      <w:pPr>
        <w:widowControl/>
        <w:spacing w:line="580" w:lineRule="exact"/>
        <w:ind w:left="640" w:firstLine="640"/>
        <w:rPr>
          <w:szCs w:val="32"/>
        </w:rPr>
      </w:pPr>
      <w:r>
        <w:rPr>
          <w:rFonts w:hint="eastAsia"/>
          <w:szCs w:val="32"/>
        </w:rPr>
        <w:t>三、支出决算情况说明</w:t>
      </w:r>
    </w:p>
    <w:bookmarkEnd w:id="1"/>
    <w:p>
      <w:pPr>
        <w:widowControl/>
        <w:spacing w:line="580" w:lineRule="exact"/>
        <w:ind w:left="640" w:firstLine="640"/>
        <w:rPr>
          <w:szCs w:val="32"/>
        </w:rPr>
      </w:pPr>
      <w:r>
        <w:rPr>
          <w:rFonts w:hint="eastAsia"/>
          <w:szCs w:val="32"/>
        </w:rPr>
        <w:t>四、财政拨款收入支出决算总体情况说明</w:t>
      </w:r>
    </w:p>
    <w:p>
      <w:pPr>
        <w:widowControl/>
        <w:spacing w:line="580" w:lineRule="exact"/>
        <w:ind w:left="640" w:firstLine="64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640"/>
        <w:rPr>
          <w:szCs w:val="32"/>
        </w:rPr>
      </w:pPr>
      <w:bookmarkStart w:id="2" w:name="OLE_LINK26"/>
      <w:bookmarkStart w:id="3" w:name="OLE_LINK27"/>
      <w:bookmarkStart w:id="4" w:name="OLE_LINK25"/>
      <w:r>
        <w:rPr>
          <w:rFonts w:hint="eastAsia"/>
          <w:szCs w:val="32"/>
        </w:rPr>
        <w:t>六、预算绩效管理工作开展情况说明</w:t>
      </w:r>
    </w:p>
    <w:bookmarkEnd w:id="2"/>
    <w:bookmarkEnd w:id="3"/>
    <w:bookmarkEnd w:id="4"/>
    <w:p>
      <w:pPr>
        <w:widowControl/>
        <w:spacing w:line="580" w:lineRule="exact"/>
        <w:ind w:left="640" w:firstLine="64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太阳城管委会部门概况</w:t>
      </w:r>
    </w:p>
    <w:bookmarkEnd w:id="7"/>
    <w:p>
      <w:pPr>
        <w:widowControl/>
        <w:spacing w:line="240" w:lineRule="auto"/>
        <w:ind w:firstLine="0" w:firstLineChars="0"/>
        <w:jc w:val="left"/>
        <w:rPr>
          <w:rFonts w:ascii="仿宋_GB2312" w:hAnsi="黑体"/>
          <w:sz w:val="24"/>
          <w:szCs w:val="32"/>
        </w:rPr>
      </w:pPr>
      <w:r>
        <w:rPr>
          <w:rFonts w:ascii="黑体" w:hAnsi="黑体" w:eastAsia="黑体"/>
          <w:szCs w:val="32"/>
        </w:rPr>
        <w:br w:type="page"/>
      </w:r>
    </w:p>
    <w:bookmarkEnd w:id="6"/>
    <w:p>
      <w:pPr>
        <w:ind w:firstLine="1273" w:firstLineChars="398"/>
        <w:rPr>
          <w:rFonts w:ascii="仿宋_GB2312" w:hAnsi="黑体"/>
          <w:szCs w:val="32"/>
        </w:rPr>
      </w:pPr>
      <w:bookmarkStart w:id="8" w:name="OLE_LINK14"/>
      <w:r>
        <w:rPr>
          <w:rFonts w:hint="eastAsia" w:ascii="仿宋_GB2312" w:hAnsi="黑体"/>
          <w:szCs w:val="32"/>
        </w:rPr>
        <w:t>一、部门职责</w:t>
      </w:r>
    </w:p>
    <w:p>
      <w:pPr>
        <w:spacing w:line="360" w:lineRule="auto"/>
        <w:ind w:firstLine="640"/>
        <w:rPr>
          <w:rFonts w:ascii="仿宋" w:hAnsi="仿宋" w:eastAsia="仿宋" w:cs="仿宋"/>
          <w:szCs w:val="32"/>
        </w:rPr>
      </w:pPr>
      <w:r>
        <w:rPr>
          <w:rFonts w:ascii="仿宋" w:hAnsi="仿宋" w:eastAsia="仿宋" w:cs="仿宋"/>
          <w:szCs w:val="32"/>
        </w:rPr>
        <w:t>1</w:t>
      </w:r>
      <w:r>
        <w:rPr>
          <w:rFonts w:hint="eastAsia" w:ascii="仿宋" w:hAnsi="仿宋" w:eastAsia="仿宋" w:cs="仿宋"/>
          <w:szCs w:val="32"/>
        </w:rPr>
        <w:t>、编制太阳城商业区经济、社会发展的总体规划，报区政府批准后实施；</w:t>
      </w:r>
    </w:p>
    <w:p>
      <w:pPr>
        <w:spacing w:line="360" w:lineRule="auto"/>
        <w:ind w:firstLine="640"/>
        <w:rPr>
          <w:rFonts w:ascii="仿宋" w:hAnsi="仿宋" w:eastAsia="仿宋" w:cs="仿宋"/>
          <w:szCs w:val="32"/>
        </w:rPr>
      </w:pPr>
      <w:r>
        <w:rPr>
          <w:rFonts w:ascii="仿宋" w:hAnsi="仿宋" w:eastAsia="仿宋" w:cs="仿宋"/>
          <w:szCs w:val="32"/>
        </w:rPr>
        <w:t>2</w:t>
      </w:r>
      <w:r>
        <w:rPr>
          <w:rFonts w:hint="eastAsia" w:ascii="仿宋" w:hAnsi="仿宋" w:eastAsia="仿宋" w:cs="仿宋"/>
          <w:szCs w:val="32"/>
        </w:rPr>
        <w:t>、开展调查研究，及时向区政府提出太阳城商业区发展意见，为领导决策服务；</w:t>
      </w:r>
    </w:p>
    <w:p>
      <w:pPr>
        <w:spacing w:line="360" w:lineRule="auto"/>
        <w:ind w:firstLine="640"/>
        <w:rPr>
          <w:rFonts w:ascii="仿宋" w:hAnsi="仿宋" w:eastAsia="仿宋" w:cs="仿宋"/>
          <w:szCs w:val="32"/>
        </w:rPr>
      </w:pPr>
      <w:r>
        <w:rPr>
          <w:rFonts w:ascii="仿宋" w:hAnsi="仿宋" w:eastAsia="仿宋" w:cs="仿宋"/>
          <w:szCs w:val="32"/>
        </w:rPr>
        <w:t>3</w:t>
      </w:r>
      <w:r>
        <w:rPr>
          <w:rFonts w:hint="eastAsia" w:ascii="仿宋" w:hAnsi="仿宋" w:eastAsia="仿宋" w:cs="仿宋"/>
          <w:szCs w:val="32"/>
        </w:rPr>
        <w:t>、根据太阳城商业区不同阶段发展情况，研究制定其发展政策，报区政府审批后实施；</w:t>
      </w:r>
    </w:p>
    <w:p>
      <w:pPr>
        <w:spacing w:line="360" w:lineRule="auto"/>
        <w:ind w:firstLine="640"/>
        <w:rPr>
          <w:rFonts w:ascii="仿宋" w:hAnsi="仿宋" w:eastAsia="仿宋" w:cs="仿宋"/>
          <w:szCs w:val="32"/>
        </w:rPr>
      </w:pPr>
      <w:r>
        <w:rPr>
          <w:rFonts w:ascii="仿宋" w:hAnsi="仿宋" w:eastAsia="仿宋" w:cs="仿宋"/>
          <w:szCs w:val="32"/>
        </w:rPr>
        <w:t>4</w:t>
      </w:r>
      <w:r>
        <w:rPr>
          <w:rFonts w:hint="eastAsia" w:ascii="仿宋" w:hAnsi="仿宋" w:eastAsia="仿宋" w:cs="仿宋"/>
          <w:szCs w:val="32"/>
        </w:rPr>
        <w:t>、负责对太阳城商业区内工商企业、经营业户的日常管理和服务；</w:t>
      </w:r>
    </w:p>
    <w:p>
      <w:pPr>
        <w:spacing w:line="360" w:lineRule="auto"/>
        <w:ind w:firstLine="640"/>
        <w:rPr>
          <w:rFonts w:ascii="仿宋" w:hAnsi="仿宋" w:eastAsia="仿宋" w:cs="仿宋"/>
          <w:szCs w:val="32"/>
        </w:rPr>
      </w:pPr>
      <w:r>
        <w:rPr>
          <w:rFonts w:ascii="仿宋" w:hAnsi="仿宋" w:eastAsia="仿宋" w:cs="仿宋"/>
          <w:szCs w:val="32"/>
        </w:rPr>
        <w:t>5</w:t>
      </w:r>
      <w:r>
        <w:rPr>
          <w:rFonts w:hint="eastAsia" w:ascii="仿宋" w:hAnsi="仿宋" w:eastAsia="仿宋" w:cs="仿宋"/>
          <w:szCs w:val="32"/>
        </w:rPr>
        <w:t>、负责太阳城商业区的招商引资和涉外经济活动；</w:t>
      </w:r>
    </w:p>
    <w:p>
      <w:pPr>
        <w:spacing w:line="360" w:lineRule="auto"/>
        <w:ind w:firstLine="640"/>
        <w:rPr>
          <w:rFonts w:ascii="仿宋" w:hAnsi="仿宋" w:eastAsia="仿宋" w:cs="仿宋"/>
          <w:szCs w:val="32"/>
        </w:rPr>
      </w:pPr>
      <w:r>
        <w:rPr>
          <w:rFonts w:ascii="仿宋" w:hAnsi="仿宋" w:eastAsia="仿宋" w:cs="仿宋"/>
          <w:szCs w:val="32"/>
        </w:rPr>
        <w:t>6</w:t>
      </w:r>
      <w:r>
        <w:rPr>
          <w:rFonts w:hint="eastAsia" w:ascii="仿宋" w:hAnsi="仿宋" w:eastAsia="仿宋" w:cs="仿宋"/>
          <w:szCs w:val="32"/>
        </w:rPr>
        <w:t>、领导和指导市、区有关部门设在商业区分支机构的工作，负责对工商、税务、金融、保险、土地、技术监督、城管、环保、邮政、电信等机构的监督与协调。</w:t>
      </w:r>
    </w:p>
    <w:p>
      <w:pPr>
        <w:ind w:firstLine="1273" w:firstLineChars="398"/>
        <w:rPr>
          <w:rFonts w:ascii="仿宋_GB2312" w:hAnsi="黑体"/>
          <w:szCs w:val="32"/>
        </w:rPr>
      </w:pPr>
      <w:r>
        <w:rPr>
          <w:rFonts w:hint="eastAsia" w:ascii="仿宋_GB2312" w:hAnsi="黑体"/>
          <w:szCs w:val="32"/>
        </w:rPr>
        <w:t>二、部门决算单位构成</w:t>
      </w: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r>
              <w:rPr>
                <w:rFonts w:hint="eastAsia" w:ascii="仿宋_GB2312" w:hAnsi="黑体"/>
                <w:sz w:val="28"/>
                <w:szCs w:val="28"/>
              </w:rPr>
              <w:t>秦皇岛太阳城商业区管理委员会</w:t>
            </w:r>
          </w:p>
        </w:tc>
        <w:tc>
          <w:tcPr>
            <w:tcW w:w="2208"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事业</w:t>
            </w:r>
            <w:r>
              <w:rPr>
                <w:rFonts w:hint="eastAsia" w:ascii="仿宋_GB2312" w:hAnsi="黑体"/>
                <w:sz w:val="28"/>
                <w:szCs w:val="28"/>
                <w:lang w:eastAsia="zh-CN"/>
              </w:rPr>
              <w:t>单位</w:t>
            </w:r>
            <w:bookmarkStart w:id="31" w:name="_GoBack"/>
            <w:bookmarkEnd w:id="31"/>
          </w:p>
        </w:tc>
        <w:tc>
          <w:tcPr>
            <w:tcW w:w="2209" w:type="dxa"/>
            <w:vAlign w:val="center"/>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vAlign w:val="center"/>
          </w:tcPr>
          <w:p>
            <w:pPr>
              <w:ind w:firstLine="0" w:firstLineChars="0"/>
              <w:jc w:val="center"/>
              <w:rPr>
                <w:rFonts w:ascii="仿宋_GB2312" w:hAnsi="黑体"/>
                <w:sz w:val="28"/>
                <w:szCs w:val="28"/>
              </w:rPr>
            </w:pPr>
            <w:r>
              <w:rPr>
                <w:rFonts w:hint="eastAsia" w:ascii="仿宋_GB2312" w:hAnsi="黑体" w:cs="仿宋_GB2312"/>
                <w:sz w:val="28"/>
                <w:szCs w:val="28"/>
              </w:rPr>
              <w:t>差额补贴</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太阳城管委会部门</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 w:val="72"/>
          <w:szCs w:val="72"/>
        </w:r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太阳城管委会部门</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ascii="仿宋_GB2312"/>
          <w:szCs w:val="32"/>
        </w:rPr>
        <w:t>2017</w:t>
      </w:r>
      <w:r>
        <w:rPr>
          <w:rFonts w:hint="eastAsia" w:ascii="仿宋_GB2312"/>
          <w:szCs w:val="32"/>
        </w:rPr>
        <w:t>年度决算收入总计</w:t>
      </w:r>
      <w:r>
        <w:rPr>
          <w:rFonts w:ascii="仿宋_GB2312"/>
          <w:szCs w:val="32"/>
        </w:rPr>
        <w:t xml:space="preserve"> 826.25</w:t>
      </w:r>
      <w:r>
        <w:rPr>
          <w:rFonts w:hint="eastAsia" w:ascii="仿宋_GB2312"/>
          <w:szCs w:val="32"/>
        </w:rPr>
        <w:t>万元，决算支出总计</w:t>
      </w:r>
      <w:r>
        <w:rPr>
          <w:rFonts w:ascii="仿宋_GB2312"/>
          <w:szCs w:val="32"/>
        </w:rPr>
        <w:t>865.65</w:t>
      </w:r>
      <w:r>
        <w:rPr>
          <w:rFonts w:hint="eastAsia" w:ascii="仿宋_GB2312"/>
          <w:szCs w:val="32"/>
        </w:rPr>
        <w:t>万元，年初结转和结余</w:t>
      </w:r>
      <w:r>
        <w:rPr>
          <w:rFonts w:ascii="仿宋_GB2312"/>
          <w:szCs w:val="32"/>
        </w:rPr>
        <w:t>98.88</w:t>
      </w:r>
      <w:r>
        <w:rPr>
          <w:rFonts w:hint="eastAsia" w:ascii="仿宋_GB2312"/>
          <w:szCs w:val="32"/>
        </w:rPr>
        <w:t>万元，年末结转和结余</w:t>
      </w:r>
      <w:r>
        <w:rPr>
          <w:rFonts w:ascii="仿宋_GB2312"/>
          <w:szCs w:val="32"/>
        </w:rPr>
        <w:t>59.48</w:t>
      </w:r>
      <w:r>
        <w:rPr>
          <w:rFonts w:hint="eastAsia" w:ascii="仿宋_GB2312"/>
          <w:szCs w:val="32"/>
        </w:rPr>
        <w:t>万元。</w:t>
      </w:r>
    </w:p>
    <w:p>
      <w:pPr>
        <w:ind w:firstLine="64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292.53</w:t>
      </w:r>
      <w:r>
        <w:rPr>
          <w:rFonts w:hint="eastAsia" w:ascii="仿宋_GB2312"/>
          <w:szCs w:val="32"/>
        </w:rPr>
        <w:t>万元，原因是：非税收入增加；与</w:t>
      </w:r>
      <w:r>
        <w:rPr>
          <w:rFonts w:ascii="仿宋_GB2312"/>
          <w:szCs w:val="32"/>
        </w:rPr>
        <w:t>2016</w:t>
      </w:r>
      <w:r>
        <w:rPr>
          <w:rFonts w:hint="eastAsia" w:ascii="仿宋_GB2312"/>
          <w:szCs w:val="32"/>
        </w:rPr>
        <w:t>年度收入相比，增加</w:t>
      </w:r>
      <w:r>
        <w:rPr>
          <w:rFonts w:ascii="仿宋_GB2312"/>
          <w:szCs w:val="32"/>
        </w:rPr>
        <w:t>36.84</w:t>
      </w:r>
      <w:r>
        <w:rPr>
          <w:rFonts w:hint="eastAsia" w:ascii="仿宋_GB2312"/>
          <w:szCs w:val="32"/>
        </w:rPr>
        <w:t>万元，原因是：非税收入增加。</w:t>
      </w:r>
    </w:p>
    <w:p>
      <w:pPr>
        <w:ind w:firstLine="64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331.93</w:t>
      </w:r>
      <w:r>
        <w:rPr>
          <w:rFonts w:hint="eastAsia" w:ascii="仿宋_GB2312"/>
          <w:szCs w:val="32"/>
        </w:rPr>
        <w:t>万元，原因是：人员经费逐年增加以及创城宣传投入；与</w:t>
      </w:r>
      <w:r>
        <w:rPr>
          <w:rFonts w:ascii="仿宋_GB2312"/>
          <w:szCs w:val="32"/>
        </w:rPr>
        <w:t>2016</w:t>
      </w:r>
      <w:r>
        <w:rPr>
          <w:rFonts w:hint="eastAsia" w:ascii="仿宋_GB2312"/>
          <w:szCs w:val="32"/>
        </w:rPr>
        <w:t>年度支出相比，增加</w:t>
      </w:r>
      <w:r>
        <w:rPr>
          <w:rFonts w:ascii="仿宋_GB2312"/>
          <w:szCs w:val="32"/>
        </w:rPr>
        <w:t>104.76</w:t>
      </w:r>
      <w:r>
        <w:rPr>
          <w:rFonts w:hint="eastAsia" w:ascii="仿宋_GB2312"/>
          <w:szCs w:val="32"/>
        </w:rPr>
        <w:t>万元，原因是人员经费逐年增加以及创城宣传投入。</w:t>
      </w:r>
    </w:p>
    <w:bookmarkEnd w:id="10"/>
    <w:bookmarkEnd w:id="11"/>
    <w:bookmarkEnd w:id="12"/>
    <w:p>
      <w:pPr>
        <w:ind w:firstLine="643"/>
        <w:rPr>
          <w:rFonts w:ascii="楷体" w:hAnsi="楷体" w:eastAsia="楷体"/>
          <w:b/>
          <w:szCs w:val="32"/>
        </w:rPr>
      </w:pPr>
      <w:bookmarkStart w:id="13" w:name="OLE_LINK4"/>
      <w:bookmarkStart w:id="14" w:name="OLE_LINK3"/>
      <w:r>
        <w:rPr>
          <w:rFonts w:hint="eastAsia" w:ascii="楷体" w:hAnsi="楷体" w:eastAsia="楷体"/>
          <w:b/>
          <w:szCs w:val="32"/>
        </w:rPr>
        <w:t>二、收入决算情况说明</w:t>
      </w:r>
    </w:p>
    <w:p>
      <w:pPr>
        <w:widowControl/>
        <w:spacing w:line="580" w:lineRule="exact"/>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 xml:space="preserve"> 826.25</w:t>
      </w:r>
      <w:r>
        <w:rPr>
          <w:rFonts w:hint="eastAsia" w:ascii="仿宋" w:hAnsi="仿宋" w:eastAsia="仿宋"/>
          <w:szCs w:val="32"/>
        </w:rPr>
        <w:t>万元，其中：财政拨款收入</w:t>
      </w:r>
      <w:r>
        <w:rPr>
          <w:rFonts w:ascii="仿宋" w:hAnsi="仿宋" w:eastAsia="仿宋"/>
          <w:szCs w:val="32"/>
        </w:rPr>
        <w:t>826.25</w:t>
      </w:r>
      <w:r>
        <w:rPr>
          <w:rFonts w:hint="eastAsia" w:ascii="仿宋" w:hAnsi="仿宋" w:eastAsia="仿宋"/>
          <w:szCs w:val="32"/>
        </w:rPr>
        <w:t>万元，占总收入</w:t>
      </w:r>
      <w:r>
        <w:rPr>
          <w:rFonts w:ascii="仿宋" w:hAnsi="仿宋" w:eastAsia="仿宋"/>
          <w:szCs w:val="32"/>
        </w:rPr>
        <w:t xml:space="preserve"> 100%</w:t>
      </w:r>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；其它收入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三、支出决算情况说明</w:t>
      </w:r>
    </w:p>
    <w:p>
      <w:pPr>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865.65</w:t>
      </w:r>
      <w:r>
        <w:rPr>
          <w:rFonts w:hint="eastAsia" w:ascii="仿宋" w:hAnsi="仿宋" w:eastAsia="仿宋"/>
          <w:szCs w:val="32"/>
        </w:rPr>
        <w:t>万元，其中：基本支出</w:t>
      </w:r>
      <w:r>
        <w:rPr>
          <w:rFonts w:ascii="仿宋" w:hAnsi="仿宋" w:eastAsia="仿宋"/>
          <w:szCs w:val="32"/>
        </w:rPr>
        <w:t>705.65</w:t>
      </w:r>
      <w:r>
        <w:rPr>
          <w:rFonts w:hint="eastAsia" w:ascii="仿宋" w:hAnsi="仿宋" w:eastAsia="仿宋"/>
          <w:szCs w:val="32"/>
        </w:rPr>
        <w:t>万元，占总支出</w:t>
      </w:r>
      <w:r>
        <w:rPr>
          <w:rFonts w:ascii="仿宋" w:hAnsi="仿宋" w:eastAsia="仿宋"/>
          <w:szCs w:val="32"/>
        </w:rPr>
        <w:t>81.52%</w:t>
      </w:r>
      <w:r>
        <w:rPr>
          <w:rFonts w:hint="eastAsia" w:ascii="仿宋" w:hAnsi="仿宋" w:eastAsia="仿宋"/>
          <w:szCs w:val="32"/>
        </w:rPr>
        <w:t>；项目支出</w:t>
      </w:r>
      <w:r>
        <w:rPr>
          <w:rFonts w:ascii="仿宋" w:hAnsi="仿宋" w:eastAsia="仿宋"/>
          <w:szCs w:val="32"/>
        </w:rPr>
        <w:t>160</w:t>
      </w:r>
      <w:r>
        <w:rPr>
          <w:rFonts w:hint="eastAsia" w:ascii="仿宋" w:hAnsi="仿宋" w:eastAsia="仿宋"/>
          <w:szCs w:val="32"/>
        </w:rPr>
        <w:t>万元，占总支出</w:t>
      </w:r>
      <w:r>
        <w:rPr>
          <w:rFonts w:ascii="仿宋" w:hAnsi="仿宋" w:eastAsia="仿宋"/>
          <w:szCs w:val="32"/>
        </w:rPr>
        <w:t>18.48%</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5" w:name="OLE_LINK29"/>
      <w:r>
        <w:rPr>
          <w:rFonts w:ascii="仿宋_GB2312"/>
          <w:szCs w:val="32"/>
        </w:rPr>
        <w:t>2017</w:t>
      </w:r>
      <w:r>
        <w:rPr>
          <w:rFonts w:hint="eastAsia" w:ascii="仿宋_GB2312"/>
          <w:szCs w:val="32"/>
        </w:rPr>
        <w:t>年度财政拨款收入决算总计</w:t>
      </w:r>
      <w:r>
        <w:rPr>
          <w:rFonts w:ascii="仿宋" w:hAnsi="仿宋" w:eastAsia="仿宋"/>
          <w:szCs w:val="32"/>
        </w:rPr>
        <w:t>826.25</w:t>
      </w:r>
      <w:r>
        <w:rPr>
          <w:rFonts w:hint="eastAsia" w:ascii="仿宋_GB2312"/>
          <w:szCs w:val="32"/>
        </w:rPr>
        <w:t>万元，财政拨款支出决算总计</w:t>
      </w:r>
      <w:r>
        <w:rPr>
          <w:rFonts w:ascii="仿宋" w:hAnsi="仿宋" w:eastAsia="仿宋"/>
          <w:szCs w:val="32"/>
        </w:rPr>
        <w:t>865.65</w:t>
      </w:r>
      <w:r>
        <w:rPr>
          <w:rFonts w:hint="eastAsia" w:ascii="仿宋_GB2312"/>
          <w:szCs w:val="32"/>
        </w:rPr>
        <w:t>万元，年初结转和结余</w:t>
      </w:r>
      <w:r>
        <w:rPr>
          <w:rFonts w:ascii="仿宋_GB2312"/>
          <w:szCs w:val="32"/>
        </w:rPr>
        <w:t>98.88</w:t>
      </w:r>
      <w:r>
        <w:rPr>
          <w:rFonts w:hint="eastAsia" w:ascii="仿宋_GB2312"/>
          <w:szCs w:val="32"/>
        </w:rPr>
        <w:t>万元，年末结转和结余</w:t>
      </w:r>
      <w:r>
        <w:rPr>
          <w:rFonts w:ascii="仿宋_GB2312"/>
          <w:szCs w:val="32"/>
        </w:rPr>
        <w:t>59.48</w:t>
      </w:r>
      <w:r>
        <w:rPr>
          <w:rFonts w:hint="eastAsia" w:ascii="仿宋_GB2312"/>
          <w:szCs w:val="32"/>
        </w:rPr>
        <w:t>万元。</w:t>
      </w:r>
    </w:p>
    <w:p>
      <w:pPr>
        <w:ind w:firstLine="64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292.53</w:t>
      </w:r>
      <w:r>
        <w:rPr>
          <w:rFonts w:hint="eastAsia" w:ascii="仿宋_GB2312"/>
          <w:szCs w:val="32"/>
        </w:rPr>
        <w:t>万元，原因是：非税收入增加；与</w:t>
      </w:r>
      <w:r>
        <w:rPr>
          <w:rFonts w:ascii="仿宋_GB2312"/>
          <w:szCs w:val="32"/>
        </w:rPr>
        <w:t>2016</w:t>
      </w:r>
      <w:r>
        <w:rPr>
          <w:rFonts w:hint="eastAsia" w:ascii="仿宋_GB2312"/>
          <w:szCs w:val="32"/>
        </w:rPr>
        <w:t>年度相比，增加</w:t>
      </w:r>
      <w:r>
        <w:rPr>
          <w:rFonts w:ascii="仿宋_GB2312"/>
          <w:szCs w:val="32"/>
        </w:rPr>
        <w:t>36.84</w:t>
      </w:r>
      <w:r>
        <w:rPr>
          <w:rFonts w:hint="eastAsia" w:ascii="仿宋_GB2312"/>
          <w:szCs w:val="32"/>
        </w:rPr>
        <w:t>万元，原因是：非税收入增加。</w:t>
      </w:r>
    </w:p>
    <w:p>
      <w:pPr>
        <w:ind w:firstLine="64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331.93</w:t>
      </w:r>
      <w:r>
        <w:rPr>
          <w:rFonts w:hint="eastAsia" w:ascii="仿宋_GB2312"/>
          <w:szCs w:val="32"/>
        </w:rPr>
        <w:t>万元，原因是：人员经费逐年增加以及创城宣传投入；与</w:t>
      </w:r>
      <w:r>
        <w:rPr>
          <w:rFonts w:ascii="仿宋_GB2312"/>
          <w:szCs w:val="32"/>
        </w:rPr>
        <w:t>2016</w:t>
      </w:r>
      <w:r>
        <w:rPr>
          <w:rFonts w:hint="eastAsia" w:ascii="仿宋_GB2312"/>
          <w:szCs w:val="32"/>
        </w:rPr>
        <w:t>年度支出相比，增加</w:t>
      </w:r>
      <w:r>
        <w:rPr>
          <w:rFonts w:ascii="仿宋_GB2312"/>
          <w:szCs w:val="32"/>
        </w:rPr>
        <w:t>104.76</w:t>
      </w:r>
      <w:r>
        <w:rPr>
          <w:rFonts w:hint="eastAsia" w:ascii="仿宋_GB2312"/>
          <w:szCs w:val="32"/>
        </w:rPr>
        <w:t>万元，原因是：人员经费逐年增加以及创城宣传投入。</w:t>
      </w:r>
      <w:bookmarkEnd w:id="15"/>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ascii="仿宋_GB2312"/>
                <w:sz w:val="24"/>
                <w:szCs w:val="24"/>
              </w:rPr>
              <w:t>1.89</w:t>
            </w:r>
          </w:p>
        </w:tc>
        <w:tc>
          <w:tcPr>
            <w:tcW w:w="1446" w:type="dxa"/>
          </w:tcPr>
          <w:p>
            <w:pPr>
              <w:ind w:firstLine="0" w:firstLineChars="0"/>
              <w:jc w:val="center"/>
              <w:rPr>
                <w:rFonts w:ascii="仿宋_GB2312"/>
                <w:sz w:val="24"/>
                <w:szCs w:val="24"/>
              </w:rPr>
            </w:pPr>
            <w:r>
              <w:rPr>
                <w:rFonts w:ascii="仿宋_GB2312"/>
                <w:sz w:val="24"/>
                <w:szCs w:val="24"/>
              </w:rPr>
              <w:t>2.10</w:t>
            </w:r>
          </w:p>
        </w:tc>
        <w:tc>
          <w:tcPr>
            <w:tcW w:w="1446" w:type="dxa"/>
          </w:tcPr>
          <w:p>
            <w:pPr>
              <w:ind w:firstLine="0" w:firstLineChars="0"/>
              <w:jc w:val="center"/>
              <w:rPr>
                <w:rFonts w:ascii="仿宋_GB2312"/>
                <w:sz w:val="24"/>
                <w:szCs w:val="24"/>
              </w:rPr>
            </w:pPr>
            <w:r>
              <w:rPr>
                <w:rFonts w:ascii="仿宋_GB2312"/>
                <w:sz w:val="24"/>
                <w:szCs w:val="24"/>
              </w:rPr>
              <w:t>2.49</w:t>
            </w:r>
          </w:p>
        </w:tc>
        <w:tc>
          <w:tcPr>
            <w:tcW w:w="1474"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0.21</w:t>
            </w:r>
            <w:r>
              <w:rPr>
                <w:rFonts w:hint="eastAsia" w:ascii="仿宋_GB2312"/>
                <w:sz w:val="24"/>
                <w:szCs w:val="24"/>
              </w:rPr>
              <w:t>万元</w:t>
            </w:r>
          </w:p>
        </w:tc>
        <w:tc>
          <w:tcPr>
            <w:tcW w:w="1417" w:type="dxa"/>
          </w:tcPr>
          <w:p>
            <w:pPr>
              <w:ind w:firstLine="0" w:firstLineChars="0"/>
              <w:jc w:val="center"/>
              <w:rPr>
                <w:rFonts w:ascii="仿宋_GB2312"/>
                <w:sz w:val="24"/>
                <w:szCs w:val="24"/>
              </w:rPr>
            </w:pPr>
            <w:r>
              <w:rPr>
                <w:rFonts w:hint="eastAsia" w:ascii="仿宋_GB2312"/>
                <w:sz w:val="24"/>
                <w:szCs w:val="24"/>
              </w:rPr>
              <w:t>减少</w:t>
            </w:r>
            <w:r>
              <w:rPr>
                <w:rFonts w:ascii="仿宋_GB2312"/>
                <w:sz w:val="24"/>
                <w:szCs w:val="24"/>
              </w:rPr>
              <w:t>0.6</w:t>
            </w:r>
            <w:r>
              <w:rPr>
                <w:rFonts w:hint="eastAsia" w:ascii="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ascii="仿宋_GB2312"/>
                <w:sz w:val="24"/>
                <w:szCs w:val="24"/>
              </w:rPr>
              <w:t>1.89</w:t>
            </w:r>
          </w:p>
        </w:tc>
        <w:tc>
          <w:tcPr>
            <w:tcW w:w="1446" w:type="dxa"/>
          </w:tcPr>
          <w:p>
            <w:pPr>
              <w:ind w:firstLine="0" w:firstLineChars="0"/>
              <w:jc w:val="center"/>
              <w:rPr>
                <w:rFonts w:ascii="仿宋_GB2312"/>
                <w:sz w:val="24"/>
                <w:szCs w:val="24"/>
              </w:rPr>
            </w:pPr>
            <w:r>
              <w:rPr>
                <w:rFonts w:ascii="仿宋_GB2312"/>
                <w:sz w:val="24"/>
                <w:szCs w:val="24"/>
              </w:rPr>
              <w:t>1.92</w:t>
            </w:r>
          </w:p>
        </w:tc>
        <w:tc>
          <w:tcPr>
            <w:tcW w:w="1446" w:type="dxa"/>
          </w:tcPr>
          <w:p>
            <w:pPr>
              <w:ind w:firstLine="0" w:firstLineChars="0"/>
              <w:jc w:val="center"/>
              <w:rPr>
                <w:rFonts w:ascii="仿宋_GB2312"/>
                <w:sz w:val="24"/>
                <w:szCs w:val="24"/>
              </w:rPr>
            </w:pPr>
            <w:r>
              <w:rPr>
                <w:rFonts w:ascii="仿宋_GB2312"/>
                <w:sz w:val="24"/>
                <w:szCs w:val="24"/>
              </w:rPr>
              <w:t>2.49</w:t>
            </w:r>
          </w:p>
        </w:tc>
        <w:tc>
          <w:tcPr>
            <w:tcW w:w="1474"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0.21</w:t>
            </w:r>
            <w:r>
              <w:rPr>
                <w:rFonts w:hint="eastAsia" w:ascii="仿宋_GB2312"/>
                <w:sz w:val="24"/>
                <w:szCs w:val="24"/>
              </w:rPr>
              <w:t>万元</w:t>
            </w:r>
          </w:p>
        </w:tc>
        <w:tc>
          <w:tcPr>
            <w:tcW w:w="1417"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0.6</w:t>
            </w:r>
            <w:r>
              <w:rPr>
                <w:rFonts w:hint="eastAsia" w:ascii="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bookmarkStart w:id="16"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ascii="仿宋_GB2312"/>
                <w:sz w:val="24"/>
                <w:szCs w:val="24"/>
              </w:rPr>
              <w:t>1.89</w:t>
            </w:r>
          </w:p>
        </w:tc>
        <w:tc>
          <w:tcPr>
            <w:tcW w:w="1446" w:type="dxa"/>
          </w:tcPr>
          <w:p>
            <w:pPr>
              <w:ind w:firstLine="0" w:firstLineChars="0"/>
              <w:jc w:val="center"/>
              <w:rPr>
                <w:rFonts w:ascii="仿宋_GB2312"/>
                <w:sz w:val="24"/>
                <w:szCs w:val="24"/>
              </w:rPr>
            </w:pPr>
            <w:r>
              <w:rPr>
                <w:rFonts w:ascii="仿宋_GB2312"/>
                <w:sz w:val="24"/>
                <w:szCs w:val="24"/>
              </w:rPr>
              <w:t>1.92</w:t>
            </w:r>
          </w:p>
        </w:tc>
        <w:tc>
          <w:tcPr>
            <w:tcW w:w="1446" w:type="dxa"/>
          </w:tcPr>
          <w:p>
            <w:pPr>
              <w:ind w:firstLine="0" w:firstLineChars="0"/>
              <w:jc w:val="center"/>
              <w:rPr>
                <w:rFonts w:ascii="仿宋_GB2312"/>
                <w:sz w:val="24"/>
                <w:szCs w:val="24"/>
              </w:rPr>
            </w:pPr>
            <w:r>
              <w:rPr>
                <w:rFonts w:ascii="仿宋_GB2312"/>
                <w:sz w:val="24"/>
                <w:szCs w:val="24"/>
              </w:rPr>
              <w:t>2.49</w:t>
            </w:r>
          </w:p>
        </w:tc>
        <w:tc>
          <w:tcPr>
            <w:tcW w:w="1474"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0.21</w:t>
            </w:r>
            <w:r>
              <w:rPr>
                <w:rFonts w:hint="eastAsia" w:ascii="仿宋_GB2312"/>
                <w:sz w:val="24"/>
                <w:szCs w:val="24"/>
              </w:rPr>
              <w:t>万元</w:t>
            </w:r>
          </w:p>
        </w:tc>
        <w:tc>
          <w:tcPr>
            <w:tcW w:w="1417"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0.6</w:t>
            </w:r>
            <w:r>
              <w:rPr>
                <w:rFonts w:hint="eastAsia" w:ascii="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0.18</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spacing w:line="400" w:lineRule="exact"/>
              <w:ind w:firstLine="0" w:firstLineChars="0"/>
              <w:jc w:val="center"/>
              <w:rPr>
                <w:rFonts w:ascii="仿宋_GB2312"/>
                <w:sz w:val="24"/>
                <w:szCs w:val="24"/>
              </w:rPr>
            </w:pPr>
            <w:r>
              <w:rPr>
                <w:rFonts w:hint="eastAsia" w:ascii="仿宋_GB2312"/>
                <w:sz w:val="24"/>
                <w:szCs w:val="24"/>
              </w:rPr>
              <w:t>减少</w:t>
            </w:r>
            <w:r>
              <w:rPr>
                <w:rFonts w:ascii="仿宋_GB2312"/>
                <w:sz w:val="24"/>
                <w:szCs w:val="24"/>
              </w:rPr>
              <w:t>0.18</w:t>
            </w:r>
            <w:r>
              <w:rPr>
                <w:rFonts w:hint="eastAsia" w:ascii="仿宋_GB2312"/>
                <w:sz w:val="24"/>
                <w:szCs w:val="24"/>
              </w:rPr>
              <w:t>万元</w:t>
            </w:r>
          </w:p>
        </w:tc>
        <w:tc>
          <w:tcPr>
            <w:tcW w:w="1417" w:type="dxa"/>
          </w:tcPr>
          <w:p>
            <w:pPr>
              <w:spacing w:line="400" w:lineRule="exact"/>
              <w:ind w:firstLine="0" w:firstLineChars="0"/>
              <w:jc w:val="center"/>
              <w:rPr>
                <w:rFonts w:ascii="仿宋_GB2312"/>
                <w:sz w:val="24"/>
                <w:szCs w:val="24"/>
              </w:rPr>
            </w:pPr>
            <w:r>
              <w:rPr>
                <w:rFonts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1.89</w:t>
      </w:r>
      <w:r>
        <w:rPr>
          <w:rFonts w:hint="eastAsia" w:ascii="仿宋_GB2312"/>
          <w:szCs w:val="32"/>
        </w:rPr>
        <w:t>万元，与年初预算相比减少</w:t>
      </w:r>
      <w:r>
        <w:rPr>
          <w:rFonts w:ascii="仿宋_GB2312"/>
          <w:szCs w:val="32"/>
        </w:rPr>
        <w:t>0.21</w:t>
      </w:r>
      <w:r>
        <w:rPr>
          <w:rFonts w:hint="eastAsia" w:ascii="仿宋_GB2312"/>
          <w:szCs w:val="32"/>
        </w:rPr>
        <w:t>万元，</w:t>
      </w:r>
      <w:bookmarkStart w:id="17" w:name="OLE_LINK38"/>
      <w:bookmarkStart w:id="18" w:name="OLE_LINK39"/>
      <w:bookmarkStart w:id="19" w:name="OLE_LINK10"/>
      <w:bookmarkStart w:id="20" w:name="OLE_LINK8"/>
      <w:r>
        <w:rPr>
          <w:rFonts w:hint="eastAsia" w:ascii="仿宋_GB2312"/>
          <w:szCs w:val="32"/>
        </w:rPr>
        <w:t>降低</w:t>
      </w:r>
      <w:r>
        <w:rPr>
          <w:rFonts w:ascii="仿宋_GB2312"/>
          <w:szCs w:val="32"/>
        </w:rPr>
        <w:t>10%</w:t>
      </w:r>
      <w:bookmarkEnd w:id="17"/>
      <w:bookmarkEnd w:id="18"/>
      <w:r>
        <w:rPr>
          <w:rFonts w:hint="eastAsia" w:ascii="仿宋_GB2312"/>
          <w:szCs w:val="32"/>
        </w:rPr>
        <w:t>，</w:t>
      </w:r>
      <w:bookmarkEnd w:id="19"/>
      <w:bookmarkEnd w:id="20"/>
      <w:r>
        <w:rPr>
          <w:rFonts w:hint="eastAsia" w:ascii="仿宋_GB2312"/>
          <w:szCs w:val="32"/>
        </w:rPr>
        <w:t>原因是：节约资源</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年度决算数相比减少</w:t>
      </w:r>
      <w:r>
        <w:rPr>
          <w:rFonts w:ascii="仿宋_GB2312"/>
          <w:szCs w:val="32"/>
        </w:rPr>
        <w:t>0.6</w:t>
      </w:r>
      <w:r>
        <w:rPr>
          <w:rFonts w:hint="eastAsia" w:ascii="仿宋_GB2312"/>
          <w:szCs w:val="32"/>
        </w:rPr>
        <w:t>万元，降低</w:t>
      </w:r>
      <w:r>
        <w:rPr>
          <w:rFonts w:ascii="仿宋_GB2312"/>
          <w:szCs w:val="32"/>
        </w:rPr>
        <w:t>24.10%</w:t>
      </w:r>
      <w:r>
        <w:rPr>
          <w:rFonts w:hint="eastAsia" w:ascii="仿宋_GB2312"/>
          <w:szCs w:val="32"/>
        </w:rPr>
        <w:t>，原因是：节约资源。</w:t>
      </w:r>
    </w:p>
    <w:p>
      <w:pPr>
        <w:ind w:firstLine="643"/>
        <w:rPr>
          <w:rFonts w:ascii="仿宋_GB2312"/>
          <w:szCs w:val="32"/>
        </w:rPr>
      </w:pPr>
      <w:bookmarkStart w:id="21" w:name="OLE_LINK7"/>
      <w:r>
        <w:rPr>
          <w:rFonts w:ascii="仿宋_GB2312"/>
          <w:b/>
          <w:szCs w:val="32"/>
        </w:rPr>
        <w:t>2</w:t>
      </w:r>
      <w:r>
        <w:rPr>
          <w:rFonts w:hint="eastAsia" w:ascii="仿宋_GB2312"/>
          <w:b/>
          <w:szCs w:val="32"/>
        </w:rPr>
        <w:t>．</w:t>
      </w:r>
      <w:bookmarkEnd w:id="21"/>
      <w:bookmarkStart w:id="22" w:name="OLE_LINK9"/>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pPr>
        <w:ind w:firstLine="643"/>
        <w:rPr>
          <w:rFonts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3" w:name="OLE_LINK19"/>
      <w:bookmarkStart w:id="24" w:name="OLE_LINK18"/>
      <w:r>
        <w:rPr>
          <w:rFonts w:hint="eastAsia" w:ascii="仿宋_GB2312"/>
          <w:szCs w:val="32"/>
        </w:rPr>
        <w:t>度公务用车购置及运行维护费</w:t>
      </w:r>
      <w:bookmarkEnd w:id="23"/>
      <w:bookmarkEnd w:id="24"/>
      <w:r>
        <w:rPr>
          <w:rFonts w:ascii="仿宋_GB2312"/>
          <w:szCs w:val="32"/>
        </w:rPr>
        <w:t>1.89</w:t>
      </w:r>
      <w:r>
        <w:rPr>
          <w:rFonts w:hint="eastAsia" w:ascii="仿宋_GB2312"/>
          <w:szCs w:val="32"/>
        </w:rPr>
        <w:t>万元，与年初预算相比减少</w:t>
      </w:r>
      <w:r>
        <w:rPr>
          <w:rFonts w:ascii="仿宋_GB2312"/>
          <w:szCs w:val="32"/>
        </w:rPr>
        <w:t>0.21</w:t>
      </w:r>
      <w:r>
        <w:rPr>
          <w:rFonts w:hint="eastAsia" w:ascii="仿宋_GB2312"/>
          <w:szCs w:val="32"/>
        </w:rPr>
        <w:t>万元，降低</w:t>
      </w:r>
      <w:r>
        <w:rPr>
          <w:rFonts w:ascii="仿宋_GB2312"/>
          <w:szCs w:val="32"/>
        </w:rPr>
        <w:t>10.94%</w:t>
      </w:r>
      <w:r>
        <w:rPr>
          <w:rFonts w:hint="eastAsia" w:ascii="仿宋_GB2312"/>
          <w:szCs w:val="32"/>
        </w:rPr>
        <w:t>，原因是：节约资源，与</w:t>
      </w:r>
      <w:r>
        <w:rPr>
          <w:rFonts w:ascii="仿宋_GB2312"/>
          <w:szCs w:val="32"/>
        </w:rPr>
        <w:t>2016</w:t>
      </w:r>
      <w:r>
        <w:rPr>
          <w:rFonts w:hint="eastAsia" w:ascii="仿宋_GB2312"/>
          <w:szCs w:val="32"/>
        </w:rPr>
        <w:t>年度决算数相比减少</w:t>
      </w:r>
      <w:r>
        <w:rPr>
          <w:rFonts w:ascii="仿宋_GB2312"/>
          <w:szCs w:val="32"/>
        </w:rPr>
        <w:t>0.6</w:t>
      </w:r>
      <w:r>
        <w:rPr>
          <w:rFonts w:hint="eastAsia" w:ascii="仿宋_GB2312"/>
          <w:szCs w:val="32"/>
        </w:rPr>
        <w:t>万元，降低</w:t>
      </w:r>
      <w:r>
        <w:rPr>
          <w:rFonts w:ascii="仿宋_GB2312"/>
          <w:szCs w:val="32"/>
        </w:rPr>
        <w:t>24.10%</w:t>
      </w:r>
      <w:r>
        <w:rPr>
          <w:rFonts w:hint="eastAsia" w:ascii="仿宋_GB2312"/>
          <w:szCs w:val="32"/>
        </w:rPr>
        <w:t>，原因是：</w:t>
      </w:r>
      <w:bookmarkEnd w:id="22"/>
      <w:r>
        <w:rPr>
          <w:rFonts w:hint="eastAsia" w:ascii="仿宋_GB2312"/>
          <w:szCs w:val="32"/>
        </w:rPr>
        <w:t>节约资源。</w:t>
      </w:r>
    </w:p>
    <w:p>
      <w:pPr>
        <w:ind w:firstLine="640"/>
        <w:rPr>
          <w:rFonts w:ascii="仿宋_GB2312"/>
          <w:szCs w:val="32"/>
        </w:rPr>
      </w:pPr>
      <w:r>
        <w:rPr>
          <w:rFonts w:hint="eastAsia" w:ascii="仿宋_GB2312"/>
          <w:szCs w:val="32"/>
        </w:rPr>
        <w:t>其中：公务用车购置费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年未发生公务用车购置费，年初预算未安排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年也未发生公务用车购置费。</w:t>
      </w:r>
    </w:p>
    <w:p>
      <w:pPr>
        <w:ind w:firstLine="640"/>
        <w:rPr>
          <w:rFonts w:ascii="仿宋_GB2312"/>
          <w:szCs w:val="32"/>
        </w:rPr>
      </w:pPr>
      <w:r>
        <w:rPr>
          <w:rFonts w:hint="eastAsia" w:ascii="仿宋_GB2312"/>
          <w:szCs w:val="32"/>
        </w:rPr>
        <w:t>其中：公务用车维护费</w:t>
      </w:r>
      <w:r>
        <w:rPr>
          <w:rFonts w:ascii="仿宋_GB2312"/>
          <w:szCs w:val="32"/>
        </w:rPr>
        <w:t xml:space="preserve">, </w:t>
      </w:r>
      <w:r>
        <w:rPr>
          <w:rFonts w:hint="eastAsia" w:ascii="仿宋_GB2312"/>
          <w:szCs w:val="32"/>
        </w:rPr>
        <w:t>与年初预算相比减少</w:t>
      </w:r>
      <w:r>
        <w:rPr>
          <w:rFonts w:ascii="仿宋_GB2312"/>
          <w:szCs w:val="32"/>
        </w:rPr>
        <w:t>0.21</w:t>
      </w:r>
      <w:r>
        <w:rPr>
          <w:rFonts w:hint="eastAsia" w:ascii="仿宋_GB2312"/>
          <w:szCs w:val="32"/>
        </w:rPr>
        <w:t>万元，降低</w:t>
      </w:r>
      <w:r>
        <w:rPr>
          <w:rFonts w:ascii="仿宋_GB2312"/>
          <w:szCs w:val="32"/>
        </w:rPr>
        <w:t>10.94%</w:t>
      </w:r>
      <w:r>
        <w:rPr>
          <w:rFonts w:hint="eastAsia" w:ascii="仿宋_GB2312"/>
          <w:szCs w:val="32"/>
        </w:rPr>
        <w:t>，原因是：节约资源，与</w:t>
      </w:r>
      <w:r>
        <w:rPr>
          <w:rFonts w:ascii="仿宋_GB2312"/>
          <w:szCs w:val="32"/>
        </w:rPr>
        <w:t>2016</w:t>
      </w:r>
      <w:r>
        <w:rPr>
          <w:rFonts w:hint="eastAsia" w:ascii="仿宋_GB2312"/>
          <w:szCs w:val="32"/>
        </w:rPr>
        <w:t>年度决算数相比减少</w:t>
      </w:r>
      <w:r>
        <w:rPr>
          <w:rFonts w:ascii="仿宋_GB2312"/>
          <w:szCs w:val="32"/>
        </w:rPr>
        <w:t>0.6</w:t>
      </w:r>
      <w:r>
        <w:rPr>
          <w:rFonts w:hint="eastAsia" w:ascii="仿宋_GB2312"/>
          <w:szCs w:val="32"/>
        </w:rPr>
        <w:t>万元，降低</w:t>
      </w:r>
      <w:r>
        <w:rPr>
          <w:rFonts w:ascii="仿宋_GB2312"/>
          <w:szCs w:val="32"/>
        </w:rPr>
        <w:t>24.10%</w:t>
      </w:r>
      <w:r>
        <w:rPr>
          <w:rFonts w:hint="eastAsia" w:ascii="仿宋_GB2312"/>
          <w:szCs w:val="32"/>
        </w:rPr>
        <w:t>，原因是：节约资源。</w:t>
      </w:r>
    </w:p>
    <w:p>
      <w:pPr>
        <w:ind w:firstLine="643"/>
        <w:rPr>
          <w:rFonts w:ascii="仿宋_GB2312"/>
          <w:color w:val="FF0000"/>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w:t>
      </w:r>
      <w:bookmarkStart w:id="25" w:name="OLE_LINK20"/>
      <w:r>
        <w:rPr>
          <w:rFonts w:hint="eastAsia" w:ascii="仿宋_GB2312"/>
          <w:szCs w:val="32"/>
        </w:rPr>
        <w:t>度公务接待费</w:t>
      </w:r>
      <w:bookmarkEnd w:id="25"/>
      <w:r>
        <w:rPr>
          <w:rFonts w:ascii="仿宋_GB2312"/>
          <w:szCs w:val="32"/>
        </w:rPr>
        <w:t>0</w:t>
      </w:r>
      <w:r>
        <w:rPr>
          <w:rFonts w:hint="eastAsia" w:ascii="仿宋_GB2312"/>
          <w:szCs w:val="32"/>
        </w:rPr>
        <w:t>万元，与年初预算相比减少</w:t>
      </w:r>
      <w:r>
        <w:rPr>
          <w:rFonts w:ascii="仿宋_GB2312"/>
          <w:szCs w:val="32"/>
        </w:rPr>
        <w:t>0.18</w:t>
      </w:r>
      <w:r>
        <w:rPr>
          <w:rFonts w:hint="eastAsia" w:ascii="仿宋_GB2312"/>
          <w:szCs w:val="32"/>
        </w:rPr>
        <w:t>万元，</w:t>
      </w:r>
      <w:r>
        <w:rPr>
          <w:rFonts w:ascii="仿宋_GB2312"/>
          <w:szCs w:val="32"/>
        </w:rPr>
        <w:t>2016</w:t>
      </w:r>
      <w:r>
        <w:rPr>
          <w:rFonts w:hint="eastAsia" w:ascii="仿宋_GB2312"/>
          <w:szCs w:val="32"/>
        </w:rPr>
        <w:t>年决算数为</w:t>
      </w:r>
      <w:r>
        <w:rPr>
          <w:rFonts w:ascii="仿宋_GB2312"/>
          <w:szCs w:val="32"/>
        </w:rPr>
        <w:t>0</w:t>
      </w:r>
      <w:r>
        <w:rPr>
          <w:rFonts w:hint="eastAsia" w:ascii="仿宋_GB2312"/>
          <w:szCs w:val="32"/>
        </w:rPr>
        <w:t>万元，</w:t>
      </w:r>
      <w:r>
        <w:rPr>
          <w:rFonts w:hint="eastAsia" w:ascii="仿宋_GB2312" w:cs="仿宋_GB2312"/>
        </w:rPr>
        <w:t>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64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1</w:t>
      </w:r>
      <w:r>
        <w:rPr>
          <w:rFonts w:hint="eastAsia" w:ascii="仿宋_GB2312"/>
          <w:szCs w:val="32"/>
        </w:rPr>
        <w:t>辆；</w:t>
      </w:r>
    </w:p>
    <w:p>
      <w:pPr>
        <w:ind w:firstLine="64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 xml:space="preserve"> 0</w:t>
      </w:r>
      <w:r>
        <w:rPr>
          <w:rFonts w:hint="eastAsia" w:ascii="仿宋_GB2312"/>
          <w:szCs w:val="32"/>
        </w:rPr>
        <w:t>人次；</w:t>
      </w:r>
    </w:p>
    <w:p>
      <w:pPr>
        <w:ind w:firstLine="64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（一）预算绩效管理工作开展情况</w:t>
      </w:r>
    </w:p>
    <w:p>
      <w:pPr>
        <w:ind w:firstLine="640"/>
        <w:rPr>
          <w:rFonts w:ascii="仿宋_GB2312" w:cs="仿宋_GB2312"/>
        </w:rPr>
      </w:pPr>
      <w:r>
        <w:rPr>
          <w:rFonts w:hint="eastAsia" w:ascii="仿宋_GB2312" w:cs="仿宋_GB2312"/>
        </w:rPr>
        <w:t>本着把太阳城打造成文化特色突显、充满经济活力、绿色生态环保特色的商业区。确定阶段性的工作重点和措施，部署工作任务，进行体系建设，更好地开展管理工作。</w:t>
      </w:r>
    </w:p>
    <w:p>
      <w:pPr>
        <w:ind w:firstLine="640"/>
        <w:rPr>
          <w:rFonts w:ascii="仿宋_GB2312"/>
          <w:szCs w:val="32"/>
        </w:rPr>
      </w:pPr>
      <w:r>
        <w:rPr>
          <w:rFonts w:hint="eastAsia" w:ascii="仿宋_GB2312"/>
          <w:szCs w:val="32"/>
        </w:rPr>
        <w:t>（二）预算项目绩效评价开展情况</w:t>
      </w:r>
    </w:p>
    <w:p>
      <w:pPr>
        <w:ind w:firstLine="640"/>
        <w:rPr>
          <w:rFonts w:ascii="仿宋_GB2312"/>
          <w:szCs w:val="32"/>
        </w:rPr>
      </w:pPr>
      <w:r>
        <w:rPr>
          <w:rFonts w:hint="eastAsia" w:ascii="仿宋_GB2312"/>
          <w:szCs w:val="32"/>
        </w:rPr>
        <w:t>严格遵守规章制度、严格履职程序，恪尽工作职守，工作细致认真，无差错发生，保证按时完成领导交办的各项工作任务。有效实施太阳城管理机制，提高对商户的服务质量，确保城区良好秩序。</w:t>
      </w:r>
    </w:p>
    <w:p>
      <w:pPr>
        <w:ind w:firstLine="640"/>
        <w:rPr>
          <w:rFonts w:ascii="仿宋_GB2312"/>
          <w:szCs w:val="32"/>
        </w:rPr>
      </w:pPr>
      <w:r>
        <w:rPr>
          <w:rFonts w:hint="eastAsia" w:ascii="仿宋_GB2312"/>
          <w:szCs w:val="32"/>
        </w:rPr>
        <w:t>（三）预算项目绩效自评选例</w:t>
      </w:r>
    </w:p>
    <w:p>
      <w:pPr>
        <w:ind w:firstLine="640"/>
        <w:rPr>
          <w:rFonts w:ascii="仿宋_GB2312" w:cs="仿宋_GB2312"/>
        </w:rPr>
      </w:pPr>
      <w:r>
        <w:rPr>
          <w:rFonts w:hint="eastAsia" w:ascii="仿宋_GB2312" w:cs="仿宋_GB2312"/>
        </w:rPr>
        <w:t>深入开展城市容貌专项整治活动，重点对流动商贩、店外占道经营、交通秩序进行综合治理，优化城区发展环境。健全保洁制度、严格作业标准、细化保洁责任，完善勤查细巡体系。</w:t>
      </w:r>
    </w:p>
    <w:p>
      <w:pPr>
        <w:ind w:firstLine="640"/>
        <w:rPr>
          <w:rFonts w:ascii="仿宋_GB2312"/>
          <w:szCs w:val="32"/>
        </w:rPr>
      </w:pPr>
      <w:r>
        <w:rPr>
          <w:rFonts w:hint="eastAsia" w:ascii="仿宋_GB2312"/>
          <w:szCs w:val="32"/>
        </w:rPr>
        <w:t>（四）部门决算量化评价说明</w:t>
      </w:r>
    </w:p>
    <w:p>
      <w:pPr>
        <w:ind w:firstLine="640"/>
        <w:rPr>
          <w:rFonts w:ascii="仿宋_GB2312"/>
          <w:szCs w:val="32"/>
        </w:rPr>
      </w:pPr>
      <w:r>
        <w:rPr>
          <w:rFonts w:hint="eastAsia" w:ascii="仿宋_GB2312" w:hAnsi="仿宋_GB2312" w:cs="仿宋_GB2312"/>
          <w:szCs w:val="32"/>
        </w:rPr>
        <w:t>我部门绩效预算执行情况通过部门决算软件进行测评后得分为</w:t>
      </w:r>
      <w:r>
        <w:rPr>
          <w:rFonts w:ascii="仿宋_GB2312" w:hAnsi="仿宋_GB2312" w:cs="仿宋_GB2312"/>
          <w:szCs w:val="32"/>
        </w:rPr>
        <w:t>82.5</w:t>
      </w:r>
      <w:r>
        <w:rPr>
          <w:rFonts w:hint="eastAsia" w:ascii="仿宋_GB2312" w:hAnsi="仿宋_GB2312" w:cs="仿宋_GB2312"/>
          <w:szCs w:val="32"/>
        </w:rPr>
        <w:t>分，主要扣分及原因为：</w:t>
      </w:r>
      <w:r>
        <w:rPr>
          <w:rFonts w:ascii="仿宋_GB2312" w:hAnsi="仿宋_GB2312" w:cs="仿宋_GB2312"/>
          <w:szCs w:val="32"/>
        </w:rPr>
        <w:t>1</w:t>
      </w:r>
      <w:r>
        <w:rPr>
          <w:rFonts w:hint="eastAsia" w:ascii="仿宋_GB2312" w:hAnsi="仿宋_GB2312" w:cs="仿宋_GB2312"/>
          <w:szCs w:val="32"/>
        </w:rPr>
        <w:t>、财政拨款收入预决算差异率扣分，原因是对年初预算收入预估不足。</w:t>
      </w:r>
      <w:r>
        <w:rPr>
          <w:rFonts w:ascii="仿宋_GB2312" w:hAnsi="仿宋_GB2312" w:cs="仿宋_GB2312"/>
          <w:szCs w:val="32"/>
        </w:rPr>
        <w:t>2</w:t>
      </w:r>
      <w:r>
        <w:rPr>
          <w:rFonts w:hint="eastAsia" w:ascii="仿宋_GB2312" w:hAnsi="仿宋_GB2312" w:cs="仿宋_GB2312"/>
          <w:szCs w:val="32"/>
        </w:rPr>
        <w:t>、人员经费预决算差异率扣分，原因是人员经费增加、上调薪级和调整社会保险等。</w:t>
      </w:r>
      <w:r>
        <w:rPr>
          <w:rFonts w:ascii="仿宋_GB2312" w:hAnsi="仿宋_GB2312" w:cs="仿宋_GB2312"/>
          <w:szCs w:val="32"/>
        </w:rPr>
        <w:t>3</w:t>
      </w:r>
      <w:r>
        <w:rPr>
          <w:rFonts w:hint="eastAsia" w:ascii="仿宋_GB2312" w:hAnsi="仿宋_GB2312" w:cs="仿宋_GB2312"/>
          <w:szCs w:val="32"/>
        </w:rPr>
        <w:t>、公用经费预决算差异率扣分，原因是用于公用经费支出增加、创城宣传工作量增加</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865.65</w:t>
      </w:r>
      <w:r>
        <w:rPr>
          <w:rFonts w:hint="eastAsia" w:ascii="仿宋_GB2312"/>
          <w:szCs w:val="32"/>
        </w:rPr>
        <w:t>万元，比</w:t>
      </w:r>
      <w:r>
        <w:rPr>
          <w:rFonts w:ascii="仿宋_GB2312"/>
          <w:szCs w:val="32"/>
        </w:rPr>
        <w:t>2016</w:t>
      </w:r>
      <w:r>
        <w:rPr>
          <w:rFonts w:hint="eastAsia" w:ascii="仿宋_GB2312"/>
          <w:szCs w:val="32"/>
        </w:rPr>
        <w:t>年度增加</w:t>
      </w:r>
      <w:r>
        <w:rPr>
          <w:rFonts w:ascii="仿宋_GB2312"/>
          <w:szCs w:val="32"/>
        </w:rPr>
        <w:t>104.76</w:t>
      </w:r>
      <w:r>
        <w:rPr>
          <w:rFonts w:hint="eastAsia" w:ascii="仿宋_GB2312"/>
          <w:szCs w:val="32"/>
        </w:rPr>
        <w:t>万元，</w:t>
      </w:r>
      <w:bookmarkStart w:id="26" w:name="OLE_LINK6"/>
      <w:r>
        <w:rPr>
          <w:rFonts w:hint="eastAsia" w:ascii="仿宋_GB2312"/>
          <w:szCs w:val="32"/>
        </w:rPr>
        <w:t>增长</w:t>
      </w:r>
      <w:r>
        <w:rPr>
          <w:rFonts w:ascii="仿宋_GB2312"/>
          <w:szCs w:val="32"/>
        </w:rPr>
        <w:t>13.77%</w:t>
      </w:r>
      <w:bookmarkEnd w:id="26"/>
      <w:r>
        <w:rPr>
          <w:rFonts w:hint="eastAsia" w:ascii="仿宋_GB2312"/>
          <w:szCs w:val="32"/>
        </w:rPr>
        <w:t>。主要原因是：人员经费逐年增加以及创城宣传投入。</w:t>
      </w:r>
    </w:p>
    <w:p>
      <w:pPr>
        <w:ind w:firstLine="643"/>
        <w:rPr>
          <w:rFonts w:ascii="仿宋_GB2312"/>
          <w:szCs w:val="32"/>
        </w:rPr>
      </w:pPr>
      <w:r>
        <w:rPr>
          <w:rFonts w:ascii="仿宋" w:hAnsi="仿宋" w:eastAsia="仿宋"/>
          <w:b/>
          <w:szCs w:val="32"/>
        </w:rPr>
        <w:t>2</w:t>
      </w:r>
      <w:r>
        <w:rPr>
          <w:rFonts w:hint="eastAsia" w:ascii="仿宋" w:hAnsi="仿宋" w:eastAsia="仿宋"/>
          <w:b/>
          <w:szCs w:val="32"/>
        </w:rPr>
        <w:t>．政府采购情况</w:t>
      </w:r>
      <w:bookmarkStart w:id="27" w:name="OLE_LINK50"/>
      <w:bookmarkStart w:id="28" w:name="OLE_LINK48"/>
      <w:bookmarkStart w:id="29" w:name="OLE_LINK49"/>
      <w:r>
        <w:rPr>
          <w:rFonts w:hint="eastAsia" w:ascii="仿宋" w:hAnsi="仿宋" w:eastAsia="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292.74</w:t>
      </w:r>
      <w:r>
        <w:rPr>
          <w:rFonts w:hint="eastAsia" w:ascii="仿宋_GB2312"/>
          <w:szCs w:val="32"/>
        </w:rPr>
        <w:t>万元，其中：政府采购货物支出</w:t>
      </w:r>
      <w:r>
        <w:rPr>
          <w:rFonts w:ascii="仿宋_GB2312"/>
          <w:szCs w:val="32"/>
        </w:rPr>
        <w:t>5.17</w:t>
      </w:r>
      <w:r>
        <w:rPr>
          <w:rFonts w:hint="eastAsia" w:ascii="仿宋_GB2312"/>
          <w:szCs w:val="32"/>
        </w:rPr>
        <w:t>万元、政府采购工程支出</w:t>
      </w:r>
      <w:r>
        <w:rPr>
          <w:rFonts w:ascii="仿宋_GB2312"/>
          <w:szCs w:val="32"/>
        </w:rPr>
        <w:t>285.59</w:t>
      </w:r>
      <w:r>
        <w:rPr>
          <w:rFonts w:hint="eastAsia" w:ascii="仿宋_GB2312"/>
          <w:szCs w:val="32"/>
        </w:rPr>
        <w:t>万元、政府采购服</w:t>
      </w:r>
      <w:bookmarkEnd w:id="27"/>
      <w:bookmarkEnd w:id="28"/>
      <w:bookmarkEnd w:id="29"/>
      <w:r>
        <w:rPr>
          <w:rFonts w:hint="eastAsia" w:ascii="仿宋_GB2312"/>
          <w:szCs w:val="32"/>
        </w:rPr>
        <w:t>务支出</w:t>
      </w:r>
      <w:r>
        <w:rPr>
          <w:rFonts w:ascii="仿宋_GB2312"/>
          <w:szCs w:val="32"/>
        </w:rPr>
        <w:t>1.98</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713.94</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684.81</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496.75</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426.64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217.19</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258.17</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bookmarkStart w:id="30"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35.47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87.44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27</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27</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22</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8.47</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60.44</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181.71</w:t>
            </w: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170.73</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21</w:t>
            </w:r>
            <w:r>
              <w:rPr>
                <w:rFonts w:hint="eastAsia" w:ascii="宋体" w:hAnsi="宋体" w:eastAsia="宋体" w:cs="Arial"/>
                <w:color w:val="000000"/>
                <w:kern w:val="0"/>
                <w:sz w:val="22"/>
              </w:rPr>
              <w:t>　</w:t>
            </w:r>
          </w:p>
        </w:tc>
      </w:tr>
      <w:bookmarkEnd w:id="30"/>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258.17</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40.98</w:t>
      </w:r>
      <w:r>
        <w:rPr>
          <w:rFonts w:hint="eastAsia" w:ascii="仿宋_GB2312"/>
          <w:szCs w:val="32"/>
        </w:rPr>
        <w:t>万元，主要原因是：采购办公所用的通用设备等。</w:t>
      </w:r>
    </w:p>
    <w:p>
      <w:pPr>
        <w:ind w:firstLine="640"/>
        <w:rPr>
          <w:rFonts w:ascii="仿宋_GB2312"/>
          <w:color w:val="FF0000"/>
          <w:szCs w:val="32"/>
        </w:rPr>
      </w:pPr>
      <w:r>
        <w:rPr>
          <w:rFonts w:hint="eastAsia" w:ascii="仿宋_GB2312"/>
          <w:szCs w:val="32"/>
        </w:rPr>
        <w:t>本部门共有车辆</w:t>
      </w:r>
      <w:r>
        <w:rPr>
          <w:rFonts w:ascii="仿宋_GB2312"/>
          <w:szCs w:val="32"/>
        </w:rPr>
        <w:t>22</w:t>
      </w:r>
      <w:r>
        <w:rPr>
          <w:rFonts w:hint="eastAsia" w:ascii="仿宋_GB2312"/>
          <w:szCs w:val="32"/>
        </w:rPr>
        <w:t>辆，其中，一般公务用车</w:t>
      </w:r>
      <w:r>
        <w:rPr>
          <w:rFonts w:ascii="仿宋_GB2312"/>
          <w:szCs w:val="32"/>
        </w:rPr>
        <w:t>1</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21</w:t>
      </w:r>
      <w:r>
        <w:rPr>
          <w:rFonts w:hint="eastAsia" w:ascii="仿宋_GB2312"/>
          <w:szCs w:val="32"/>
        </w:rPr>
        <w:t>辆，其他用车主要是垃圾车和保洁车；单位价值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640"/>
        <w:rPr>
          <w:rFonts w:ascii="仿宋" w:hAnsi="仿宋" w:eastAsia="仿宋"/>
          <w:szCs w:val="32"/>
        </w:rPr>
      </w:pPr>
      <w:r>
        <w:rPr>
          <w:rFonts w:hint="eastAsia" w:ascii="仿宋" w:hAnsi="仿宋" w:eastAsia="仿宋"/>
          <w:szCs w:val="32"/>
        </w:rPr>
        <w:t>会议费支出情况。</w:t>
      </w:r>
      <w:r>
        <w:rPr>
          <w:rFonts w:ascii="仿宋" w:hAnsi="仿宋" w:eastAsia="仿宋"/>
          <w:szCs w:val="32"/>
        </w:rPr>
        <w:t>2017</w:t>
      </w:r>
      <w:r>
        <w:rPr>
          <w:rFonts w:hint="eastAsia" w:ascii="仿宋" w:hAnsi="仿宋" w:eastAsia="仿宋"/>
          <w:szCs w:val="32"/>
        </w:rPr>
        <w:t>年会议费总计</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年支出为</w:t>
      </w:r>
      <w:r>
        <w:rPr>
          <w:rFonts w:ascii="仿宋" w:hAnsi="仿宋" w:eastAsia="仿宋"/>
          <w:szCs w:val="32"/>
        </w:rPr>
        <w:t>0</w:t>
      </w:r>
      <w:r>
        <w:rPr>
          <w:rFonts w:hint="eastAsia" w:ascii="仿宋" w:hAnsi="仿宋" w:eastAsia="仿宋"/>
          <w:szCs w:val="32"/>
        </w:rPr>
        <w:t>万元，无增减，原因是：按规定严格控制。</w:t>
      </w:r>
    </w:p>
    <w:p>
      <w:pPr>
        <w:ind w:firstLine="640"/>
        <w:rPr>
          <w:rFonts w:ascii="仿宋_GB2312"/>
          <w:b/>
          <w:szCs w:val="32"/>
        </w:rPr>
      </w:pPr>
      <w:r>
        <w:rPr>
          <w:rFonts w:hint="eastAsia" w:ascii="仿宋" w:hAnsi="仿宋" w:eastAsia="仿宋"/>
          <w:szCs w:val="32"/>
        </w:rPr>
        <w:t>培训费支出情况。</w:t>
      </w:r>
      <w:r>
        <w:rPr>
          <w:rFonts w:ascii="仿宋" w:hAnsi="仿宋" w:eastAsia="仿宋"/>
          <w:szCs w:val="32"/>
        </w:rPr>
        <w:t>2017</w:t>
      </w:r>
      <w:r>
        <w:rPr>
          <w:rFonts w:hint="eastAsia" w:ascii="仿宋" w:hAnsi="仿宋" w:eastAsia="仿宋"/>
          <w:szCs w:val="32"/>
        </w:rPr>
        <w:t>年培训费总计</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年支出为</w:t>
      </w:r>
      <w:r>
        <w:rPr>
          <w:rFonts w:ascii="仿宋" w:hAnsi="仿宋" w:eastAsia="仿宋"/>
          <w:szCs w:val="32"/>
        </w:rPr>
        <w:t>0</w:t>
      </w:r>
      <w:r>
        <w:rPr>
          <w:rFonts w:hint="eastAsia" w:ascii="仿宋" w:hAnsi="仿宋" w:eastAsia="仿宋"/>
          <w:szCs w:val="32"/>
        </w:rPr>
        <w:t>万元，无增减，原因是</w:t>
      </w:r>
      <w:r>
        <w:rPr>
          <w:rFonts w:ascii="仿宋" w:hAnsi="仿宋" w:eastAsia="仿宋"/>
          <w:szCs w:val="32"/>
        </w:rPr>
        <w:t>:</w:t>
      </w:r>
      <w:r>
        <w:rPr>
          <w:rFonts w:hint="eastAsia" w:ascii="仿宋" w:hAnsi="仿宋" w:eastAsia="仿宋"/>
          <w:szCs w:val="32"/>
        </w:rPr>
        <w:t>按规定严格控制。</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64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E7609"/>
    <w:rsid w:val="000F00FD"/>
    <w:rsid w:val="00103253"/>
    <w:rsid w:val="00105F5C"/>
    <w:rsid w:val="0011224D"/>
    <w:rsid w:val="00127C8F"/>
    <w:rsid w:val="00136200"/>
    <w:rsid w:val="00146A85"/>
    <w:rsid w:val="00155A0C"/>
    <w:rsid w:val="00172A9E"/>
    <w:rsid w:val="00175A3A"/>
    <w:rsid w:val="0017741E"/>
    <w:rsid w:val="0019263B"/>
    <w:rsid w:val="001A74DB"/>
    <w:rsid w:val="001C1ACA"/>
    <w:rsid w:val="001F41FA"/>
    <w:rsid w:val="00204503"/>
    <w:rsid w:val="00231700"/>
    <w:rsid w:val="002446E7"/>
    <w:rsid w:val="00271D6D"/>
    <w:rsid w:val="0027309A"/>
    <w:rsid w:val="00273E03"/>
    <w:rsid w:val="0029596B"/>
    <w:rsid w:val="002A3356"/>
    <w:rsid w:val="002C12EA"/>
    <w:rsid w:val="002D1C92"/>
    <w:rsid w:val="00305FCB"/>
    <w:rsid w:val="00310A7C"/>
    <w:rsid w:val="00312F9F"/>
    <w:rsid w:val="003155B1"/>
    <w:rsid w:val="003209A7"/>
    <w:rsid w:val="0035260A"/>
    <w:rsid w:val="003D144F"/>
    <w:rsid w:val="003F6043"/>
    <w:rsid w:val="00404BA5"/>
    <w:rsid w:val="00405DD5"/>
    <w:rsid w:val="00413965"/>
    <w:rsid w:val="00443128"/>
    <w:rsid w:val="00450D4D"/>
    <w:rsid w:val="004E7B5F"/>
    <w:rsid w:val="004F1F8E"/>
    <w:rsid w:val="00502034"/>
    <w:rsid w:val="00503A60"/>
    <w:rsid w:val="005046AD"/>
    <w:rsid w:val="005462E5"/>
    <w:rsid w:val="00562ED9"/>
    <w:rsid w:val="00593550"/>
    <w:rsid w:val="00594763"/>
    <w:rsid w:val="005C39CD"/>
    <w:rsid w:val="005C5A21"/>
    <w:rsid w:val="005C7CFB"/>
    <w:rsid w:val="005E2EB4"/>
    <w:rsid w:val="005E382E"/>
    <w:rsid w:val="005E7137"/>
    <w:rsid w:val="006003A4"/>
    <w:rsid w:val="00630D6A"/>
    <w:rsid w:val="00632195"/>
    <w:rsid w:val="006508EE"/>
    <w:rsid w:val="00661402"/>
    <w:rsid w:val="00661FC6"/>
    <w:rsid w:val="00682F9B"/>
    <w:rsid w:val="006A1D43"/>
    <w:rsid w:val="006B012E"/>
    <w:rsid w:val="006C00CA"/>
    <w:rsid w:val="006C38D2"/>
    <w:rsid w:val="006D6A17"/>
    <w:rsid w:val="006F5699"/>
    <w:rsid w:val="006F7A05"/>
    <w:rsid w:val="00712D5F"/>
    <w:rsid w:val="00744B46"/>
    <w:rsid w:val="00746674"/>
    <w:rsid w:val="007C06D9"/>
    <w:rsid w:val="007C4984"/>
    <w:rsid w:val="007D592B"/>
    <w:rsid w:val="0080381A"/>
    <w:rsid w:val="008248C5"/>
    <w:rsid w:val="00830C9C"/>
    <w:rsid w:val="008529DA"/>
    <w:rsid w:val="008716D0"/>
    <w:rsid w:val="008951B5"/>
    <w:rsid w:val="008C78C5"/>
    <w:rsid w:val="008D45B2"/>
    <w:rsid w:val="008F3A14"/>
    <w:rsid w:val="009176FC"/>
    <w:rsid w:val="0092275C"/>
    <w:rsid w:val="00937A08"/>
    <w:rsid w:val="00945029"/>
    <w:rsid w:val="00952574"/>
    <w:rsid w:val="00965AC4"/>
    <w:rsid w:val="0097491F"/>
    <w:rsid w:val="009A2241"/>
    <w:rsid w:val="009D3E47"/>
    <w:rsid w:val="009F4499"/>
    <w:rsid w:val="00A05198"/>
    <w:rsid w:val="00A13A55"/>
    <w:rsid w:val="00A266EB"/>
    <w:rsid w:val="00A4272B"/>
    <w:rsid w:val="00A513A6"/>
    <w:rsid w:val="00A93803"/>
    <w:rsid w:val="00AA33A5"/>
    <w:rsid w:val="00AB34E3"/>
    <w:rsid w:val="00AC4640"/>
    <w:rsid w:val="00AC76D6"/>
    <w:rsid w:val="00AF2C1C"/>
    <w:rsid w:val="00B42B02"/>
    <w:rsid w:val="00B65536"/>
    <w:rsid w:val="00B701EF"/>
    <w:rsid w:val="00B72BF5"/>
    <w:rsid w:val="00B86180"/>
    <w:rsid w:val="00B9072C"/>
    <w:rsid w:val="00B96A7F"/>
    <w:rsid w:val="00BA26B2"/>
    <w:rsid w:val="00BB55D2"/>
    <w:rsid w:val="00BC4069"/>
    <w:rsid w:val="00BC625F"/>
    <w:rsid w:val="00BF1C0F"/>
    <w:rsid w:val="00C36EFE"/>
    <w:rsid w:val="00CD7A43"/>
    <w:rsid w:val="00CE7AA1"/>
    <w:rsid w:val="00CF1175"/>
    <w:rsid w:val="00CF7D21"/>
    <w:rsid w:val="00D012AA"/>
    <w:rsid w:val="00D2211A"/>
    <w:rsid w:val="00D2301D"/>
    <w:rsid w:val="00D34D1F"/>
    <w:rsid w:val="00D4698B"/>
    <w:rsid w:val="00D51081"/>
    <w:rsid w:val="00D82AF5"/>
    <w:rsid w:val="00D87BD4"/>
    <w:rsid w:val="00DE515A"/>
    <w:rsid w:val="00E03175"/>
    <w:rsid w:val="00E5216F"/>
    <w:rsid w:val="00E7487B"/>
    <w:rsid w:val="00E84F9A"/>
    <w:rsid w:val="00EA5972"/>
    <w:rsid w:val="00EB45A9"/>
    <w:rsid w:val="00EB63A9"/>
    <w:rsid w:val="00EC62AA"/>
    <w:rsid w:val="00ED09E5"/>
    <w:rsid w:val="00ED6876"/>
    <w:rsid w:val="00ED6B4C"/>
    <w:rsid w:val="00EF136D"/>
    <w:rsid w:val="00EF493B"/>
    <w:rsid w:val="00F0518B"/>
    <w:rsid w:val="00F05F78"/>
    <w:rsid w:val="00F06F8D"/>
    <w:rsid w:val="00F702D2"/>
    <w:rsid w:val="00F7462B"/>
    <w:rsid w:val="00F9758A"/>
    <w:rsid w:val="00FC3BAC"/>
    <w:rsid w:val="00FD5BCA"/>
    <w:rsid w:val="00FD6ED4"/>
    <w:rsid w:val="00FF65FE"/>
    <w:rsid w:val="40A10418"/>
    <w:rsid w:val="55866A20"/>
    <w:rsid w:val="77EE0D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Times New Roman"/>
      <w:kern w:val="0"/>
      <w:sz w:val="18"/>
      <w:szCs w:val="18"/>
    </w:rPr>
  </w:style>
  <w:style w:type="character" w:customStyle="1" w:styleId="8">
    <w:name w:val="Header Char"/>
    <w:basedOn w:val="6"/>
    <w:link w:val="3"/>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21</Pages>
  <Words>868</Words>
  <Characters>4948</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2019-03-13T09:41:00Z</dcterms:created>
  <dc:creator>jia</dc:creator>
  <cp:lastModifiedBy>Lenovo</cp:lastModifiedBy>
  <dcterms:modified xsi:type="dcterms:W3CDTF">2019-03-14T07:40:27Z</dcterms:modified>
  <dc:title>2017年度部门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