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秦皇岛市海港区东港镇人民政府</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秦皇岛市海港区东港镇人民政府</w:t>
      </w:r>
      <w:r>
        <w:rPr>
          <w:rFonts w:eastAsia="黑体"/>
          <w:szCs w:val="32"/>
        </w:rPr>
        <w:t>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秦皇岛市海港区东港镇人民政府</w:t>
      </w:r>
      <w:r>
        <w:rPr>
          <w:rFonts w:eastAsia="黑体"/>
          <w:szCs w:val="32"/>
        </w:rPr>
        <w:t>2017年度部门决算报表</w:t>
      </w:r>
    </w:p>
    <w:p>
      <w:pPr>
        <w:widowControl/>
        <w:spacing w:line="580" w:lineRule="exact"/>
        <w:ind w:firstLine="640"/>
        <w:rPr>
          <w:szCs w:val="32"/>
        </w:rPr>
      </w:pPr>
      <w:r>
        <w:rPr>
          <w:rFonts w:hint="eastAsia"/>
          <w:szCs w:val="32"/>
        </w:rPr>
        <w:t xml:space="preserve">    </w:t>
      </w: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bookmarkStart w:id="0" w:name="OLE_LINK21"/>
      <w:r>
        <w:rPr>
          <w:rFonts w:hint="eastAsia" w:eastAsia="黑体"/>
          <w:szCs w:val="32"/>
        </w:rPr>
        <w:t>秦皇岛市海港区东港镇人民政府</w:t>
      </w:r>
      <w:r>
        <w:rPr>
          <w:rFonts w:eastAsia="黑体"/>
          <w:szCs w:val="32"/>
        </w:rPr>
        <w:t>2017年</w:t>
      </w:r>
      <w:r>
        <w:rPr>
          <w:rFonts w:hint="eastAsia" w:eastAsia="黑体"/>
          <w:szCs w:val="32"/>
        </w:rPr>
        <w:t>度</w:t>
      </w:r>
      <w:r>
        <w:rPr>
          <w:rFonts w:eastAsia="黑体"/>
          <w:szCs w:val="32"/>
        </w:rPr>
        <w:t>部门决算情况说明</w:t>
      </w:r>
    </w:p>
    <w:p>
      <w:pPr>
        <w:widowControl/>
        <w:spacing w:line="580" w:lineRule="exact"/>
        <w:ind w:firstLine="640"/>
        <w:rPr>
          <w:szCs w:val="32"/>
        </w:rPr>
      </w:pPr>
      <w:r>
        <w:rPr>
          <w:rFonts w:hint="eastAsia"/>
          <w:szCs w:val="32"/>
        </w:rPr>
        <w:t xml:space="preserve">    </w:t>
      </w:r>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6"/>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bookmarkEnd w:id="7"/>
    <w:p>
      <w:pPr>
        <w:widowControl/>
        <w:spacing w:line="240" w:lineRule="auto"/>
        <w:ind w:firstLine="0" w:firstLineChars="0"/>
        <w:jc w:val="center"/>
        <w:rPr>
          <w:rFonts w:ascii="黑体" w:hAnsi="黑体" w:eastAsia="黑体"/>
          <w:szCs w:val="32"/>
        </w:rPr>
      </w:pPr>
      <w:r>
        <w:rPr>
          <w:rFonts w:hint="eastAsia" w:ascii="黑体" w:hAnsi="黑体" w:eastAsia="黑体"/>
          <w:sz w:val="72"/>
          <w:szCs w:val="72"/>
        </w:rPr>
        <w:t>秦皇岛市海港区东港镇人民政府概况</w:t>
      </w:r>
      <w:r>
        <w:rPr>
          <w:rFonts w:ascii="黑体" w:hAnsi="黑体" w:eastAsia="黑体"/>
          <w:szCs w:val="32"/>
        </w:rPr>
        <w:br w:type="page"/>
      </w:r>
    </w:p>
    <w:p>
      <w:pPr>
        <w:ind w:firstLine="480"/>
        <w:rPr>
          <w:rFonts w:ascii="仿宋_GB2312" w:hAnsi="黑体"/>
          <w:sz w:val="24"/>
          <w:szCs w:val="32"/>
        </w:rPr>
      </w:pPr>
    </w:p>
    <w:bookmarkEnd w:id="6"/>
    <w:p>
      <w:pPr>
        <w:ind w:firstLine="1273" w:firstLineChars="398"/>
        <w:rPr>
          <w:rFonts w:hint="eastAsia" w:ascii="仿宋_GB2312" w:hAnsi="黑体"/>
          <w:szCs w:val="32"/>
        </w:rPr>
      </w:pPr>
      <w:bookmarkStart w:id="8" w:name="OLE_LINK14"/>
      <w:r>
        <w:rPr>
          <w:rFonts w:hint="eastAsia" w:ascii="仿宋_GB2312" w:hAnsi="黑体"/>
          <w:szCs w:val="32"/>
        </w:rPr>
        <w:t>一、部门职责</w:t>
      </w:r>
    </w:p>
    <w:p>
      <w:pPr>
        <w:ind w:firstLine="640"/>
        <w:rPr>
          <w:rFonts w:ascii="仿宋" w:hAnsi="仿宋" w:eastAsia="仿宋" w:cs="FZFangSong-Z02"/>
          <w:szCs w:val="32"/>
        </w:rPr>
      </w:pPr>
      <w:r>
        <w:rPr>
          <w:rFonts w:hint="eastAsia" w:ascii="仿宋" w:hAnsi="仿宋" w:eastAsia="仿宋" w:cs="FZFangSong-Z02"/>
          <w:szCs w:val="32"/>
        </w:rPr>
        <w:t>海港区东港镇人民政府为财政全额拨款正科级行政单位，负责对辖区行使管理、监督、协调、服务职能。内设党政办公室、社会事务办公室、经济发展办公室、综合治理办公室、财政所、公共事务服务站、人口和计划生育服务站</w:t>
      </w:r>
      <w:r>
        <w:rPr>
          <w:rFonts w:ascii="仿宋" w:hAnsi="仿宋" w:eastAsia="仿宋" w:cs="FZFangSong-Z02"/>
          <w:szCs w:val="32"/>
        </w:rPr>
        <w:t>7</w:t>
      </w:r>
      <w:r>
        <w:rPr>
          <w:rFonts w:hint="eastAsia" w:ascii="仿宋" w:hAnsi="仿宋" w:eastAsia="仿宋" w:cs="FZFangSong-Z02"/>
          <w:szCs w:val="32"/>
        </w:rPr>
        <w:t>大科室。</w:t>
      </w:r>
    </w:p>
    <w:p>
      <w:pPr>
        <w:ind w:firstLine="640"/>
        <w:rPr>
          <w:rFonts w:ascii="仿宋" w:hAnsi="仿宋" w:eastAsia="仿宋"/>
          <w:szCs w:val="32"/>
        </w:rPr>
      </w:pPr>
      <w:r>
        <w:rPr>
          <w:rFonts w:hint="eastAsia" w:ascii="仿宋" w:hAnsi="仿宋" w:eastAsia="仿宋"/>
          <w:szCs w:val="32"/>
        </w:rPr>
        <w:t>主要职能有四项：</w:t>
      </w:r>
    </w:p>
    <w:p>
      <w:pPr>
        <w:ind w:firstLine="640"/>
        <w:rPr>
          <w:rFonts w:ascii="仿宋" w:hAnsi="仿宋" w:eastAsia="仿宋"/>
          <w:szCs w:val="32"/>
        </w:rPr>
      </w:pPr>
      <w:r>
        <w:rPr>
          <w:rFonts w:ascii="仿宋" w:hAnsi="仿宋" w:eastAsia="仿宋"/>
          <w:szCs w:val="32"/>
        </w:rPr>
        <w:t>1</w:t>
      </w:r>
      <w:r>
        <w:rPr>
          <w:rFonts w:hint="eastAsia" w:ascii="仿宋" w:hAnsi="仿宋" w:eastAsia="仿宋"/>
          <w:szCs w:val="32"/>
        </w:rPr>
        <w:t>、促进经济发展；</w:t>
      </w:r>
    </w:p>
    <w:p>
      <w:pPr>
        <w:ind w:firstLine="640"/>
        <w:rPr>
          <w:rFonts w:ascii="仿宋" w:hAnsi="仿宋" w:eastAsia="仿宋"/>
          <w:szCs w:val="32"/>
        </w:rPr>
      </w:pPr>
      <w:r>
        <w:rPr>
          <w:rFonts w:ascii="仿宋" w:hAnsi="仿宋" w:eastAsia="仿宋"/>
          <w:szCs w:val="32"/>
        </w:rPr>
        <w:t>2</w:t>
      </w:r>
      <w:r>
        <w:rPr>
          <w:rFonts w:hint="eastAsia" w:ascii="仿宋" w:hAnsi="仿宋" w:eastAsia="仿宋"/>
          <w:szCs w:val="32"/>
        </w:rPr>
        <w:t>、加强社会管理；</w:t>
      </w:r>
    </w:p>
    <w:p>
      <w:pPr>
        <w:ind w:firstLine="640"/>
        <w:rPr>
          <w:rFonts w:ascii="仿宋" w:hAnsi="仿宋" w:eastAsia="仿宋"/>
          <w:szCs w:val="32"/>
        </w:rPr>
      </w:pPr>
      <w:r>
        <w:rPr>
          <w:rFonts w:ascii="仿宋" w:hAnsi="仿宋" w:eastAsia="仿宋"/>
          <w:szCs w:val="32"/>
        </w:rPr>
        <w:t>3</w:t>
      </w:r>
      <w:r>
        <w:rPr>
          <w:rFonts w:hint="eastAsia" w:ascii="仿宋" w:hAnsi="仿宋" w:eastAsia="仿宋"/>
          <w:szCs w:val="32"/>
        </w:rPr>
        <w:t>、提供公共服务；</w:t>
      </w:r>
    </w:p>
    <w:p>
      <w:pPr>
        <w:ind w:firstLine="640"/>
        <w:rPr>
          <w:rFonts w:ascii="仿宋" w:hAnsi="仿宋" w:eastAsia="仿宋"/>
          <w:szCs w:val="32"/>
        </w:rPr>
      </w:pPr>
      <w:r>
        <w:rPr>
          <w:rFonts w:ascii="仿宋" w:hAnsi="仿宋" w:eastAsia="仿宋"/>
          <w:szCs w:val="32"/>
        </w:rPr>
        <w:t>4</w:t>
      </w:r>
      <w:r>
        <w:rPr>
          <w:rFonts w:hint="eastAsia" w:ascii="仿宋" w:hAnsi="仿宋" w:eastAsia="仿宋"/>
          <w:szCs w:val="32"/>
        </w:rPr>
        <w:t>、维护农村稳定。</w:t>
      </w:r>
    </w:p>
    <w:p>
      <w:pPr>
        <w:ind w:firstLine="1273" w:firstLineChars="398"/>
        <w:rPr>
          <w:rFonts w:ascii="仿宋_GB2312" w:hAnsi="黑体"/>
          <w:szCs w:val="32"/>
        </w:rPr>
      </w:pP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ascii="仿宋_GB2312" w:hAnsi="黑体"/>
          <w:szCs w:val="32"/>
        </w:rPr>
      </w:pPr>
    </w:p>
    <w:tbl>
      <w:tblPr>
        <w:tblStyle w:val="6"/>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hint="eastAsia" w:ascii="仿宋_GB2312" w:hAnsi="黑体"/>
                <w:sz w:val="28"/>
                <w:szCs w:val="28"/>
              </w:rPr>
            </w:pPr>
            <w:r>
              <w:rPr>
                <w:rFonts w:hint="eastAsia" w:ascii="仿宋_GB2312" w:hAnsi="黑体"/>
                <w:sz w:val="28"/>
                <w:szCs w:val="28"/>
              </w:rPr>
              <w:t>秦皇岛市海港区东港镇人民政府</w:t>
            </w:r>
          </w:p>
        </w:tc>
        <w:tc>
          <w:tcPr>
            <w:tcW w:w="2208"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行政</w:t>
            </w:r>
            <w:r>
              <w:rPr>
                <w:rFonts w:hint="eastAsia" w:ascii="仿宋_GB2312" w:hAnsi="黑体"/>
                <w:sz w:val="28"/>
                <w:szCs w:val="28"/>
                <w:lang w:eastAsia="zh-CN"/>
              </w:rPr>
              <w:t>单位</w:t>
            </w:r>
            <w:bookmarkStart w:id="22" w:name="_GoBack"/>
            <w:bookmarkEnd w:id="22"/>
          </w:p>
        </w:tc>
        <w:tc>
          <w:tcPr>
            <w:tcW w:w="2209"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财政拨款</w:t>
            </w:r>
          </w:p>
        </w:tc>
      </w:tr>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bookmarkEnd w:id="9"/>
    <w:p>
      <w:pPr>
        <w:spacing w:line="240" w:lineRule="auto"/>
        <w:ind w:firstLine="0" w:firstLineChars="0"/>
        <w:jc w:val="left"/>
        <w:rPr>
          <w:rFonts w:ascii="黑体" w:hAnsi="黑体" w:eastAsia="黑体"/>
          <w:sz w:val="72"/>
          <w:szCs w:val="72"/>
        </w:rPr>
      </w:pPr>
      <w:r>
        <w:rPr>
          <w:rFonts w:hint="eastAsia" w:ascii="黑体" w:hAnsi="黑体" w:eastAsia="黑体"/>
          <w:sz w:val="72"/>
          <w:szCs w:val="72"/>
        </w:rPr>
        <w:t>秦皇岛市海港区东港镇人民政府201</w:t>
      </w:r>
      <w:r>
        <w:rPr>
          <w:rFonts w:ascii="黑体" w:hAnsi="黑体" w:eastAsia="黑体"/>
          <w:sz w:val="72"/>
          <w:szCs w:val="72"/>
        </w:rPr>
        <w:t>7</w:t>
      </w:r>
      <w:r>
        <w:rPr>
          <w:rFonts w:hint="eastAsia" w:ascii="黑体" w:hAnsi="黑体" w:eastAsia="黑体"/>
          <w:sz w:val="72"/>
          <w:szCs w:val="72"/>
        </w:rPr>
        <w:t>年度部门决算报表</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秦皇岛市海港区东港镇人民政府201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spacing w:line="240" w:lineRule="auto"/>
        <w:ind w:firstLine="0" w:firstLineChars="0"/>
        <w:jc w:val="center"/>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640"/>
        <w:rPr>
          <w:rFonts w:ascii="仿宋_GB2312"/>
          <w:szCs w:val="32"/>
        </w:rPr>
      </w:pPr>
      <w:bookmarkStart w:id="12" w:name="OLE_LINK23"/>
      <w:r>
        <w:rPr>
          <w:rFonts w:hint="eastAsia" w:ascii="仿宋_GB2312"/>
          <w:szCs w:val="32"/>
        </w:rPr>
        <w:t>2017年度决算收入合计 1262.18万元，决算支出合计3481.87万元，</w:t>
      </w:r>
      <w:bookmarkStart w:id="13" w:name="OLE_LINK37"/>
      <w:r>
        <w:rPr>
          <w:rFonts w:hint="eastAsia" w:ascii="仿宋_GB2312"/>
          <w:szCs w:val="32"/>
        </w:rPr>
        <w:t>年初结转和结余2315.35万元，年末结转和结余95.65万元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年度收入与年初预算对比增加459.94万元，原因是：政策性调资增加基本支出，创城项目增加经费支出；与2</w:t>
      </w:r>
      <w:r>
        <w:rPr>
          <w:rFonts w:ascii="仿宋_GB2312"/>
          <w:szCs w:val="32"/>
        </w:rPr>
        <w:t>016</w:t>
      </w:r>
      <w:r>
        <w:rPr>
          <w:rFonts w:hint="eastAsia" w:ascii="仿宋_GB2312"/>
          <w:szCs w:val="32"/>
        </w:rPr>
        <w:t>年度收入相比，减少2213.26万元，原因是：农林水项目减少项目支出。</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年度支出与年初预算对比增加2679.63万元，原因是：政策性调资增加基本支出，创城项目增加经费支出；与2</w:t>
      </w:r>
      <w:r>
        <w:rPr>
          <w:rFonts w:ascii="仿宋_GB2312"/>
          <w:szCs w:val="32"/>
        </w:rPr>
        <w:t>016</w:t>
      </w:r>
      <w:r>
        <w:rPr>
          <w:rFonts w:hint="eastAsia" w:ascii="仿宋_GB2312"/>
          <w:szCs w:val="32"/>
        </w:rPr>
        <w:t>年度支出相比，增加2108.68万元，原因是：政策性调资增加基本支出，创城项目增加经费支出。</w:t>
      </w:r>
    </w:p>
    <w:bookmarkEnd w:id="10"/>
    <w:bookmarkEnd w:id="11"/>
    <w:bookmarkEnd w:id="12"/>
    <w:p>
      <w:pPr>
        <w:ind w:firstLine="643"/>
        <w:rPr>
          <w:rFonts w:ascii="楷体" w:hAnsi="楷体" w:eastAsia="楷体"/>
          <w:b/>
          <w:szCs w:val="32"/>
        </w:rPr>
      </w:pPr>
      <w:bookmarkStart w:id="14" w:name="OLE_LINK4"/>
      <w:bookmarkStart w:id="15" w:name="OLE_LINK3"/>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年度收入合计1262.18万元，其中：财政拨款收入1262.18万元，占总收入 100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年度支出合计3481.87万元，其中：</w:t>
      </w:r>
      <w:bookmarkStart w:id="16" w:name="OLE_LINK35"/>
      <w:r>
        <w:rPr>
          <w:rFonts w:hint="eastAsia" w:ascii="仿宋" w:hAnsi="仿宋" w:eastAsia="仿宋"/>
          <w:szCs w:val="32"/>
        </w:rPr>
        <w:t>基本支出1153.02万元，占总支出 33.11%；</w:t>
      </w:r>
      <w:bookmarkEnd w:id="16"/>
      <w:r>
        <w:rPr>
          <w:rFonts w:hint="eastAsia" w:ascii="仿宋" w:hAnsi="仿宋" w:eastAsia="仿宋"/>
          <w:szCs w:val="32"/>
        </w:rPr>
        <w:t>项目支出2328.85万元，占总支出66.89%。</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7" w:name="OLE_LINK29"/>
      <w:r>
        <w:rPr>
          <w:rFonts w:hint="eastAsia" w:ascii="仿宋_GB2312"/>
          <w:szCs w:val="32"/>
        </w:rPr>
        <w:t>2017年度财政拨款收入决算合计</w:t>
      </w:r>
      <w:r>
        <w:rPr>
          <w:rFonts w:hint="eastAsia" w:ascii="仿宋" w:hAnsi="仿宋" w:eastAsia="仿宋"/>
          <w:szCs w:val="32"/>
        </w:rPr>
        <w:t>1262.18</w:t>
      </w:r>
      <w:r>
        <w:rPr>
          <w:rFonts w:hint="eastAsia" w:ascii="仿宋_GB2312"/>
          <w:szCs w:val="32"/>
        </w:rPr>
        <w:t>万元，财政拨款支出决算合计</w:t>
      </w:r>
      <w:r>
        <w:rPr>
          <w:rFonts w:hint="eastAsia" w:ascii="仿宋" w:hAnsi="仿宋" w:eastAsia="仿宋"/>
          <w:szCs w:val="32"/>
        </w:rPr>
        <w:t>3481.87</w:t>
      </w:r>
      <w:r>
        <w:rPr>
          <w:rFonts w:hint="eastAsia" w:ascii="仿宋_GB2312"/>
          <w:szCs w:val="32"/>
        </w:rPr>
        <w:t>万元，年初结转和结余2315.35万元，年末结转和结余95.65万元。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年度财政拨款收入与年初预算对比增加459.94万元，原因是：政策性调资增加基本支出，创城项目增加经费支出；与2</w:t>
      </w:r>
      <w:r>
        <w:rPr>
          <w:rFonts w:ascii="仿宋_GB2312"/>
          <w:szCs w:val="32"/>
        </w:rPr>
        <w:t>016</w:t>
      </w:r>
      <w:r>
        <w:rPr>
          <w:rFonts w:hint="eastAsia" w:ascii="仿宋_GB2312"/>
          <w:szCs w:val="32"/>
        </w:rPr>
        <w:t>年度相比，减少2213.26万元，原因是：农林水项目减少项目支出。</w:t>
      </w:r>
      <w:bookmarkEnd w:id="17"/>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年度支出与年初预算对比增加2679.63万元，原因是：政策性调资增加基本支出，创城项目增加经费支出；与2</w:t>
      </w:r>
      <w:r>
        <w:rPr>
          <w:rFonts w:ascii="仿宋_GB2312"/>
          <w:szCs w:val="32"/>
        </w:rPr>
        <w:t>016</w:t>
      </w:r>
      <w:r>
        <w:rPr>
          <w:rFonts w:hint="eastAsia" w:ascii="仿宋_GB2312"/>
          <w:szCs w:val="32"/>
        </w:rPr>
        <w:t>年度支出相比，增加2108.68万元，原因是：政策性调资增加基本支出，创城项目增加经费支出。</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6"/>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1.91</w:t>
            </w:r>
          </w:p>
        </w:tc>
        <w:tc>
          <w:tcPr>
            <w:tcW w:w="1446" w:type="dxa"/>
          </w:tcPr>
          <w:p>
            <w:pPr>
              <w:ind w:firstLine="0" w:firstLineChars="0"/>
              <w:jc w:val="center"/>
              <w:rPr>
                <w:rFonts w:ascii="仿宋_GB2312"/>
                <w:sz w:val="24"/>
                <w:szCs w:val="24"/>
              </w:rPr>
            </w:pPr>
            <w:r>
              <w:rPr>
                <w:rFonts w:hint="eastAsia" w:ascii="仿宋_GB2312"/>
                <w:sz w:val="24"/>
                <w:szCs w:val="24"/>
              </w:rPr>
              <w:t>2.87</w:t>
            </w:r>
          </w:p>
        </w:tc>
        <w:tc>
          <w:tcPr>
            <w:tcW w:w="1446" w:type="dxa"/>
          </w:tcPr>
          <w:p>
            <w:pPr>
              <w:ind w:firstLine="0" w:firstLineChars="0"/>
              <w:jc w:val="center"/>
              <w:rPr>
                <w:rFonts w:ascii="仿宋_GB2312"/>
                <w:sz w:val="24"/>
                <w:szCs w:val="24"/>
              </w:rPr>
            </w:pPr>
            <w:r>
              <w:rPr>
                <w:rFonts w:hint="eastAsia" w:ascii="仿宋_GB2312"/>
                <w:sz w:val="24"/>
                <w:szCs w:val="24"/>
              </w:rPr>
              <w:t>1.95</w:t>
            </w:r>
          </w:p>
        </w:tc>
        <w:tc>
          <w:tcPr>
            <w:tcW w:w="1474" w:type="dxa"/>
          </w:tcPr>
          <w:p>
            <w:pPr>
              <w:ind w:firstLine="0" w:firstLineChars="0"/>
              <w:jc w:val="center"/>
              <w:rPr>
                <w:rFonts w:ascii="仿宋_GB2312"/>
                <w:sz w:val="24"/>
                <w:szCs w:val="24"/>
              </w:rPr>
            </w:pPr>
            <w:r>
              <w:rPr>
                <w:rFonts w:hint="eastAsia" w:ascii="仿宋_GB2312"/>
                <w:sz w:val="24"/>
                <w:szCs w:val="24"/>
              </w:rPr>
              <w:t>-0.96</w:t>
            </w:r>
          </w:p>
        </w:tc>
        <w:tc>
          <w:tcPr>
            <w:tcW w:w="1417" w:type="dxa"/>
          </w:tcPr>
          <w:p>
            <w:pPr>
              <w:ind w:firstLine="0" w:firstLineChars="0"/>
              <w:jc w:val="center"/>
              <w:rPr>
                <w:rFonts w:ascii="仿宋_GB2312"/>
                <w:sz w:val="24"/>
                <w:szCs w:val="24"/>
              </w:rPr>
            </w:pPr>
            <w:r>
              <w:rPr>
                <w:rFonts w:hint="eastAsia" w:ascii="仿宋_GB2312"/>
                <w:sz w:val="24"/>
                <w:szCs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1.91</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74" w:type="dxa"/>
          </w:tcPr>
          <w:p>
            <w:pPr>
              <w:ind w:firstLine="0" w:firstLineChars="0"/>
              <w:jc w:val="center"/>
              <w:rPr>
                <w:rFonts w:ascii="仿宋_GB2312"/>
                <w:sz w:val="24"/>
                <w:szCs w:val="24"/>
              </w:rPr>
            </w:pPr>
            <w:r>
              <w:rPr>
                <w:rFonts w:hint="eastAsia" w:ascii="仿宋_GB2312"/>
                <w:sz w:val="24"/>
                <w:szCs w:val="24"/>
              </w:rPr>
              <w:t>-0.01</w:t>
            </w:r>
          </w:p>
        </w:tc>
        <w:tc>
          <w:tcPr>
            <w:tcW w:w="1417" w:type="dxa"/>
          </w:tcPr>
          <w:p>
            <w:pPr>
              <w:ind w:firstLine="0" w:firstLineChars="0"/>
              <w:jc w:val="center"/>
              <w:rPr>
                <w:rFonts w:ascii="仿宋_GB2312"/>
                <w:sz w:val="24"/>
                <w:szCs w:val="24"/>
              </w:rPr>
            </w:pPr>
            <w:r>
              <w:rPr>
                <w:rFonts w:hint="eastAsia" w:ascii="仿宋_GB2312"/>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18"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r>
              <w:rPr>
                <w:rFonts w:hint="eastAsia" w:ascii="仿宋_GB2312"/>
                <w:color w:val="auto"/>
                <w:sz w:val="24"/>
                <w:szCs w:val="24"/>
              </w:rPr>
              <w:t>其中：公务用车维护费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1.91</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1.92</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1.92</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-0.01</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-0.01</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0.95</w:t>
            </w:r>
          </w:p>
        </w:tc>
        <w:tc>
          <w:tcPr>
            <w:tcW w:w="1446" w:type="dxa"/>
          </w:tcPr>
          <w:p>
            <w:pPr>
              <w:ind w:firstLine="0" w:firstLineChars="0"/>
              <w:jc w:val="center"/>
              <w:rPr>
                <w:rFonts w:ascii="仿宋_GB2312"/>
                <w:sz w:val="24"/>
                <w:szCs w:val="24"/>
              </w:rPr>
            </w:pPr>
            <w:r>
              <w:rPr>
                <w:rFonts w:hint="eastAsia" w:ascii="仿宋_GB2312"/>
                <w:sz w:val="24"/>
                <w:szCs w:val="24"/>
              </w:rPr>
              <w:t>0.03</w:t>
            </w:r>
          </w:p>
        </w:tc>
        <w:tc>
          <w:tcPr>
            <w:tcW w:w="1474" w:type="dxa"/>
          </w:tcPr>
          <w:p>
            <w:pPr>
              <w:ind w:firstLine="0" w:firstLineChars="0"/>
              <w:jc w:val="center"/>
              <w:rPr>
                <w:rFonts w:ascii="仿宋_GB2312"/>
                <w:sz w:val="24"/>
                <w:szCs w:val="24"/>
              </w:rPr>
            </w:pPr>
            <w:r>
              <w:rPr>
                <w:rFonts w:hint="eastAsia" w:ascii="仿宋_GB2312"/>
                <w:sz w:val="24"/>
                <w:szCs w:val="24"/>
              </w:rPr>
              <w:t>-0.95</w:t>
            </w:r>
          </w:p>
        </w:tc>
        <w:tc>
          <w:tcPr>
            <w:tcW w:w="1417" w:type="dxa"/>
          </w:tcPr>
          <w:p>
            <w:pPr>
              <w:ind w:firstLine="0" w:firstLineChars="0"/>
              <w:jc w:val="center"/>
              <w:rPr>
                <w:rFonts w:ascii="仿宋_GB2312"/>
                <w:sz w:val="24"/>
                <w:szCs w:val="24"/>
              </w:rPr>
            </w:pPr>
            <w:r>
              <w:rPr>
                <w:rFonts w:hint="eastAsia" w:ascii="仿宋_GB2312"/>
                <w:sz w:val="24"/>
                <w:szCs w:val="24"/>
              </w:rPr>
              <w:t>-0.03</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年度“三公经费”支出总额1.91万元，与年初预算相比减少0.96万元，降低34%，原因是：减少使用公务用车，减少公务接待经费</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年度决算数相比减少0.04万元，原因是：减少公务用车，减少公务接待经费。</w:t>
      </w:r>
    </w:p>
    <w:p>
      <w:pPr>
        <w:ind w:firstLine="643"/>
        <w:rPr>
          <w:rFonts w:hint="eastAsia" w:ascii="仿宋_GB2312"/>
          <w:color w:val="auto"/>
          <w:szCs w:val="32"/>
          <w:highlight w:val="none"/>
        </w:rPr>
      </w:pPr>
      <w:r>
        <w:rPr>
          <w:rFonts w:hint="eastAsia" w:ascii="仿宋_GB2312"/>
          <w:b/>
          <w:szCs w:val="32"/>
        </w:rPr>
        <w:t>2．</w:t>
      </w:r>
      <w:r>
        <w:rPr>
          <w:rFonts w:ascii="仿宋_GB2312" w:cs="仿宋_GB2312"/>
        </w:rPr>
        <w:t>2017</w:t>
      </w:r>
      <w:r>
        <w:rPr>
          <w:rFonts w:hint="eastAsia" w:ascii="仿宋_GB2312" w:cs="仿宋_GB2312"/>
        </w:rPr>
        <w:t>年度因公出国（境）费</w:t>
      </w:r>
      <w:r>
        <w:rPr>
          <w:rFonts w:ascii="仿宋_GB2312" w:cs="仿宋_GB2312"/>
        </w:rPr>
        <w:t>0</w:t>
      </w:r>
      <w:r>
        <w:rPr>
          <w:rFonts w:hint="eastAsia" w:ascii="仿宋_GB2312" w:cs="仿宋_GB2312"/>
        </w:rPr>
        <w:t>万元，年初预算为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年未发生因公出国费用，年初预算未安排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年也未发生因公出国费用。</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年度公务用车购置及运行维护费1.91万元，与年初预算相比减少0.01万元，降低1%，原因是：减少使用公务用车，与2</w:t>
      </w:r>
      <w:r>
        <w:rPr>
          <w:rFonts w:ascii="仿宋_GB2312"/>
          <w:szCs w:val="32"/>
        </w:rPr>
        <w:t>016</w:t>
      </w:r>
      <w:r>
        <w:rPr>
          <w:rFonts w:hint="eastAsia" w:ascii="仿宋_GB2312"/>
          <w:szCs w:val="32"/>
        </w:rPr>
        <w:t>年度决算数相比减少0.01万元，原因是：减少使用公务用车。</w:t>
      </w:r>
    </w:p>
    <w:p>
      <w:pPr>
        <w:ind w:firstLine="640"/>
        <w:rPr>
          <w:rFonts w:hint="eastAsia" w:ascii="仿宋_GB2312" w:cs="仿宋_GB2312"/>
        </w:rPr>
      </w:pPr>
      <w:r>
        <w:rPr>
          <w:rFonts w:hint="eastAsia" w:ascii="仿宋_GB2312" w:cs="仿宋_GB2312"/>
        </w:rPr>
        <w:t>其中：公务用车购置费</w:t>
      </w:r>
      <w:r>
        <w:rPr>
          <w:rFonts w:ascii="仿宋_GB2312" w:cs="仿宋_GB2312"/>
        </w:rPr>
        <w:t>,</w:t>
      </w:r>
      <w:r>
        <w:rPr>
          <w:rFonts w:hint="eastAsia" w:ascii="仿宋_GB2312" w:cs="仿宋_GB2312"/>
        </w:rPr>
        <w:t xml:space="preserve"> 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年未发生公务用车购置费用，年初预算未安排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年也未发生公务用车购置费用。</w:t>
      </w:r>
    </w:p>
    <w:p>
      <w:pPr>
        <w:ind w:firstLine="640"/>
        <w:rPr>
          <w:rFonts w:ascii="仿宋_GB2312"/>
          <w:szCs w:val="32"/>
        </w:rPr>
      </w:pPr>
      <w:r>
        <w:rPr>
          <w:rFonts w:hint="eastAsia" w:ascii="仿宋_GB2312"/>
          <w:szCs w:val="32"/>
        </w:rPr>
        <w:t>其中：公务用车维护费,与年初预算相比减少0.01万元，降低1%，原因是：减少使用公务用车，与2016年度决算数相比减少，原因是：减少使用公务用车。</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年度公务接待费0万元，与年初预算相比减少0.95万元，降低100%，原因是：减少公务接待经费，与2</w:t>
      </w:r>
      <w:r>
        <w:rPr>
          <w:rFonts w:ascii="仿宋_GB2312"/>
          <w:szCs w:val="32"/>
        </w:rPr>
        <w:t>016</w:t>
      </w:r>
      <w:r>
        <w:rPr>
          <w:rFonts w:hint="eastAsia" w:ascii="仿宋_GB2312"/>
          <w:szCs w:val="32"/>
        </w:rPr>
        <w:t>年度决算数相比减少</w:t>
      </w:r>
      <w:r>
        <w:rPr>
          <w:rFonts w:hint="eastAsia" w:ascii="仿宋_GB2312"/>
          <w:szCs w:val="32"/>
          <w:lang w:val="en-US" w:eastAsia="zh-CN"/>
        </w:rPr>
        <w:t>0.03万元</w:t>
      </w:r>
      <w:r>
        <w:rPr>
          <w:rFonts w:hint="eastAsia" w:ascii="仿宋_GB2312"/>
          <w:szCs w:val="32"/>
        </w:rPr>
        <w:t>，原因是：减少公务接待经费。</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1．公务用车购置数量为0辆，公务用车保有量1辆；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3．公务接待批次0批次0人次。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hint="eastAsia" w:ascii="仿宋_GB2312"/>
          <w:szCs w:val="32"/>
        </w:rPr>
      </w:pPr>
      <w:r>
        <w:rPr>
          <w:rFonts w:hint="eastAsia" w:ascii="仿宋_GB2312"/>
          <w:szCs w:val="32"/>
        </w:rPr>
        <w:t>（一）预算绩效管理工作开展情况</w:t>
      </w:r>
    </w:p>
    <w:p>
      <w:pPr>
        <w:pStyle w:val="4"/>
        <w:shd w:val="clear" w:color="auto" w:fill="FFFFFF"/>
        <w:spacing w:before="0" w:beforeAutospacing="0" w:after="0" w:afterAutospacing="0" w:line="480" w:lineRule="atLeast"/>
        <w:ind w:left="300" w:right="300" w:firstLine="420"/>
        <w:rPr>
          <w:rFonts w:hint="eastAsia" w:ascii="仿宋" w:hAnsi="仿宋" w:eastAsia="仿宋" w:cs="Arial"/>
          <w:color w:val="333333"/>
          <w:sz w:val="32"/>
          <w:szCs w:val="32"/>
        </w:rPr>
      </w:pPr>
      <w:r>
        <w:rPr>
          <w:rStyle w:val="8"/>
          <w:rFonts w:hint="eastAsia" w:ascii="Arial" w:hAnsi="Arial" w:cs="Arial"/>
          <w:color w:val="222222"/>
          <w:sz w:val="21"/>
          <w:szCs w:val="21"/>
        </w:rPr>
        <w:t xml:space="preserve">   </w:t>
      </w:r>
      <w:r>
        <w:rPr>
          <w:rStyle w:val="8"/>
          <w:rFonts w:hint="eastAsia" w:ascii="仿宋" w:hAnsi="仿宋" w:eastAsia="仿宋" w:cs="Arial"/>
          <w:color w:val="222222"/>
          <w:sz w:val="32"/>
          <w:szCs w:val="32"/>
        </w:rPr>
        <w:t xml:space="preserve"> </w:t>
      </w:r>
      <w:r>
        <w:rPr>
          <w:rStyle w:val="8"/>
          <w:rFonts w:ascii="仿宋" w:hAnsi="仿宋" w:eastAsia="仿宋" w:cs="Arial"/>
          <w:b w:val="0"/>
          <w:color w:val="222222"/>
          <w:sz w:val="32"/>
          <w:szCs w:val="32"/>
        </w:rPr>
        <w:t>不断夯实预算绩效管理基础</w:t>
      </w:r>
      <w:r>
        <w:rPr>
          <w:rFonts w:hint="eastAsia" w:ascii="仿宋" w:hAnsi="仿宋" w:eastAsia="仿宋" w:cs="Arial"/>
          <w:b/>
          <w:color w:val="333333"/>
          <w:sz w:val="32"/>
          <w:szCs w:val="32"/>
        </w:rPr>
        <w:t>，</w:t>
      </w:r>
      <w:r>
        <w:rPr>
          <w:rFonts w:ascii="仿宋" w:hAnsi="仿宋" w:eastAsia="仿宋" w:cs="Arial"/>
          <w:color w:val="333333"/>
          <w:sz w:val="32"/>
          <w:szCs w:val="32"/>
        </w:rPr>
        <w:t>进一步完善预算绩效管理合力推进机制，充分发挥财政预算绩效管理领导小组各成员单位的参与作用，促进绩效管理理念与预算管理内涵的不断融合</w:t>
      </w:r>
      <w:r>
        <w:rPr>
          <w:rFonts w:hint="eastAsia" w:ascii="仿宋" w:hAnsi="仿宋" w:eastAsia="仿宋" w:cs="Arial"/>
          <w:color w:val="333333"/>
          <w:sz w:val="32"/>
          <w:szCs w:val="32"/>
        </w:rPr>
        <w:t>；</w:t>
      </w:r>
      <w:r>
        <w:rPr>
          <w:rFonts w:ascii="仿宋" w:hAnsi="仿宋" w:eastAsia="仿宋" w:cs="Arial"/>
          <w:color w:val="333333"/>
          <w:sz w:val="32"/>
          <w:szCs w:val="32"/>
        </w:rPr>
        <w:t>继续推进行业绩效评价指标体系建设，促进本</w:t>
      </w:r>
      <w:r>
        <w:rPr>
          <w:rFonts w:hint="eastAsia" w:ascii="仿宋" w:hAnsi="仿宋" w:eastAsia="仿宋" w:cs="Arial"/>
          <w:color w:val="333333"/>
          <w:sz w:val="32"/>
          <w:szCs w:val="32"/>
        </w:rPr>
        <w:t>单位</w:t>
      </w:r>
      <w:r>
        <w:rPr>
          <w:rFonts w:ascii="仿宋" w:hAnsi="仿宋" w:eastAsia="仿宋" w:cs="Arial"/>
          <w:color w:val="333333"/>
          <w:sz w:val="32"/>
          <w:szCs w:val="32"/>
        </w:rPr>
        <w:t>绩效评价指标体系的进一步完善。</w:t>
      </w:r>
    </w:p>
    <w:p>
      <w:pPr>
        <w:ind w:firstLine="640"/>
        <w:rPr>
          <w:rFonts w:ascii="仿宋_GB2312"/>
          <w:szCs w:val="32"/>
        </w:rPr>
      </w:pPr>
      <w:r>
        <w:rPr>
          <w:rFonts w:hint="eastAsia" w:ascii="仿宋_GB2312"/>
          <w:szCs w:val="32"/>
        </w:rPr>
        <w:t>（二）预算项目绩效评价开展情况</w:t>
      </w:r>
    </w:p>
    <w:p>
      <w:pPr>
        <w:pStyle w:val="4"/>
        <w:shd w:val="clear" w:color="auto" w:fill="FFFFFF"/>
        <w:spacing w:before="0" w:beforeAutospacing="0" w:after="0" w:afterAutospacing="0" w:line="480" w:lineRule="atLeast"/>
        <w:ind w:left="300" w:right="300"/>
        <w:rPr>
          <w:rFonts w:ascii="仿宋" w:hAnsi="仿宋" w:eastAsia="仿宋" w:cs="Arial"/>
          <w:color w:val="333333"/>
          <w:sz w:val="32"/>
          <w:szCs w:val="32"/>
        </w:rPr>
      </w:pPr>
      <w:r>
        <w:rPr>
          <w:rFonts w:hint="eastAsia" w:ascii="仿宋" w:hAnsi="仿宋" w:eastAsia="仿宋" w:cs="Arial"/>
          <w:color w:val="333333"/>
          <w:sz w:val="32"/>
          <w:szCs w:val="32"/>
        </w:rPr>
        <w:t xml:space="preserve">    </w:t>
      </w:r>
      <w:r>
        <w:rPr>
          <w:rStyle w:val="8"/>
          <w:rFonts w:ascii="仿宋" w:hAnsi="仿宋" w:eastAsia="仿宋" w:cs="Arial"/>
          <w:color w:val="222222"/>
          <w:sz w:val="32"/>
          <w:szCs w:val="32"/>
        </w:rPr>
        <w:t>深入推进“四个环节”预算绩效管理</w:t>
      </w:r>
    </w:p>
    <w:p>
      <w:pPr>
        <w:pStyle w:val="4"/>
        <w:shd w:val="clear" w:color="auto" w:fill="FFFFFF"/>
        <w:spacing w:before="0" w:beforeAutospacing="0" w:after="0" w:afterAutospacing="0" w:line="480" w:lineRule="atLeast"/>
        <w:ind w:left="300" w:right="300"/>
        <w:rPr>
          <w:rFonts w:ascii="仿宋" w:hAnsi="仿宋" w:eastAsia="仿宋" w:cs="Arial"/>
          <w:color w:val="333333"/>
          <w:sz w:val="32"/>
          <w:szCs w:val="32"/>
        </w:rPr>
      </w:pPr>
      <w:r>
        <w:rPr>
          <w:rFonts w:ascii="Arial" w:hAnsi="Arial" w:cs="Arial"/>
          <w:color w:val="333333"/>
          <w:sz w:val="21"/>
          <w:szCs w:val="21"/>
        </w:rPr>
        <w:t>　　</w:t>
      </w:r>
      <w:r>
        <w:rPr>
          <w:rFonts w:ascii="仿宋" w:hAnsi="仿宋" w:eastAsia="仿宋" w:cs="Arial"/>
          <w:color w:val="333333"/>
          <w:sz w:val="32"/>
          <w:szCs w:val="32"/>
        </w:rPr>
        <w:t>（</w:t>
      </w:r>
      <w:r>
        <w:rPr>
          <w:rFonts w:hint="eastAsia" w:ascii="仿宋" w:hAnsi="仿宋" w:eastAsia="仿宋" w:cs="Arial"/>
          <w:color w:val="333333"/>
          <w:sz w:val="32"/>
          <w:szCs w:val="32"/>
        </w:rPr>
        <w:t>1</w:t>
      </w:r>
      <w:r>
        <w:rPr>
          <w:rFonts w:ascii="仿宋" w:hAnsi="仿宋" w:eastAsia="仿宋" w:cs="Arial"/>
          <w:color w:val="333333"/>
          <w:sz w:val="32"/>
          <w:szCs w:val="32"/>
        </w:rPr>
        <w:t>）绩效目标方面</w:t>
      </w:r>
    </w:p>
    <w:p>
      <w:pPr>
        <w:pStyle w:val="4"/>
        <w:shd w:val="clear" w:color="auto" w:fill="FFFFFF"/>
        <w:spacing w:before="0" w:beforeAutospacing="0" w:after="0" w:afterAutospacing="0" w:line="480" w:lineRule="atLeast"/>
        <w:ind w:left="300" w:right="300"/>
        <w:rPr>
          <w:rFonts w:ascii="仿宋" w:hAnsi="仿宋" w:eastAsia="仿宋" w:cs="Arial"/>
          <w:color w:val="333333"/>
          <w:sz w:val="32"/>
          <w:szCs w:val="32"/>
        </w:rPr>
      </w:pPr>
      <w:r>
        <w:rPr>
          <w:rFonts w:ascii="仿宋" w:hAnsi="仿宋" w:eastAsia="仿宋" w:cs="Arial"/>
          <w:color w:val="333333"/>
          <w:sz w:val="32"/>
          <w:szCs w:val="32"/>
        </w:rPr>
        <w:t>　　进一步促进部门整体支出绩效目标与部门中期预算管理的衔接。结合预算功能科目与产出构成、经济科目与成本费用的绩效关系</w:t>
      </w:r>
      <w:r>
        <w:rPr>
          <w:rFonts w:hint="eastAsia" w:ascii="仿宋" w:hAnsi="仿宋" w:eastAsia="仿宋" w:cs="Arial"/>
          <w:color w:val="333333"/>
          <w:sz w:val="32"/>
          <w:szCs w:val="32"/>
        </w:rPr>
        <w:t>；</w:t>
      </w:r>
      <w:r>
        <w:rPr>
          <w:rFonts w:ascii="仿宋" w:hAnsi="仿宋" w:eastAsia="仿宋" w:cs="Arial"/>
          <w:color w:val="333333"/>
          <w:sz w:val="32"/>
          <w:szCs w:val="32"/>
        </w:rPr>
        <w:t>进一步加强对绩效目标编制质量的审核，提高绩效目标与项目预算的匹配性</w:t>
      </w:r>
      <w:r>
        <w:rPr>
          <w:rFonts w:hint="eastAsia" w:ascii="仿宋" w:hAnsi="仿宋" w:eastAsia="仿宋" w:cs="Arial"/>
          <w:color w:val="333333"/>
          <w:sz w:val="32"/>
          <w:szCs w:val="32"/>
        </w:rPr>
        <w:t>；</w:t>
      </w:r>
      <w:r>
        <w:rPr>
          <w:rFonts w:ascii="仿宋" w:hAnsi="仿宋" w:eastAsia="仿宋" w:cs="Arial"/>
          <w:color w:val="333333"/>
          <w:sz w:val="32"/>
          <w:szCs w:val="32"/>
        </w:rPr>
        <w:t>进一步完善转移支付资金的绩效管理机制，推进专项转移支付资金的绩效目标编报工作。</w:t>
      </w:r>
    </w:p>
    <w:p>
      <w:pPr>
        <w:pStyle w:val="4"/>
        <w:shd w:val="clear" w:color="auto" w:fill="FFFFFF"/>
        <w:spacing w:before="0" w:beforeAutospacing="0" w:after="0" w:afterAutospacing="0" w:line="480" w:lineRule="atLeast"/>
        <w:ind w:left="300" w:right="300"/>
        <w:rPr>
          <w:rFonts w:ascii="仿宋" w:hAnsi="仿宋" w:eastAsia="仿宋" w:cs="Arial"/>
          <w:color w:val="333333"/>
          <w:sz w:val="32"/>
          <w:szCs w:val="32"/>
        </w:rPr>
      </w:pPr>
      <w:r>
        <w:rPr>
          <w:rFonts w:ascii="仿宋" w:hAnsi="仿宋" w:eastAsia="仿宋" w:cs="Arial"/>
          <w:color w:val="333333"/>
          <w:sz w:val="32"/>
          <w:szCs w:val="32"/>
        </w:rPr>
        <w:t>　　（</w:t>
      </w:r>
      <w:r>
        <w:rPr>
          <w:rFonts w:hint="eastAsia" w:ascii="仿宋" w:hAnsi="仿宋" w:eastAsia="仿宋" w:cs="Arial"/>
          <w:color w:val="333333"/>
          <w:sz w:val="32"/>
          <w:szCs w:val="32"/>
        </w:rPr>
        <w:t>2</w:t>
      </w:r>
      <w:r>
        <w:rPr>
          <w:rFonts w:ascii="仿宋" w:hAnsi="仿宋" w:eastAsia="仿宋" w:cs="Arial"/>
          <w:color w:val="333333"/>
          <w:sz w:val="32"/>
          <w:szCs w:val="32"/>
        </w:rPr>
        <w:t>）绩效跟踪方面</w:t>
      </w:r>
    </w:p>
    <w:p>
      <w:pPr>
        <w:pStyle w:val="4"/>
        <w:shd w:val="clear" w:color="auto" w:fill="FFFFFF"/>
        <w:spacing w:before="0" w:beforeAutospacing="0" w:after="0" w:afterAutospacing="0" w:line="480" w:lineRule="atLeast"/>
        <w:ind w:left="300" w:right="300"/>
        <w:rPr>
          <w:rFonts w:ascii="仿宋" w:hAnsi="仿宋" w:eastAsia="仿宋" w:cs="Arial"/>
          <w:color w:val="333333"/>
          <w:sz w:val="32"/>
          <w:szCs w:val="32"/>
        </w:rPr>
      </w:pPr>
      <w:r>
        <w:rPr>
          <w:rFonts w:hint="eastAsia" w:ascii="仿宋" w:hAnsi="仿宋" w:eastAsia="仿宋" w:cs="Arial"/>
          <w:color w:val="333333"/>
          <w:sz w:val="32"/>
          <w:szCs w:val="32"/>
        </w:rPr>
        <w:t xml:space="preserve">     </w:t>
      </w:r>
      <w:r>
        <w:rPr>
          <w:rFonts w:ascii="仿宋" w:hAnsi="仿宋" w:eastAsia="仿宋" w:cs="Arial"/>
          <w:color w:val="333333"/>
          <w:sz w:val="32"/>
          <w:szCs w:val="32"/>
        </w:rPr>
        <w:t>针对项目特点优化绩效跟踪的方式和流程，将动态跟踪和定期跟踪相结合，把绩效跟踪与加强当年预算执行、实施预算调整、优化项目管理结合起来，提高绩效跟踪的及时性和效率性。</w:t>
      </w:r>
    </w:p>
    <w:p>
      <w:pPr>
        <w:pStyle w:val="4"/>
        <w:shd w:val="clear" w:color="auto" w:fill="FFFFFF"/>
        <w:spacing w:before="0" w:beforeAutospacing="0" w:after="0" w:afterAutospacing="0" w:line="480" w:lineRule="atLeast"/>
        <w:ind w:left="300" w:right="300"/>
        <w:rPr>
          <w:rFonts w:ascii="仿宋" w:hAnsi="仿宋" w:eastAsia="仿宋" w:cs="Arial"/>
          <w:color w:val="333333"/>
          <w:sz w:val="32"/>
          <w:szCs w:val="32"/>
        </w:rPr>
      </w:pPr>
      <w:r>
        <w:rPr>
          <w:rFonts w:ascii="仿宋" w:hAnsi="仿宋" w:eastAsia="仿宋" w:cs="Arial"/>
          <w:color w:val="333333"/>
          <w:sz w:val="32"/>
          <w:szCs w:val="32"/>
        </w:rPr>
        <w:t>　　（</w:t>
      </w:r>
      <w:r>
        <w:rPr>
          <w:rFonts w:hint="eastAsia" w:ascii="仿宋" w:hAnsi="仿宋" w:eastAsia="仿宋" w:cs="Arial"/>
          <w:color w:val="333333"/>
          <w:sz w:val="32"/>
          <w:szCs w:val="32"/>
        </w:rPr>
        <w:t>3</w:t>
      </w:r>
      <w:r>
        <w:rPr>
          <w:rFonts w:ascii="仿宋" w:hAnsi="仿宋" w:eastAsia="仿宋" w:cs="Arial"/>
          <w:color w:val="333333"/>
          <w:sz w:val="32"/>
          <w:szCs w:val="32"/>
        </w:rPr>
        <w:t>）绩效评价方面</w:t>
      </w:r>
    </w:p>
    <w:p>
      <w:pPr>
        <w:pStyle w:val="4"/>
        <w:shd w:val="clear" w:color="auto" w:fill="FFFFFF"/>
        <w:spacing w:before="0" w:beforeAutospacing="0" w:after="0" w:afterAutospacing="0" w:line="480" w:lineRule="atLeast"/>
        <w:ind w:left="300" w:right="300"/>
        <w:rPr>
          <w:rFonts w:ascii="仿宋" w:hAnsi="仿宋" w:eastAsia="仿宋" w:cs="Arial"/>
          <w:color w:val="333333"/>
          <w:sz w:val="32"/>
          <w:szCs w:val="32"/>
        </w:rPr>
      </w:pPr>
      <w:r>
        <w:rPr>
          <w:rFonts w:ascii="Arial" w:hAnsi="Arial" w:cs="Arial"/>
          <w:color w:val="333333"/>
          <w:sz w:val="21"/>
          <w:szCs w:val="21"/>
        </w:rPr>
        <w:t>　</w:t>
      </w:r>
      <w:r>
        <w:rPr>
          <w:rFonts w:hint="eastAsia" w:ascii="Arial" w:hAnsi="Arial" w:cs="Arial"/>
          <w:color w:val="333333"/>
          <w:sz w:val="21"/>
          <w:szCs w:val="21"/>
        </w:rPr>
        <w:t xml:space="preserve"> </w:t>
      </w:r>
      <w:r>
        <w:rPr>
          <w:rFonts w:hint="eastAsia" w:ascii="仿宋" w:hAnsi="仿宋" w:eastAsia="仿宋" w:cs="Arial"/>
          <w:color w:val="333333"/>
          <w:sz w:val="32"/>
          <w:szCs w:val="32"/>
        </w:rPr>
        <w:t xml:space="preserve"> </w:t>
      </w:r>
      <w:r>
        <w:rPr>
          <w:rFonts w:ascii="仿宋" w:hAnsi="仿宋" w:eastAsia="仿宋" w:cs="Arial"/>
          <w:color w:val="333333"/>
          <w:sz w:val="32"/>
          <w:szCs w:val="32"/>
        </w:rPr>
        <w:t>对以前年度经常性项目评价中存在问题整改情况的跟踪。完成对整体支出的绩效评价</w:t>
      </w:r>
      <w:r>
        <w:rPr>
          <w:rFonts w:hint="eastAsia" w:ascii="仿宋" w:hAnsi="仿宋" w:eastAsia="仿宋" w:cs="Arial"/>
          <w:color w:val="333333"/>
          <w:sz w:val="32"/>
          <w:szCs w:val="32"/>
        </w:rPr>
        <w:t>和</w:t>
      </w:r>
      <w:r>
        <w:rPr>
          <w:rFonts w:ascii="仿宋" w:hAnsi="仿宋" w:eastAsia="仿宋" w:cs="Arial"/>
          <w:color w:val="333333"/>
          <w:sz w:val="32"/>
          <w:szCs w:val="32"/>
        </w:rPr>
        <w:t>专项资金政策评价，反映部门履职资金的整体绩效和专项资金的绩效信息</w:t>
      </w:r>
      <w:r>
        <w:rPr>
          <w:rFonts w:hint="eastAsia" w:ascii="仿宋" w:hAnsi="仿宋" w:eastAsia="仿宋" w:cs="Arial"/>
          <w:color w:val="333333"/>
          <w:sz w:val="32"/>
          <w:szCs w:val="32"/>
        </w:rPr>
        <w:t>，</w:t>
      </w:r>
      <w:r>
        <w:rPr>
          <w:rFonts w:ascii="仿宋" w:hAnsi="仿宋" w:eastAsia="仿宋" w:cs="Arial"/>
          <w:color w:val="333333"/>
          <w:sz w:val="32"/>
          <w:szCs w:val="32"/>
        </w:rPr>
        <w:t>并实施绩效信息公开。</w:t>
      </w:r>
    </w:p>
    <w:p>
      <w:pPr>
        <w:pStyle w:val="4"/>
        <w:shd w:val="clear" w:color="auto" w:fill="FFFFFF"/>
        <w:spacing w:before="0" w:beforeAutospacing="0" w:after="0" w:afterAutospacing="0" w:line="480" w:lineRule="atLeast"/>
        <w:ind w:left="300" w:right="300"/>
        <w:rPr>
          <w:rFonts w:ascii="仿宋" w:hAnsi="仿宋" w:eastAsia="仿宋" w:cs="Arial"/>
          <w:color w:val="333333"/>
          <w:sz w:val="32"/>
          <w:szCs w:val="32"/>
        </w:rPr>
      </w:pPr>
      <w:r>
        <w:rPr>
          <w:rFonts w:ascii="仿宋" w:hAnsi="仿宋" w:eastAsia="仿宋" w:cs="Arial"/>
          <w:color w:val="333333"/>
          <w:sz w:val="32"/>
          <w:szCs w:val="32"/>
        </w:rPr>
        <w:t>　　（</w:t>
      </w:r>
      <w:r>
        <w:rPr>
          <w:rFonts w:hint="eastAsia" w:ascii="仿宋" w:hAnsi="仿宋" w:eastAsia="仿宋" w:cs="Arial"/>
          <w:color w:val="333333"/>
          <w:sz w:val="32"/>
          <w:szCs w:val="32"/>
        </w:rPr>
        <w:t>4</w:t>
      </w:r>
      <w:r>
        <w:rPr>
          <w:rFonts w:ascii="仿宋" w:hAnsi="仿宋" w:eastAsia="仿宋" w:cs="Arial"/>
          <w:color w:val="333333"/>
          <w:sz w:val="32"/>
          <w:szCs w:val="32"/>
        </w:rPr>
        <w:t>）结果应用方面</w:t>
      </w:r>
    </w:p>
    <w:p>
      <w:pPr>
        <w:pStyle w:val="4"/>
        <w:shd w:val="clear" w:color="auto" w:fill="FFFFFF"/>
        <w:spacing w:before="0" w:beforeAutospacing="0" w:after="0" w:afterAutospacing="0" w:line="480" w:lineRule="atLeast"/>
        <w:ind w:left="300" w:right="300"/>
        <w:rPr>
          <w:rFonts w:ascii="仿宋" w:hAnsi="仿宋" w:eastAsia="仿宋" w:cs="Arial"/>
          <w:color w:val="333333"/>
          <w:sz w:val="32"/>
          <w:szCs w:val="32"/>
        </w:rPr>
      </w:pPr>
      <w:r>
        <w:rPr>
          <w:rFonts w:ascii="仿宋" w:hAnsi="仿宋" w:eastAsia="仿宋" w:cs="Arial"/>
          <w:color w:val="333333"/>
          <w:sz w:val="32"/>
          <w:szCs w:val="32"/>
        </w:rPr>
        <w:t>　　一是及时反馈重点评价项目的评价结果反馈、督促问题整改和信息公开工作。二是推进预算部门开展绩效目标、绩效评价报告等绩效信息的公开，督促预算部门完善绩效评价结果反馈机制，及时对评价发现的问题进行整改，提升绩效评价的效果。</w:t>
      </w:r>
    </w:p>
    <w:p>
      <w:pPr>
        <w:pStyle w:val="4"/>
        <w:shd w:val="clear" w:color="auto" w:fill="FFFFFF"/>
        <w:spacing w:before="0" w:beforeAutospacing="0" w:after="0" w:afterAutospacing="0" w:line="480" w:lineRule="atLeast"/>
        <w:ind w:left="300" w:right="300"/>
        <w:rPr>
          <w:rFonts w:ascii="仿宋" w:hAnsi="仿宋" w:eastAsia="仿宋" w:cs="Arial"/>
          <w:color w:val="333333"/>
          <w:sz w:val="32"/>
          <w:szCs w:val="32"/>
        </w:rPr>
      </w:pPr>
      <w:r>
        <w:rPr>
          <w:rFonts w:ascii="仿宋" w:hAnsi="仿宋" w:eastAsia="仿宋" w:cs="Arial"/>
          <w:color w:val="333333"/>
          <w:sz w:val="32"/>
          <w:szCs w:val="32"/>
        </w:rPr>
        <w:t>　　</w:t>
      </w:r>
      <w:r>
        <w:rPr>
          <w:rStyle w:val="8"/>
          <w:rFonts w:ascii="仿宋" w:hAnsi="仿宋" w:eastAsia="仿宋" w:cs="Arial"/>
          <w:color w:val="222222"/>
          <w:sz w:val="32"/>
          <w:szCs w:val="32"/>
        </w:rPr>
        <w:t>完善预算绩效管理工作考核</w:t>
      </w:r>
    </w:p>
    <w:p>
      <w:pPr>
        <w:pStyle w:val="4"/>
        <w:shd w:val="clear" w:color="auto" w:fill="FFFFFF"/>
        <w:spacing w:before="0" w:beforeAutospacing="0" w:after="0" w:afterAutospacing="0" w:line="480" w:lineRule="atLeast"/>
        <w:ind w:left="300" w:right="300" w:firstLine="420"/>
        <w:rPr>
          <w:rFonts w:ascii="仿宋" w:hAnsi="仿宋" w:eastAsia="仿宋" w:cs="Arial"/>
          <w:color w:val="333333"/>
          <w:sz w:val="32"/>
          <w:szCs w:val="32"/>
        </w:rPr>
      </w:pPr>
      <w:r>
        <w:rPr>
          <w:rFonts w:hint="eastAsia" w:ascii="仿宋" w:hAnsi="仿宋" w:eastAsia="仿宋" w:cs="Arial"/>
          <w:color w:val="333333"/>
          <w:sz w:val="32"/>
          <w:szCs w:val="32"/>
        </w:rPr>
        <w:t xml:space="preserve">  </w:t>
      </w:r>
      <w:r>
        <w:rPr>
          <w:rFonts w:ascii="仿宋" w:hAnsi="仿宋" w:eastAsia="仿宋" w:cs="Arial"/>
          <w:color w:val="333333"/>
          <w:sz w:val="32"/>
          <w:szCs w:val="32"/>
        </w:rPr>
        <w:t>一是完成预算绩效管理工作考核，并将有关考核情况</w:t>
      </w:r>
      <w:r>
        <w:rPr>
          <w:rFonts w:hint="eastAsia" w:ascii="仿宋" w:hAnsi="仿宋" w:eastAsia="仿宋" w:cs="Arial"/>
          <w:color w:val="333333"/>
          <w:sz w:val="32"/>
          <w:szCs w:val="32"/>
        </w:rPr>
        <w:t>公开</w:t>
      </w:r>
      <w:r>
        <w:rPr>
          <w:rFonts w:ascii="仿宋" w:hAnsi="仿宋" w:eastAsia="仿宋" w:cs="Arial"/>
          <w:color w:val="333333"/>
          <w:sz w:val="32"/>
          <w:szCs w:val="32"/>
        </w:rPr>
        <w:t>。二是进一步完善了预算绩效管理考核办法，优化对预算绩效管理质量和效果的考核指标，完善预算执行进度等指标并增加相应的考核权重，进一步发挥工作考核对预算绩效管理质量和效果的促进作用。</w:t>
      </w:r>
    </w:p>
    <w:p>
      <w:pPr>
        <w:ind w:firstLine="640"/>
        <w:rPr>
          <w:rFonts w:hint="eastAsia" w:ascii="仿宋_GB2312"/>
          <w:szCs w:val="32"/>
        </w:rPr>
      </w:pPr>
      <w:r>
        <w:rPr>
          <w:rFonts w:hint="eastAsia" w:ascii="仿宋_GB2312"/>
          <w:szCs w:val="32"/>
        </w:rPr>
        <w:t>（三）部门决算量化评价说明</w:t>
      </w:r>
    </w:p>
    <w:p>
      <w:pPr>
        <w:ind w:firstLine="640"/>
        <w:rPr>
          <w:rFonts w:ascii="仿宋_GB2312"/>
          <w:szCs w:val="32"/>
        </w:rPr>
      </w:pPr>
      <w:r>
        <w:rPr>
          <w:rFonts w:hint="eastAsia" w:ascii="仿宋" w:hAnsi="仿宋" w:eastAsia="仿宋" w:cs="仿宋_GB2312"/>
          <w:szCs w:val="32"/>
        </w:rPr>
        <w:t>我部门绩效预算执行情况通过部门决算软件进行测评后得分为75.5分，主要扣分及原因为：</w:t>
      </w:r>
      <w:r>
        <w:rPr>
          <w:rFonts w:ascii="仿宋" w:hAnsi="仿宋" w:eastAsia="仿宋" w:cs="仿宋_GB2312"/>
          <w:szCs w:val="32"/>
        </w:rPr>
        <w:t>1</w:t>
      </w:r>
      <w:r>
        <w:rPr>
          <w:rFonts w:hint="eastAsia" w:ascii="仿宋" w:hAnsi="仿宋" w:eastAsia="仿宋" w:cs="仿宋_GB2312"/>
          <w:szCs w:val="32"/>
        </w:rPr>
        <w:t>、财政拨款收入预决算差异率扣6分，原因为是当年基本工资标准进行调整，人员性支出大幅增加等原因，导致我部门本年实际收入大于年初预算。</w:t>
      </w:r>
      <w:r>
        <w:rPr>
          <w:rFonts w:ascii="仿宋" w:hAnsi="仿宋" w:eastAsia="仿宋" w:cs="仿宋_GB2312"/>
          <w:szCs w:val="32"/>
        </w:rPr>
        <w:t>2</w:t>
      </w:r>
      <w:r>
        <w:rPr>
          <w:rFonts w:hint="eastAsia" w:ascii="仿宋" w:hAnsi="仿宋" w:eastAsia="仿宋" w:cs="仿宋_GB2312"/>
          <w:szCs w:val="32"/>
        </w:rPr>
        <w:t>、基本支出预决算差异率扣</w:t>
      </w:r>
      <w:r>
        <w:rPr>
          <w:rFonts w:ascii="仿宋" w:hAnsi="仿宋" w:eastAsia="仿宋" w:cs="仿宋_GB2312"/>
          <w:szCs w:val="32"/>
        </w:rPr>
        <w:t>5</w:t>
      </w:r>
      <w:r>
        <w:rPr>
          <w:rFonts w:hint="eastAsia" w:ascii="仿宋" w:hAnsi="仿宋" w:eastAsia="仿宋" w:cs="仿宋_GB2312"/>
          <w:szCs w:val="32"/>
        </w:rPr>
        <w:t>分，原因为本年实际收入增加导致支出增加，同比年初支出预算差异率增大。因素是人员调资、创建文明城追加经费等。3、年初结转和结余差异率比重扣</w:t>
      </w:r>
      <w:r>
        <w:rPr>
          <w:rFonts w:ascii="仿宋" w:hAnsi="仿宋" w:eastAsia="仿宋" w:cs="仿宋_GB2312"/>
          <w:szCs w:val="32"/>
        </w:rPr>
        <w:t>5</w:t>
      </w:r>
      <w:r>
        <w:rPr>
          <w:rFonts w:hint="eastAsia" w:ascii="仿宋" w:hAnsi="仿宋" w:eastAsia="仿宋" w:cs="仿宋_GB2312"/>
          <w:szCs w:val="32"/>
        </w:rPr>
        <w:t>分，原因为财政拨款项目结转资金过大，有些项目没有完工，没有检查验收，所以没有拨付资金。4、财政拨款结余和结余率扣0.5分，原因为本年财政拨款结转同比上年增加，</w:t>
      </w:r>
      <w:r>
        <w:rPr>
          <w:rFonts w:hint="eastAsia" w:ascii="仿宋" w:hAnsi="仿宋" w:eastAsia="仿宋" w:cs="仿宋_GB2312"/>
          <w:color w:val="000000"/>
          <w:szCs w:val="32"/>
        </w:rPr>
        <w:t>到年终没有及时支出。5、三公经费支出预决算差异率扣</w:t>
      </w:r>
      <w:r>
        <w:rPr>
          <w:rFonts w:ascii="仿宋" w:hAnsi="仿宋" w:eastAsia="仿宋" w:cs="仿宋_GB2312"/>
          <w:color w:val="000000"/>
          <w:szCs w:val="32"/>
        </w:rPr>
        <w:t>5</w:t>
      </w:r>
      <w:r>
        <w:rPr>
          <w:rFonts w:hint="eastAsia" w:ascii="仿宋" w:hAnsi="仿宋" w:eastAsia="仿宋" w:cs="仿宋_GB2312"/>
          <w:color w:val="000000"/>
          <w:szCs w:val="32"/>
        </w:rPr>
        <w:t>分，原因为招待费年终没有及时支出。</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年度本部门机关运行经费支出309.15万元，比201</w:t>
      </w:r>
      <w:r>
        <w:rPr>
          <w:rFonts w:ascii="仿宋_GB2312"/>
          <w:szCs w:val="32"/>
        </w:rPr>
        <w:t>6</w:t>
      </w:r>
      <w:r>
        <w:rPr>
          <w:rFonts w:hint="eastAsia" w:ascii="仿宋_GB2312"/>
          <w:szCs w:val="32"/>
        </w:rPr>
        <w:t>年度减少101.33万元，降低25%。主要原因是：人员减少，办公经费减少。</w:t>
      </w:r>
    </w:p>
    <w:p>
      <w:pPr>
        <w:ind w:firstLine="643"/>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年度本部门政府采购支出总额25.65万元，其中：政府采购货物支出25.65万元、政府采购工程支出0万元、政府采购服务支出0万元。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5"/>
        <w:tblW w:w="15146" w:type="dxa"/>
        <w:jc w:val="center"/>
        <w:tblInd w:w="0" w:type="dxa"/>
        <w:tblLayout w:type="fixed"/>
        <w:tblCellMar>
          <w:top w:w="0" w:type="dxa"/>
          <w:left w:w="108" w:type="dxa"/>
          <w:bottom w:w="0" w:type="dxa"/>
          <w:right w:w="108" w:type="dxa"/>
        </w:tblCellMar>
      </w:tblPr>
      <w:tblGrid>
        <w:gridCol w:w="4494"/>
        <w:gridCol w:w="656"/>
        <w:gridCol w:w="986"/>
        <w:gridCol w:w="986"/>
        <w:gridCol w:w="1096"/>
        <w:gridCol w:w="1096"/>
        <w:gridCol w:w="4616"/>
        <w:gridCol w:w="656"/>
        <w:gridCol w:w="560"/>
      </w:tblGrid>
      <w:tr>
        <w:tblPrEx>
          <w:tblLayout w:type="fixed"/>
          <w:tblCellMar>
            <w:top w:w="0" w:type="dxa"/>
            <w:left w:w="108" w:type="dxa"/>
            <w:bottom w:w="0" w:type="dxa"/>
            <w:right w:w="108" w:type="dxa"/>
          </w:tblCellMar>
        </w:tblPrEx>
        <w:trPr>
          <w:trHeight w:val="402" w:hRule="atLeast"/>
          <w:jc w:val="center"/>
        </w:trPr>
        <w:tc>
          <w:tcPr>
            <w:tcW w:w="44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6"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97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219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583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583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560"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20298.42</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15300.94</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19103.05</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14104.52</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1195.37</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1196.43</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19" w:name="_Hlk3187520"/>
            <w:r>
              <w:rPr>
                <w:rFonts w:hint="eastAsia" w:ascii="宋体" w:hAnsi="宋体" w:eastAsia="宋体" w:cs="Arial"/>
                <w:color w:val="000000"/>
                <w:kern w:val="0"/>
                <w:sz w:val="22"/>
              </w:rPr>
              <w:t xml:space="preserve">  （一）房屋（平方米）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3397.75</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3397.75</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431.62</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431.62</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3397.75</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3397.75</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431.62</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431.62</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43.21</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43.21</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41.51</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41.51</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1.7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1.7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720.54</w:t>
            </w: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721.59</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19"/>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56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494"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98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09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09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560"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年12月31日，固定资产1196.43万元，与2016年相比增加1.16万元，主要原因是：更换老化及报废办公设备。</w:t>
      </w:r>
    </w:p>
    <w:p>
      <w:pPr>
        <w:ind w:firstLine="640"/>
        <w:rPr>
          <w:rFonts w:ascii="仿宋_GB2312"/>
          <w:szCs w:val="32"/>
        </w:rPr>
      </w:pPr>
      <w:r>
        <w:rPr>
          <w:rFonts w:hint="eastAsia" w:ascii="仿宋_GB2312"/>
          <w:szCs w:val="32"/>
        </w:rPr>
        <w:t>本部门共有车辆3辆，其中，一般公务用车1辆、一般执法执勤用车0辆、特种专业技术用车0辆、其他用车2辆，其他用车主要是待报废车辆；单位价值200万元以上大型设备0台（套）。</w:t>
      </w:r>
    </w:p>
    <w:p>
      <w:pPr>
        <w:ind w:firstLine="0" w:firstLineChars="0"/>
        <w:rPr>
          <w:rFonts w:ascii="仿宋_GB2312"/>
          <w:szCs w:val="32"/>
        </w:rPr>
      </w:pP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rPr>
      </w:pPr>
      <w:bookmarkStart w:id="20" w:name="OLE_LINK46"/>
      <w:bookmarkStart w:id="21" w:name="OLE_LINK47"/>
      <w:r>
        <w:rPr>
          <w:rFonts w:hint="eastAsia" w:ascii="仿宋" w:hAnsi="仿宋" w:eastAsia="仿宋" w:cs="仿宋"/>
        </w:rPr>
        <w:t>会议费支出情况。</w:t>
      </w:r>
      <w:r>
        <w:rPr>
          <w:rFonts w:hint="eastAsia" w:ascii="仿宋" w:hAnsi="仿宋" w:eastAsia="仿宋"/>
          <w:szCs w:val="32"/>
        </w:rPr>
        <w:t>2017年会议费总计0万元，2016年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2017年未发生会议费支出，2016年也未发生会议费支出</w:t>
      </w:r>
      <w:r>
        <w:rPr>
          <w:rFonts w:hint="eastAsia" w:ascii="仿宋" w:hAnsi="仿宋" w:eastAsia="仿宋"/>
          <w:szCs w:val="32"/>
        </w:rPr>
        <w:t>。</w:t>
      </w:r>
    </w:p>
    <w:bookmarkEnd w:id="20"/>
    <w:bookmarkEnd w:id="21"/>
    <w:p>
      <w:pPr>
        <w:ind w:firstLine="640"/>
        <w:rPr>
          <w:rFonts w:ascii="仿宋" w:hAnsi="仿宋" w:eastAsia="仿宋"/>
          <w:szCs w:val="32"/>
        </w:rPr>
      </w:pPr>
      <w:r>
        <w:rPr>
          <w:rFonts w:hint="eastAsia" w:ascii="仿宋" w:hAnsi="仿宋" w:eastAsia="仿宋"/>
          <w:szCs w:val="32"/>
        </w:rPr>
        <w:t>培训费支出情况。2017年</w:t>
      </w:r>
      <w:r>
        <w:rPr>
          <w:rFonts w:hint="eastAsia" w:ascii="仿宋" w:hAnsi="仿宋" w:eastAsia="仿宋"/>
          <w:szCs w:val="32"/>
          <w:lang w:eastAsia="zh-CN"/>
        </w:rPr>
        <w:t>培训</w:t>
      </w:r>
      <w:r>
        <w:rPr>
          <w:rFonts w:hint="eastAsia" w:ascii="仿宋" w:hAnsi="仿宋" w:eastAsia="仿宋"/>
          <w:szCs w:val="32"/>
        </w:rPr>
        <w:t>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2017年未发生培训费支出，2016年也未发生培训费支出</w:t>
      </w:r>
      <w:r>
        <w:rPr>
          <w:rFonts w:hint="eastAsia" w:ascii="仿宋" w:hAnsi="仿宋" w:eastAsia="仿宋"/>
          <w:szCs w:val="32"/>
        </w:rPr>
        <w:t>。</w:t>
      </w:r>
    </w:p>
    <w:p>
      <w:pPr>
        <w:ind w:firstLine="640"/>
        <w:rPr>
          <w:rFonts w:ascii="仿宋_GB2312"/>
          <w:szCs w:val="32"/>
        </w:rPr>
      </w:pPr>
    </w:p>
    <w:p>
      <w:pPr>
        <w:widowControl/>
        <w:spacing w:line="580" w:lineRule="exact"/>
        <w:ind w:firstLine="643"/>
        <w:rPr>
          <w:rFonts w:ascii="仿宋_GB2312"/>
          <w:b/>
          <w:szCs w:val="32"/>
        </w:rPr>
      </w:pP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ZFangSong-Z02">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7</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11</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27F7E"/>
    <w:rsid w:val="00044C77"/>
    <w:rsid w:val="00054C53"/>
    <w:rsid w:val="0007561C"/>
    <w:rsid w:val="000F00FD"/>
    <w:rsid w:val="00103253"/>
    <w:rsid w:val="0011224D"/>
    <w:rsid w:val="00127C8F"/>
    <w:rsid w:val="00155A0C"/>
    <w:rsid w:val="00172A9E"/>
    <w:rsid w:val="00175A3A"/>
    <w:rsid w:val="0017741E"/>
    <w:rsid w:val="0019263B"/>
    <w:rsid w:val="001E1A89"/>
    <w:rsid w:val="001F41FA"/>
    <w:rsid w:val="002010FC"/>
    <w:rsid w:val="00204503"/>
    <w:rsid w:val="00231700"/>
    <w:rsid w:val="00260062"/>
    <w:rsid w:val="00271D6D"/>
    <w:rsid w:val="0027309A"/>
    <w:rsid w:val="00273E03"/>
    <w:rsid w:val="0029596B"/>
    <w:rsid w:val="002A3356"/>
    <w:rsid w:val="002C7D60"/>
    <w:rsid w:val="002D1C92"/>
    <w:rsid w:val="00305FCB"/>
    <w:rsid w:val="00310A7C"/>
    <w:rsid w:val="00310D07"/>
    <w:rsid w:val="00311446"/>
    <w:rsid w:val="00312F9F"/>
    <w:rsid w:val="003155B1"/>
    <w:rsid w:val="003209A7"/>
    <w:rsid w:val="00345630"/>
    <w:rsid w:val="00372EA1"/>
    <w:rsid w:val="003D144F"/>
    <w:rsid w:val="003F6043"/>
    <w:rsid w:val="00404BA5"/>
    <w:rsid w:val="00405DD5"/>
    <w:rsid w:val="00414670"/>
    <w:rsid w:val="00443128"/>
    <w:rsid w:val="00450D4D"/>
    <w:rsid w:val="004E7B5F"/>
    <w:rsid w:val="004F1F8E"/>
    <w:rsid w:val="00502034"/>
    <w:rsid w:val="005046AD"/>
    <w:rsid w:val="00524E74"/>
    <w:rsid w:val="00541D78"/>
    <w:rsid w:val="005462E5"/>
    <w:rsid w:val="00562ED9"/>
    <w:rsid w:val="00593550"/>
    <w:rsid w:val="00594763"/>
    <w:rsid w:val="005A245E"/>
    <w:rsid w:val="005C39CD"/>
    <w:rsid w:val="005C5A21"/>
    <w:rsid w:val="005C7CFB"/>
    <w:rsid w:val="005E2EB4"/>
    <w:rsid w:val="005E382E"/>
    <w:rsid w:val="0060209A"/>
    <w:rsid w:val="00630D6A"/>
    <w:rsid w:val="00632195"/>
    <w:rsid w:val="00647856"/>
    <w:rsid w:val="006508EE"/>
    <w:rsid w:val="00655748"/>
    <w:rsid w:val="00661402"/>
    <w:rsid w:val="00661FC6"/>
    <w:rsid w:val="00682F9B"/>
    <w:rsid w:val="006A1D43"/>
    <w:rsid w:val="006B012E"/>
    <w:rsid w:val="006C00CA"/>
    <w:rsid w:val="006D6A17"/>
    <w:rsid w:val="006E0850"/>
    <w:rsid w:val="006F5699"/>
    <w:rsid w:val="006F7A05"/>
    <w:rsid w:val="00712D5F"/>
    <w:rsid w:val="00714239"/>
    <w:rsid w:val="00744B46"/>
    <w:rsid w:val="00746674"/>
    <w:rsid w:val="007C4984"/>
    <w:rsid w:val="007D592B"/>
    <w:rsid w:val="007E0B92"/>
    <w:rsid w:val="0080381A"/>
    <w:rsid w:val="008248C5"/>
    <w:rsid w:val="00830C9C"/>
    <w:rsid w:val="008529DA"/>
    <w:rsid w:val="008716D0"/>
    <w:rsid w:val="008951B5"/>
    <w:rsid w:val="008B6647"/>
    <w:rsid w:val="008C78C5"/>
    <w:rsid w:val="008F3A14"/>
    <w:rsid w:val="0092275C"/>
    <w:rsid w:val="00937A08"/>
    <w:rsid w:val="00945029"/>
    <w:rsid w:val="00952574"/>
    <w:rsid w:val="00965AC4"/>
    <w:rsid w:val="00973E05"/>
    <w:rsid w:val="009A2241"/>
    <w:rsid w:val="009D3E47"/>
    <w:rsid w:val="009D7CED"/>
    <w:rsid w:val="009F4499"/>
    <w:rsid w:val="00A05198"/>
    <w:rsid w:val="00A13A55"/>
    <w:rsid w:val="00A16230"/>
    <w:rsid w:val="00A266EB"/>
    <w:rsid w:val="00A4272B"/>
    <w:rsid w:val="00A513A6"/>
    <w:rsid w:val="00A53DB8"/>
    <w:rsid w:val="00A93803"/>
    <w:rsid w:val="00AA33A5"/>
    <w:rsid w:val="00AA4D58"/>
    <w:rsid w:val="00AB34E3"/>
    <w:rsid w:val="00AC76D6"/>
    <w:rsid w:val="00AF2C1C"/>
    <w:rsid w:val="00B3614D"/>
    <w:rsid w:val="00B42B02"/>
    <w:rsid w:val="00B64BA0"/>
    <w:rsid w:val="00B701EF"/>
    <w:rsid w:val="00B714A6"/>
    <w:rsid w:val="00B72BF5"/>
    <w:rsid w:val="00B86180"/>
    <w:rsid w:val="00B96A7F"/>
    <w:rsid w:val="00BA26B2"/>
    <w:rsid w:val="00BB55D2"/>
    <w:rsid w:val="00BC4069"/>
    <w:rsid w:val="00BC625F"/>
    <w:rsid w:val="00BF1C0F"/>
    <w:rsid w:val="00C36EFE"/>
    <w:rsid w:val="00C87EF9"/>
    <w:rsid w:val="00CE7AA1"/>
    <w:rsid w:val="00CF1175"/>
    <w:rsid w:val="00CF7D21"/>
    <w:rsid w:val="00D2211A"/>
    <w:rsid w:val="00D2301D"/>
    <w:rsid w:val="00D34D1F"/>
    <w:rsid w:val="00D4698B"/>
    <w:rsid w:val="00D51081"/>
    <w:rsid w:val="00D82AF5"/>
    <w:rsid w:val="00D87BD4"/>
    <w:rsid w:val="00DA0D9A"/>
    <w:rsid w:val="00DE515A"/>
    <w:rsid w:val="00E03175"/>
    <w:rsid w:val="00E4692C"/>
    <w:rsid w:val="00E5216F"/>
    <w:rsid w:val="00E7487B"/>
    <w:rsid w:val="00EA5972"/>
    <w:rsid w:val="00EB45A9"/>
    <w:rsid w:val="00EB63A9"/>
    <w:rsid w:val="00EC62AA"/>
    <w:rsid w:val="00ED09E5"/>
    <w:rsid w:val="00ED39E4"/>
    <w:rsid w:val="00ED6876"/>
    <w:rsid w:val="00ED6B4C"/>
    <w:rsid w:val="00EE28A6"/>
    <w:rsid w:val="00EF493B"/>
    <w:rsid w:val="00EF6DC8"/>
    <w:rsid w:val="00F0518B"/>
    <w:rsid w:val="00F05F78"/>
    <w:rsid w:val="00F06F8D"/>
    <w:rsid w:val="00F561B5"/>
    <w:rsid w:val="00F7462B"/>
    <w:rsid w:val="00F9758A"/>
    <w:rsid w:val="00FC3BAC"/>
    <w:rsid w:val="00FD5BCA"/>
    <w:rsid w:val="00FF65FE"/>
    <w:rsid w:val="26DF5231"/>
    <w:rsid w:val="4ECC54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4">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6">
    <w:name w:val="Table Grid"/>
    <w:basedOn w:val="5"/>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uiPriority w:val="99"/>
    <w:rPr>
      <w:rFonts w:ascii="Calibri" w:hAnsi="Calibri" w:eastAsia="宋体" w:cs="Times New Roman"/>
      <w:kern w:val="0"/>
      <w:sz w:val="18"/>
      <w:szCs w:val="18"/>
    </w:rPr>
  </w:style>
  <w:style w:type="character" w:customStyle="1" w:styleId="10">
    <w:name w:val="页脚 Char"/>
    <w:basedOn w:val="7"/>
    <w:link w:val="2"/>
    <w:uiPriority w:val="99"/>
    <w:rPr>
      <w:rFonts w:ascii="Calibri" w:hAnsi="Calibri" w:eastAsia="宋体" w:cs="Times New Roman"/>
      <w:kern w:val="0"/>
      <w:sz w:val="18"/>
      <w:szCs w:val="18"/>
    </w:r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20</Pages>
  <Words>977</Words>
  <Characters>5572</Characters>
  <Lines>46</Lines>
  <Paragraphs>13</Paragraphs>
  <TotalTime>0</TotalTime>
  <ScaleCrop>false</ScaleCrop>
  <LinksUpToDate>false</LinksUpToDate>
  <CharactersWithSpaces>6536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2019-03-14T07:42:29Z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