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hint="eastAsia" w:ascii="黑体" w:hAnsi="黑体" w:eastAsia="黑体"/>
          <w:color w:val="auto"/>
          <w:sz w:val="44"/>
          <w:szCs w:val="44"/>
          <w:lang w:eastAsia="zh-CN"/>
        </w:rPr>
      </w:pPr>
      <w:r>
        <w:rPr>
          <w:rFonts w:hint="eastAsia" w:ascii="黑体" w:hAnsi="黑体" w:eastAsia="黑体"/>
          <w:color w:val="auto"/>
          <w:sz w:val="44"/>
          <w:szCs w:val="44"/>
          <w:lang w:eastAsia="zh-CN"/>
        </w:rPr>
        <w:t>秦皇岛北部工业区管理委员会</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lang w:eastAsia="zh-CN"/>
        </w:rPr>
        <w:t>北部工业区</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lang w:eastAsia="zh-CN"/>
        </w:rPr>
        <w:t>北部工业区</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lang w:eastAsia="zh-CN"/>
        </w:rPr>
        <w:t>北部工业区</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5"/>
      <w:bookmarkStart w:id="3" w:name="OLE_LINK26"/>
      <w:bookmarkStart w:id="4" w:name="OLE_LINK27"/>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北部工业区</w:t>
      </w:r>
      <w:r>
        <w:rPr>
          <w:rFonts w:hint="eastAsia" w:ascii="黑体" w:hAnsi="黑体" w:eastAsia="黑体"/>
          <w:sz w:val="72"/>
          <w:szCs w:val="72"/>
        </w:rPr>
        <w:t>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numPr>
          <w:ilvl w:val="0"/>
          <w:numId w:val="1"/>
        </w:numPr>
        <w:ind w:firstLine="1273" w:firstLineChars="398"/>
        <w:rPr>
          <w:rFonts w:hint="eastAsia" w:ascii="仿宋_GB2312" w:hAnsi="黑体"/>
          <w:szCs w:val="32"/>
        </w:rPr>
      </w:pPr>
      <w:bookmarkStart w:id="8" w:name="OLE_LINK14"/>
      <w:r>
        <w:rPr>
          <w:rFonts w:hint="eastAsia" w:ascii="仿宋_GB2312" w:hAnsi="黑体"/>
          <w:szCs w:val="32"/>
        </w:rPr>
        <w:t>部门职责</w:t>
      </w:r>
    </w:p>
    <w:p>
      <w:pPr>
        <w:numPr>
          <w:ilvl w:val="0"/>
          <w:numId w:val="0"/>
        </w:numPr>
        <w:ind w:firstLine="640" w:firstLineChars="200"/>
        <w:rPr>
          <w:rFonts w:hint="eastAsia" w:ascii="仿宋_GB2312" w:hAnsi="黑体"/>
          <w:szCs w:val="32"/>
        </w:rPr>
      </w:pPr>
      <w:r>
        <w:rPr>
          <w:rFonts w:hint="eastAsia" w:ascii="仿宋_GB2312" w:hAnsi="黑体"/>
          <w:szCs w:val="32"/>
        </w:rPr>
        <w:t>1、贯彻落实上级党委、政府的重要决策和工作部署。</w:t>
      </w:r>
    </w:p>
    <w:p>
      <w:pPr>
        <w:numPr>
          <w:ilvl w:val="0"/>
          <w:numId w:val="0"/>
        </w:numPr>
        <w:ind w:firstLine="640" w:firstLineChars="200"/>
        <w:rPr>
          <w:rFonts w:hint="eastAsia" w:ascii="仿宋_GB2312" w:hAnsi="黑体"/>
          <w:szCs w:val="32"/>
        </w:rPr>
      </w:pPr>
      <w:r>
        <w:rPr>
          <w:rFonts w:hint="eastAsia" w:ascii="仿宋_GB2312" w:hAnsi="黑体"/>
          <w:szCs w:val="32"/>
        </w:rPr>
        <w:t>2、负责北部工业区的招商引资、项目建设、基础设施建设、</w:t>
      </w:r>
    </w:p>
    <w:p>
      <w:pPr>
        <w:numPr>
          <w:ilvl w:val="0"/>
          <w:numId w:val="0"/>
        </w:numPr>
        <w:rPr>
          <w:rFonts w:hint="eastAsia" w:ascii="仿宋_GB2312" w:hAnsi="黑体"/>
          <w:szCs w:val="32"/>
        </w:rPr>
      </w:pPr>
      <w:r>
        <w:rPr>
          <w:rFonts w:hint="eastAsia" w:ascii="仿宋_GB2312" w:hAnsi="黑体"/>
          <w:szCs w:val="32"/>
        </w:rPr>
        <w:t>社会保障等工作以及辖区 13 个村的行政管理和社会事务。</w:t>
      </w:r>
    </w:p>
    <w:p>
      <w:pPr>
        <w:numPr>
          <w:ilvl w:val="0"/>
          <w:numId w:val="0"/>
        </w:numPr>
        <w:ind w:firstLine="640" w:firstLineChars="200"/>
        <w:rPr>
          <w:rFonts w:hint="eastAsia" w:ascii="仿宋_GB2312" w:hAnsi="黑体"/>
          <w:szCs w:val="32"/>
        </w:rPr>
      </w:pPr>
      <w:r>
        <w:rPr>
          <w:rFonts w:hint="eastAsia" w:ascii="仿宋_GB2312" w:hAnsi="黑体"/>
          <w:szCs w:val="32"/>
          <w:lang w:val="en-US" w:eastAsia="zh-CN"/>
        </w:rPr>
        <w:t>3</w:t>
      </w:r>
      <w:r>
        <w:rPr>
          <w:rFonts w:hint="eastAsia" w:ascii="仿宋_GB2312" w:hAnsi="黑体"/>
          <w:szCs w:val="32"/>
        </w:rPr>
        <w:t>、负责园区整体规划编制，招商引资、项目建设、综合治</w:t>
      </w:r>
    </w:p>
    <w:p>
      <w:pPr>
        <w:numPr>
          <w:ilvl w:val="0"/>
          <w:numId w:val="0"/>
        </w:numPr>
        <w:rPr>
          <w:rFonts w:hint="eastAsia" w:ascii="仿宋_GB2312" w:hAnsi="黑体"/>
          <w:szCs w:val="32"/>
        </w:rPr>
      </w:pPr>
      <w:r>
        <w:rPr>
          <w:rFonts w:hint="eastAsia" w:ascii="仿宋_GB2312" w:hAnsi="黑体"/>
          <w:szCs w:val="32"/>
        </w:rPr>
        <w:t>理、农民保障等工作以及区委、区政府交办的其他工作</w:t>
      </w: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hint="eastAsia"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2"/>
        <w:gridCol w:w="1664"/>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2" w:type="dxa"/>
          </w:tcPr>
          <w:p>
            <w:pPr>
              <w:ind w:firstLine="0" w:firstLineChars="0"/>
              <w:jc w:val="center"/>
              <w:rPr>
                <w:rFonts w:hint="eastAsia" w:ascii="仿宋_GB2312" w:hAnsi="黑体"/>
                <w:sz w:val="28"/>
                <w:szCs w:val="28"/>
              </w:rPr>
            </w:pPr>
            <w:r>
              <w:rPr>
                <w:rFonts w:hint="eastAsia" w:ascii="仿宋_GB2312" w:hAnsi="黑体"/>
                <w:sz w:val="28"/>
                <w:szCs w:val="28"/>
              </w:rPr>
              <w:t>单位名称</w:t>
            </w:r>
          </w:p>
        </w:tc>
        <w:tc>
          <w:tcPr>
            <w:tcW w:w="1664" w:type="dxa"/>
          </w:tcPr>
          <w:p>
            <w:pPr>
              <w:ind w:firstLine="0" w:firstLineChars="0"/>
              <w:jc w:val="center"/>
              <w:rPr>
                <w:rFonts w:hint="eastAsia"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2" w:type="dxa"/>
          </w:tcPr>
          <w:p>
            <w:pPr>
              <w:ind w:firstLine="0" w:firstLineChars="0"/>
              <w:rPr>
                <w:rFonts w:hint="eastAsia" w:ascii="仿宋_GB2312" w:hAnsi="黑体" w:eastAsia="仿宋_GB2312"/>
                <w:sz w:val="28"/>
                <w:szCs w:val="28"/>
                <w:lang w:eastAsia="zh-CN"/>
              </w:rPr>
            </w:pPr>
            <w:bookmarkStart w:id="19" w:name="_GoBack" w:colFirst="1" w:colLast="3"/>
            <w:r>
              <w:rPr>
                <w:rFonts w:hint="eastAsia" w:ascii="仿宋_GB2312" w:hAnsi="黑体"/>
                <w:sz w:val="28"/>
                <w:szCs w:val="28"/>
                <w:lang w:eastAsia="zh-CN"/>
              </w:rPr>
              <w:t>秦皇岛北部工业区管理委员会</w:t>
            </w:r>
          </w:p>
        </w:tc>
        <w:tc>
          <w:tcPr>
            <w:tcW w:w="1664"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事业单位</w:t>
            </w:r>
          </w:p>
        </w:tc>
        <w:tc>
          <w:tcPr>
            <w:tcW w:w="2209"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正科级</w:t>
            </w:r>
          </w:p>
        </w:tc>
        <w:tc>
          <w:tcPr>
            <w:tcW w:w="2209"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财政</w:t>
            </w:r>
            <w:r>
              <w:rPr>
                <w:rFonts w:hint="eastAsia" w:ascii="仿宋_GB2312" w:hAnsi="黑体"/>
                <w:sz w:val="28"/>
                <w:szCs w:val="28"/>
                <w:lang w:eastAsia="zh-CN"/>
              </w:rPr>
              <w:t>拨款</w:t>
            </w:r>
          </w:p>
        </w:tc>
      </w:tr>
      <w:bookmarkEnd w:id="19"/>
    </w:tbl>
    <w:p>
      <w:pPr>
        <w:ind w:firstLine="1273" w:firstLineChars="398"/>
        <w:rPr>
          <w:rFonts w:hint="eastAsia"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hint="eastAsia" w:ascii="黑体" w:hAnsi="黑体" w:eastAsia="黑体"/>
          <w:sz w:val="72"/>
          <w:szCs w:val="72"/>
        </w:rPr>
      </w:pPr>
      <w:r>
        <w:rPr>
          <w:rFonts w:hint="eastAsia" w:ascii="黑体" w:hAnsi="黑体" w:eastAsia="黑体"/>
          <w:sz w:val="72"/>
          <w:szCs w:val="72"/>
          <w:lang w:eastAsia="zh-CN"/>
        </w:rPr>
        <w:t>北部工业区</w:t>
      </w:r>
      <w:r>
        <w:rPr>
          <w:rFonts w:hint="eastAsia" w:ascii="黑体" w:hAnsi="黑体" w:eastAsia="黑体"/>
          <w:sz w:val="72"/>
          <w:szCs w:val="72"/>
        </w:rPr>
        <w:t>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年度部门决算报表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w:t>
      </w:r>
      <w:r>
        <w:rPr>
          <w:rFonts w:hint="eastAsia" w:ascii="黑体" w:hAnsi="黑体" w:eastAsia="黑体"/>
          <w:sz w:val="72"/>
          <w:szCs w:val="72"/>
          <w:lang w:eastAsia="zh-CN"/>
        </w:rPr>
        <w:t>北部工业区</w:t>
      </w:r>
      <w:r>
        <w:rPr>
          <w:rFonts w:hint="eastAsia" w:ascii="黑体" w:hAnsi="黑体" w:eastAsia="黑体"/>
          <w:sz w:val="72"/>
          <w:szCs w:val="72"/>
        </w:rPr>
        <w:t>部门201</w:t>
      </w:r>
      <w:r>
        <w:rPr>
          <w:rFonts w:ascii="黑体" w:hAnsi="黑体" w:eastAsia="黑体"/>
          <w:sz w:val="72"/>
          <w:szCs w:val="72"/>
        </w:rPr>
        <w:t>7</w:t>
      </w:r>
      <w:r>
        <w:rPr>
          <w:rFonts w:hint="eastAsia" w:ascii="黑体" w:hAnsi="黑体" w:eastAsia="黑体"/>
          <w:sz w:val="72"/>
          <w:szCs w:val="72"/>
        </w:rPr>
        <w:t>年部门决算情况说明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p>
      <w:pPr>
        <w:ind w:firstLine="640"/>
        <w:rPr>
          <w:rFonts w:hint="eastAsia" w:ascii="仿宋_GB2312"/>
          <w:szCs w:val="32"/>
          <w:highlight w:val="none"/>
        </w:rPr>
      </w:pPr>
      <w:bookmarkStart w:id="12" w:name="OLE_LINK23"/>
      <w:r>
        <w:rPr>
          <w:rFonts w:hint="eastAsia" w:ascii="仿宋_GB2312"/>
          <w:szCs w:val="32"/>
          <w:highlight w:val="none"/>
        </w:rPr>
        <w:t>2017 年度决算收入总计 6337 万元，决算支出总计 7406.72万元，年初结转和结余 2315.87 万元，年末结转和结余 1246.16万元。</w:t>
      </w:r>
    </w:p>
    <w:p>
      <w:pPr>
        <w:ind w:firstLine="640"/>
        <w:rPr>
          <w:rFonts w:hint="eastAsia" w:ascii="仿宋_GB2312"/>
          <w:szCs w:val="32"/>
          <w:highlight w:val="none"/>
        </w:rPr>
      </w:pPr>
      <w:r>
        <w:rPr>
          <w:rFonts w:hint="eastAsia" w:ascii="仿宋_GB2312"/>
          <w:szCs w:val="32"/>
          <w:highlight w:val="none"/>
        </w:rPr>
        <w:t>2017 年度收入与年初预算对比增加 5355.33 万元，原因是：当年政府性基金收入及专项经费收入增加所致。；与 2016 年度收入相比，减少 7714.88 万元，原因是：政府性基金收入的减少。</w:t>
      </w:r>
    </w:p>
    <w:p>
      <w:pPr>
        <w:ind w:firstLine="640"/>
        <w:rPr>
          <w:rFonts w:hint="eastAsia" w:ascii="仿宋_GB2312"/>
          <w:szCs w:val="32"/>
          <w:highlight w:val="none"/>
        </w:rPr>
      </w:pPr>
      <w:r>
        <w:rPr>
          <w:rFonts w:hint="eastAsia" w:ascii="仿宋_GB2312"/>
          <w:szCs w:val="32"/>
          <w:highlight w:val="none"/>
        </w:rPr>
        <w:t>2017 年度支出与年初预算对比增加 6425.05 万元，原因是：政府性基金收入支出增加所致；与 2016 年度支出相比，减少7703.90 万元，原因是：政府性基金收入的减</w:t>
      </w:r>
      <w:r>
        <w:rPr>
          <w:rFonts w:hint="eastAsia" w:ascii="仿宋_GB2312"/>
          <w:szCs w:val="32"/>
          <w:highlight w:val="none"/>
          <w:lang w:eastAsia="zh-CN"/>
        </w:rPr>
        <w:t>少。</w:t>
      </w:r>
    </w:p>
    <w:bookmarkEnd w:id="10"/>
    <w:bookmarkEnd w:id="11"/>
    <w:bookmarkEnd w:id="12"/>
    <w:p>
      <w:pPr>
        <w:ind w:firstLine="643"/>
        <w:rPr>
          <w:rFonts w:ascii="楷体" w:hAnsi="楷体" w:eastAsia="楷体"/>
          <w:b/>
          <w:szCs w:val="32"/>
          <w:highlight w:val="none"/>
        </w:rPr>
      </w:pPr>
      <w:bookmarkStart w:id="13" w:name="OLE_LINK3"/>
      <w:bookmarkStart w:id="14" w:name="OLE_LINK4"/>
      <w:r>
        <w:rPr>
          <w:rFonts w:ascii="楷体" w:hAnsi="楷体" w:eastAsia="楷体"/>
          <w:b/>
          <w:szCs w:val="32"/>
          <w:highlight w:val="none"/>
        </w:rPr>
        <w:t>二、收入决算情况说明</w:t>
      </w:r>
    </w:p>
    <w:p>
      <w:pPr>
        <w:widowControl/>
        <w:spacing w:line="580" w:lineRule="exact"/>
        <w:ind w:firstLine="640"/>
        <w:rPr>
          <w:rFonts w:hint="eastAsia" w:ascii="仿宋" w:hAnsi="仿宋" w:eastAsia="仿宋"/>
          <w:szCs w:val="32"/>
          <w:highlight w:val="none"/>
        </w:rPr>
      </w:pPr>
      <w:r>
        <w:rPr>
          <w:rFonts w:hint="eastAsia" w:ascii="仿宋" w:hAnsi="仿宋" w:eastAsia="仿宋"/>
          <w:szCs w:val="32"/>
          <w:highlight w:val="none"/>
        </w:rPr>
        <w:t>2017 年度收入合计 6337 万元，其中：财政拨款收入 6337万元，占总收入 100</w:t>
      </w:r>
      <w:r>
        <w:rPr>
          <w:rFonts w:hint="eastAsia" w:ascii="仿宋" w:hAnsi="仿宋" w:eastAsia="仿宋"/>
          <w:szCs w:val="32"/>
          <w:highlight w:val="none"/>
          <w:lang w:val="en-US" w:eastAsia="zh-CN"/>
        </w:rPr>
        <w:t>%。</w:t>
      </w:r>
    </w:p>
    <w:p>
      <w:pPr>
        <w:widowControl/>
        <w:spacing w:line="580" w:lineRule="exact"/>
        <w:ind w:firstLine="643"/>
        <w:rPr>
          <w:rFonts w:ascii="楷体" w:hAnsi="楷体" w:eastAsia="楷体"/>
          <w:b/>
          <w:szCs w:val="32"/>
          <w:highlight w:val="none"/>
        </w:rPr>
      </w:pPr>
      <w:r>
        <w:rPr>
          <w:rFonts w:ascii="楷体" w:hAnsi="楷体" w:eastAsia="楷体"/>
          <w:b/>
          <w:szCs w:val="32"/>
          <w:highlight w:val="none"/>
        </w:rPr>
        <w:t>三、支出决算情况说明</w:t>
      </w:r>
    </w:p>
    <w:p>
      <w:pPr>
        <w:ind w:firstLine="640"/>
        <w:rPr>
          <w:rFonts w:hint="eastAsia" w:ascii="仿宋" w:hAnsi="仿宋" w:eastAsia="仿宋"/>
          <w:szCs w:val="32"/>
          <w:highlight w:val="none"/>
        </w:rPr>
      </w:pPr>
      <w:r>
        <w:rPr>
          <w:rFonts w:hint="eastAsia" w:ascii="仿宋" w:hAnsi="仿宋" w:eastAsia="仿宋"/>
          <w:szCs w:val="32"/>
          <w:highlight w:val="none"/>
        </w:rPr>
        <w:t>2017 年度支出合计 7406.72 万元，其中：基本支出 1323.77万元，占总支出 17.87%；项目支出 6082.94 万元，占总支出82.13%。</w:t>
      </w:r>
    </w:p>
    <w:p>
      <w:pPr>
        <w:widowControl/>
        <w:spacing w:line="580" w:lineRule="exact"/>
        <w:ind w:firstLine="643"/>
        <w:rPr>
          <w:rFonts w:ascii="楷体" w:hAnsi="楷体" w:eastAsia="楷体"/>
          <w:b/>
          <w:szCs w:val="32"/>
          <w:highlight w:val="none"/>
        </w:rPr>
      </w:pPr>
      <w:r>
        <w:rPr>
          <w:rFonts w:hint="eastAsia" w:ascii="楷体" w:hAnsi="楷体" w:eastAsia="楷体"/>
          <w:b/>
          <w:szCs w:val="32"/>
          <w:highlight w:val="none"/>
        </w:rPr>
        <w:t>四、财政拨款</w:t>
      </w:r>
      <w:bookmarkEnd w:id="13"/>
      <w:bookmarkEnd w:id="14"/>
      <w:r>
        <w:rPr>
          <w:rFonts w:hint="eastAsia" w:ascii="楷体" w:hAnsi="楷体" w:eastAsia="楷体"/>
          <w:b/>
          <w:szCs w:val="32"/>
          <w:highlight w:val="none"/>
        </w:rPr>
        <w:t>收入支出决算总体情况说明</w:t>
      </w:r>
    </w:p>
    <w:p>
      <w:pPr>
        <w:ind w:firstLine="640"/>
        <w:rPr>
          <w:rFonts w:hint="eastAsia" w:ascii="仿宋_GB2312"/>
          <w:szCs w:val="32"/>
          <w:highlight w:val="none"/>
        </w:rPr>
      </w:pPr>
      <w:r>
        <w:rPr>
          <w:rFonts w:hint="eastAsia" w:ascii="仿宋_GB2312"/>
          <w:szCs w:val="32"/>
          <w:highlight w:val="none"/>
        </w:rPr>
        <w:t>2017 年度财政拨款收入决算合计 6337 万元，财政拨款支出决算合计 7406.72万元，年初结转和结余 2315.87 万元，年末结转和结余 1246.16万元。</w:t>
      </w:r>
    </w:p>
    <w:p>
      <w:pPr>
        <w:ind w:firstLine="640"/>
        <w:rPr>
          <w:rFonts w:hint="eastAsia" w:ascii="仿宋_GB2312"/>
          <w:szCs w:val="32"/>
          <w:highlight w:val="none"/>
        </w:rPr>
      </w:pPr>
      <w:r>
        <w:rPr>
          <w:rFonts w:hint="eastAsia" w:ascii="仿宋_GB2312"/>
          <w:szCs w:val="32"/>
          <w:highlight w:val="none"/>
        </w:rPr>
        <w:t>2017 年度财政拨款收入与年初预算对比增加 5355.33 万元，原因是：当年政府性基金收入及专项经费收入增加所致。与 2016 年度收入相比，减少 7714.88 万元，原因是：政府性基金收入的减少。</w:t>
      </w:r>
    </w:p>
    <w:p>
      <w:pPr>
        <w:ind w:firstLine="640"/>
        <w:rPr>
          <w:rFonts w:hint="eastAsia" w:ascii="仿宋_GB2312" w:eastAsia="仿宋_GB2312"/>
          <w:szCs w:val="32"/>
          <w:highlight w:val="none"/>
          <w:lang w:eastAsia="zh-CN"/>
        </w:rPr>
      </w:pPr>
      <w:r>
        <w:rPr>
          <w:rFonts w:hint="eastAsia" w:ascii="仿宋_GB2312"/>
          <w:szCs w:val="32"/>
          <w:highlight w:val="none"/>
        </w:rPr>
        <w:t>2017 年度财政拨款支出与年初预算对比增加 6425.05 万元，原因是：政府性基金收入支出增加所致；与 2016 年度支出相比，减少7703.90 万元，原因是：政府性基金收入的减</w:t>
      </w:r>
      <w:r>
        <w:rPr>
          <w:rFonts w:hint="eastAsia" w:ascii="仿宋_GB2312"/>
          <w:szCs w:val="32"/>
          <w:highlight w:val="none"/>
          <w:lang w:eastAsia="zh-CN"/>
        </w:rPr>
        <w:t>少。</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9.6</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10.68</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4.58</w:t>
            </w:r>
          </w:p>
        </w:tc>
        <w:tc>
          <w:tcPr>
            <w:tcW w:w="1474"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1.08</w:t>
            </w:r>
          </w:p>
        </w:tc>
        <w:tc>
          <w:tcPr>
            <w:tcW w:w="1417"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9.6</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9.6</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3.5</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bookmarkStart w:id="15" w:name="_Hlk3185114"/>
            <w:r>
              <w:rPr>
                <w:rFonts w:hint="eastAsia" w:ascii="仿宋_GB2312"/>
                <w:color w:val="auto"/>
                <w:sz w:val="24"/>
                <w:szCs w:val="24"/>
              </w:rPr>
              <w:t>其中：公务用车购置费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r>
              <w:rPr>
                <w:rFonts w:hint="eastAsia" w:ascii="仿宋_GB2312"/>
                <w:color w:val="auto"/>
                <w:sz w:val="24"/>
                <w:szCs w:val="24"/>
              </w:rPr>
              <w:t>其中：公务用车维护费</w:t>
            </w:r>
          </w:p>
        </w:tc>
        <w:tc>
          <w:tcPr>
            <w:tcW w:w="1446" w:type="dxa"/>
          </w:tcPr>
          <w:p>
            <w:pPr>
              <w:ind w:firstLine="0" w:firstLineChars="0"/>
              <w:jc w:val="center"/>
              <w:rPr>
                <w:rFonts w:hint="eastAsia" w:ascii="仿宋_GB2312" w:eastAsia="仿宋_GB2312"/>
                <w:color w:val="auto"/>
                <w:sz w:val="24"/>
                <w:szCs w:val="24"/>
                <w:lang w:val="en-US" w:eastAsia="zh-CN"/>
              </w:rPr>
            </w:pPr>
            <w:r>
              <w:rPr>
                <w:rFonts w:hint="eastAsia" w:ascii="仿宋_GB2312"/>
                <w:color w:val="auto"/>
                <w:sz w:val="24"/>
                <w:szCs w:val="24"/>
                <w:lang w:val="en-US" w:eastAsia="zh-CN"/>
              </w:rPr>
              <w:t>9.6</w:t>
            </w:r>
          </w:p>
        </w:tc>
        <w:tc>
          <w:tcPr>
            <w:tcW w:w="1446" w:type="dxa"/>
          </w:tcPr>
          <w:p>
            <w:pPr>
              <w:ind w:firstLine="0" w:firstLineChars="0"/>
              <w:jc w:val="center"/>
              <w:rPr>
                <w:rFonts w:hint="eastAsia" w:ascii="仿宋_GB2312" w:eastAsia="仿宋_GB2312"/>
                <w:color w:val="auto"/>
                <w:sz w:val="24"/>
                <w:szCs w:val="24"/>
                <w:lang w:val="en-US" w:eastAsia="zh-CN"/>
              </w:rPr>
            </w:pPr>
            <w:r>
              <w:rPr>
                <w:rFonts w:hint="eastAsia" w:ascii="仿宋_GB2312"/>
                <w:color w:val="auto"/>
                <w:sz w:val="24"/>
                <w:szCs w:val="24"/>
                <w:lang w:val="en-US" w:eastAsia="zh-CN"/>
              </w:rPr>
              <w:t>9.6</w:t>
            </w:r>
          </w:p>
        </w:tc>
        <w:tc>
          <w:tcPr>
            <w:tcW w:w="1446" w:type="dxa"/>
          </w:tcPr>
          <w:p>
            <w:pPr>
              <w:ind w:firstLine="0" w:firstLineChars="0"/>
              <w:jc w:val="center"/>
              <w:rPr>
                <w:rFonts w:hint="eastAsia" w:ascii="仿宋_GB2312" w:eastAsia="仿宋_GB2312"/>
                <w:color w:val="auto"/>
                <w:sz w:val="24"/>
                <w:szCs w:val="24"/>
                <w:lang w:val="en-US" w:eastAsia="zh-CN"/>
              </w:rPr>
            </w:pPr>
            <w:r>
              <w:rPr>
                <w:rFonts w:hint="eastAsia" w:ascii="仿宋_GB2312"/>
                <w:color w:val="auto"/>
                <w:sz w:val="24"/>
                <w:szCs w:val="24"/>
                <w:lang w:val="en-US" w:eastAsia="zh-CN"/>
              </w:rPr>
              <w:t>3.5</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hint="eastAsia" w:ascii="仿宋_GB2312" w:eastAsia="仿宋_GB2312"/>
                <w:color w:val="auto"/>
                <w:sz w:val="24"/>
                <w:szCs w:val="24"/>
                <w:lang w:val="en-US" w:eastAsia="zh-CN"/>
              </w:rPr>
            </w:pPr>
            <w:r>
              <w:rPr>
                <w:rFonts w:hint="eastAsia" w:ascii="仿宋_GB2312"/>
                <w:color w:val="auto"/>
                <w:sz w:val="24"/>
                <w:szCs w:val="24"/>
                <w:lang w:val="en-US" w:eastAsia="zh-CN"/>
              </w:rPr>
              <w:t>6.1</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1.08</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1.08</w:t>
            </w:r>
          </w:p>
        </w:tc>
        <w:tc>
          <w:tcPr>
            <w:tcW w:w="1474"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-1.08</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numPr>
          <w:ilvl w:val="0"/>
          <w:numId w:val="2"/>
        </w:numPr>
        <w:ind w:firstLine="643"/>
        <w:rPr>
          <w:rFonts w:hint="eastAsia" w:ascii="仿宋_GB2312"/>
          <w:b/>
          <w:szCs w:val="32"/>
        </w:rPr>
      </w:pPr>
      <w:r>
        <w:rPr>
          <w:rFonts w:hint="eastAsia" w:ascii="仿宋_GB2312"/>
          <w:b/>
          <w:szCs w:val="32"/>
        </w:rPr>
        <w:t>对比增减原因分析</w:t>
      </w:r>
    </w:p>
    <w:p>
      <w:pPr>
        <w:numPr>
          <w:ilvl w:val="0"/>
          <w:numId w:val="0"/>
        </w:numPr>
        <w:rPr>
          <w:rFonts w:hint="eastAsia" w:ascii="仿宋_GB2312"/>
          <w:b w:val="0"/>
          <w:bCs/>
          <w:color w:val="000000" w:themeColor="text1"/>
          <w:szCs w:val="32"/>
          <w:highlight w:val="none"/>
          <w:lang w:val="en-US" w:eastAsia="zh-CN"/>
          <w14:textFill>
            <w14:solidFill>
              <w14:schemeClr w14:val="tx1"/>
            </w14:solidFill>
          </w14:textFill>
        </w:rPr>
      </w:pPr>
      <w:r>
        <w:rPr>
          <w:rFonts w:hint="eastAsia" w:ascii="仿宋_GB2312"/>
          <w:b/>
          <w:szCs w:val="32"/>
          <w:highlight w:val="none"/>
          <w:lang w:val="en-US" w:eastAsia="zh-CN"/>
        </w:rPr>
        <w:t xml:space="preserve">   </w:t>
      </w:r>
      <w:r>
        <w:rPr>
          <w:rFonts w:hint="eastAsia" w:ascii="仿宋_GB2312"/>
          <w:b w:val="0"/>
          <w:bCs/>
          <w:color w:val="000000" w:themeColor="text1"/>
          <w:szCs w:val="32"/>
          <w:highlight w:val="none"/>
          <w:lang w:val="en-US" w:eastAsia="zh-CN"/>
          <w14:textFill>
            <w14:solidFill>
              <w14:schemeClr w14:val="tx1"/>
            </w14:solidFill>
          </w14:textFill>
        </w:rPr>
        <w:t xml:space="preserve"> 1、 2017 年度“三公经费”支出总额 9.6 万元，与年初预算相比减少 1.08 万元，降低 10.11%，原因是：当年公务接待费用的减少;与 2016 年度决算数相比增加 5.02 万元，增长 109.61%，原因是：2016 年我单位公务用车购置及运行维护费未按实际核编数 5 台车核定，只按 1 台车核定预算，2017 年按实际编制 5 辆车核定增加预算所致。</w:t>
      </w:r>
    </w:p>
    <w:p>
      <w:pPr>
        <w:numPr>
          <w:ilvl w:val="0"/>
          <w:numId w:val="0"/>
        </w:numPr>
        <w:ind w:firstLine="640" w:firstLineChars="200"/>
        <w:rPr>
          <w:rFonts w:hint="eastAsia" w:ascii="仿宋_GB2312"/>
          <w:b w:val="0"/>
          <w:bCs/>
          <w:color w:val="000000" w:themeColor="text1"/>
          <w:szCs w:val="32"/>
          <w:highlight w:val="none"/>
          <w:lang w:val="en-US" w:eastAsia="zh-CN"/>
          <w14:textFill>
            <w14:solidFill>
              <w14:schemeClr w14:val="tx1"/>
            </w14:solidFill>
          </w14:textFill>
        </w:rPr>
      </w:pPr>
      <w:r>
        <w:rPr>
          <w:rFonts w:hint="eastAsia" w:ascii="仿宋_GB2312"/>
          <w:b w:val="0"/>
          <w:bCs/>
          <w:color w:val="000000" w:themeColor="text1"/>
          <w:szCs w:val="32"/>
          <w:highlight w:val="none"/>
          <w:lang w:val="en-US" w:eastAsia="zh-CN"/>
          <w14:textFill>
            <w14:solidFill>
              <w14:schemeClr w14:val="tx1"/>
            </w14:solidFill>
          </w14:textFill>
        </w:rPr>
        <w:t>2．</w:t>
      </w:r>
      <w:r>
        <w:rPr>
          <w:rFonts w:hint="eastAsia" w:ascii="仿宋_GB2312"/>
          <w:b w:val="0"/>
          <w:bCs/>
          <w:color w:val="000000" w:themeColor="text1"/>
          <w:szCs w:val="32"/>
          <w:highlight w:val="none"/>
          <w14:textFill>
            <w14:solidFill>
              <w14:schemeClr w14:val="tx1"/>
            </w14:solidFill>
          </w14:textFill>
        </w:rPr>
        <w:t>2017年度因公出国（境）费0万元，年初预算为0万元， 2016年度决算数为“0”，原因是：2017年未发生因公出国费用，年初预算未安排 ，2016年也未发生因公出国费用。</w:t>
      </w:r>
    </w:p>
    <w:p>
      <w:pPr>
        <w:numPr>
          <w:ilvl w:val="0"/>
          <w:numId w:val="0"/>
        </w:numPr>
        <w:ind w:firstLine="640" w:firstLineChars="200"/>
        <w:rPr>
          <w:rFonts w:hint="eastAsia" w:ascii="仿宋_GB2312"/>
          <w:b w:val="0"/>
          <w:bCs/>
          <w:color w:val="000000" w:themeColor="text1"/>
          <w:szCs w:val="32"/>
          <w:highlight w:val="none"/>
          <w:lang w:val="en-US" w:eastAsia="zh-CN"/>
          <w14:textFill>
            <w14:solidFill>
              <w14:schemeClr w14:val="tx1"/>
            </w14:solidFill>
          </w14:textFill>
        </w:rPr>
      </w:pPr>
      <w:r>
        <w:rPr>
          <w:rFonts w:hint="eastAsia" w:ascii="仿宋_GB2312"/>
          <w:b w:val="0"/>
          <w:bCs/>
          <w:color w:val="000000" w:themeColor="text1"/>
          <w:szCs w:val="32"/>
          <w:highlight w:val="none"/>
          <w:lang w:val="en-US" w:eastAsia="zh-CN"/>
          <w14:textFill>
            <w14:solidFill>
              <w14:schemeClr w14:val="tx1"/>
            </w14:solidFill>
          </w14:textFill>
        </w:rPr>
        <w:t>3．2017 年度公务用车购置及运行维护费 9.6 万元，与年初预算持平；与 2016 年度决算数3.5万元相比增加 6.1 万元，增长174.29%，原因是：2016 年我单位公务用车财政未按实际核编数 5 台车核定，只按 1 台车核定预算，2017 年按实际编制 5 辆车核定增加预算，故支出相应增加。</w:t>
      </w:r>
    </w:p>
    <w:p>
      <w:pPr>
        <w:ind w:firstLine="640"/>
        <w:rPr>
          <w:rFonts w:ascii="仿宋_GB2312"/>
          <w:color w:val="auto"/>
          <w:szCs w:val="32"/>
          <w:highlight w:val="none"/>
        </w:rPr>
      </w:pPr>
      <w:r>
        <w:rPr>
          <w:rFonts w:hint="eastAsia" w:ascii="仿宋_GB2312"/>
          <w:color w:val="auto"/>
          <w:szCs w:val="32"/>
          <w:highlight w:val="none"/>
        </w:rPr>
        <w:t>其中：公务用车购置费</w:t>
      </w:r>
      <w:r>
        <w:rPr>
          <w:rFonts w:hint="eastAsia" w:ascii="仿宋_GB2312"/>
          <w:color w:val="auto"/>
          <w:szCs w:val="32"/>
          <w:highlight w:val="none"/>
          <w:lang w:eastAsia="zh-CN"/>
        </w:rPr>
        <w:t>为</w:t>
      </w:r>
      <w:r>
        <w:rPr>
          <w:rFonts w:hint="eastAsia" w:ascii="仿宋_GB2312"/>
          <w:color w:val="auto"/>
          <w:szCs w:val="32"/>
          <w:highlight w:val="none"/>
          <w:lang w:val="en-US" w:eastAsia="zh-CN"/>
        </w:rPr>
        <w:t>0万元</w:t>
      </w:r>
      <w:r>
        <w:rPr>
          <w:rFonts w:hint="eastAsia" w:ascii="仿宋_GB2312"/>
          <w:color w:val="auto"/>
          <w:szCs w:val="32"/>
          <w:highlight w:val="none"/>
        </w:rPr>
        <w:t>,</w:t>
      </w:r>
      <w:r>
        <w:rPr>
          <w:rFonts w:hint="eastAsia"/>
          <w:color w:val="auto"/>
          <w:highlight w:val="none"/>
        </w:rPr>
        <w:t xml:space="preserve"> </w:t>
      </w:r>
      <w:r>
        <w:rPr>
          <w:rFonts w:hint="eastAsia" w:ascii="仿宋_GB2312"/>
          <w:color w:val="auto"/>
          <w:szCs w:val="32"/>
          <w:highlight w:val="none"/>
        </w:rPr>
        <w:t>年初预算</w:t>
      </w:r>
      <w:r>
        <w:rPr>
          <w:rFonts w:hint="eastAsia" w:ascii="仿宋_GB2312"/>
          <w:color w:val="auto"/>
          <w:szCs w:val="32"/>
          <w:highlight w:val="none"/>
          <w:lang w:eastAsia="zh-CN"/>
        </w:rPr>
        <w:t>为</w:t>
      </w:r>
      <w:r>
        <w:rPr>
          <w:rFonts w:hint="eastAsia" w:ascii="仿宋_GB2312"/>
          <w:color w:val="auto"/>
          <w:szCs w:val="32"/>
          <w:highlight w:val="none"/>
          <w:lang w:val="en-US" w:eastAsia="zh-CN"/>
        </w:rPr>
        <w:t>0万元</w:t>
      </w:r>
      <w:r>
        <w:rPr>
          <w:rFonts w:hint="eastAsia" w:ascii="仿宋_GB2312"/>
          <w:color w:val="auto"/>
          <w:szCs w:val="32"/>
          <w:highlight w:val="none"/>
          <w:lang w:eastAsia="zh-CN"/>
        </w:rPr>
        <w:t>，</w:t>
      </w:r>
      <w:r>
        <w:rPr>
          <w:rFonts w:hint="eastAsia" w:ascii="仿宋_GB2312"/>
          <w:color w:val="auto"/>
          <w:szCs w:val="32"/>
          <w:highlight w:val="none"/>
        </w:rPr>
        <w:t>原因是：</w:t>
      </w:r>
      <w:r>
        <w:rPr>
          <w:rFonts w:hint="eastAsia" w:ascii="仿宋_GB2312"/>
          <w:color w:val="auto"/>
          <w:szCs w:val="32"/>
          <w:highlight w:val="none"/>
          <w:lang w:val="en-US" w:eastAsia="zh-CN"/>
        </w:rPr>
        <w:t>2017</w:t>
      </w:r>
      <w:r>
        <w:rPr>
          <w:rFonts w:hint="eastAsia" w:ascii="仿宋_GB2312"/>
          <w:color w:val="auto"/>
          <w:szCs w:val="32"/>
          <w:highlight w:val="none"/>
          <w:lang w:eastAsia="zh-CN"/>
        </w:rPr>
        <w:t>年未发生</w:t>
      </w:r>
      <w:r>
        <w:rPr>
          <w:rFonts w:hint="eastAsia" w:ascii="仿宋_GB2312"/>
          <w:color w:val="auto"/>
          <w:szCs w:val="32"/>
          <w:highlight w:val="none"/>
        </w:rPr>
        <w:t>公务用车购置费</w:t>
      </w:r>
      <w:r>
        <w:rPr>
          <w:rFonts w:hint="eastAsia" w:ascii="仿宋_GB2312"/>
          <w:color w:val="auto"/>
          <w:szCs w:val="32"/>
          <w:highlight w:val="none"/>
          <w:lang w:eastAsia="zh-CN"/>
        </w:rPr>
        <w:t>。</w:t>
      </w:r>
      <w:r>
        <w:rPr>
          <w:rFonts w:hint="eastAsia" w:ascii="仿宋_GB2312"/>
          <w:color w:val="auto"/>
          <w:szCs w:val="32"/>
          <w:highlight w:val="none"/>
        </w:rPr>
        <w:t>2016年度决算数</w:t>
      </w:r>
      <w:r>
        <w:rPr>
          <w:rFonts w:hint="eastAsia" w:ascii="仿宋_GB2312"/>
          <w:color w:val="auto"/>
          <w:szCs w:val="32"/>
          <w:highlight w:val="none"/>
          <w:lang w:eastAsia="zh-CN"/>
        </w:rPr>
        <w:t>为</w:t>
      </w:r>
      <w:r>
        <w:rPr>
          <w:rFonts w:hint="eastAsia" w:ascii="仿宋_GB2312"/>
          <w:color w:val="auto"/>
          <w:szCs w:val="32"/>
          <w:highlight w:val="none"/>
          <w:lang w:val="en-US" w:eastAsia="zh-CN"/>
        </w:rPr>
        <w:t>0万元</w:t>
      </w:r>
      <w:r>
        <w:rPr>
          <w:rFonts w:hint="eastAsia" w:ascii="仿宋_GB2312"/>
          <w:color w:val="auto"/>
          <w:szCs w:val="32"/>
          <w:highlight w:val="none"/>
          <w:lang w:eastAsia="zh-CN"/>
        </w:rPr>
        <w:t>，</w:t>
      </w:r>
      <w:r>
        <w:rPr>
          <w:rFonts w:hint="eastAsia" w:ascii="仿宋_GB2312"/>
          <w:color w:val="auto"/>
          <w:szCs w:val="32"/>
          <w:highlight w:val="none"/>
        </w:rPr>
        <w:t>原因是：</w:t>
      </w:r>
      <w:r>
        <w:rPr>
          <w:rFonts w:hint="eastAsia" w:ascii="仿宋_GB2312"/>
          <w:color w:val="auto"/>
          <w:szCs w:val="32"/>
          <w:highlight w:val="none"/>
          <w:lang w:val="en-US" w:eastAsia="zh-CN"/>
        </w:rPr>
        <w:t>2016年也</w:t>
      </w:r>
      <w:r>
        <w:rPr>
          <w:rFonts w:hint="eastAsia" w:ascii="仿宋_GB2312"/>
          <w:color w:val="auto"/>
          <w:szCs w:val="32"/>
          <w:highlight w:val="none"/>
          <w:lang w:eastAsia="zh-CN"/>
        </w:rPr>
        <w:t>未发生</w:t>
      </w:r>
      <w:r>
        <w:rPr>
          <w:rFonts w:hint="eastAsia" w:ascii="仿宋_GB2312"/>
          <w:color w:val="auto"/>
          <w:szCs w:val="32"/>
          <w:highlight w:val="none"/>
        </w:rPr>
        <w:t>公务用车购置费。</w:t>
      </w:r>
    </w:p>
    <w:p>
      <w:pPr>
        <w:numPr>
          <w:ilvl w:val="0"/>
          <w:numId w:val="0"/>
        </w:numPr>
        <w:ind w:firstLine="640" w:firstLineChars="200"/>
        <w:rPr>
          <w:rFonts w:hint="eastAsia" w:ascii="仿宋_GB2312"/>
          <w:b w:val="0"/>
          <w:bCs/>
          <w:szCs w:val="32"/>
          <w:highlight w:val="none"/>
          <w:lang w:val="en-US" w:eastAsia="zh-CN"/>
        </w:rPr>
      </w:pPr>
      <w:r>
        <w:rPr>
          <w:rFonts w:hint="eastAsia" w:ascii="仿宋_GB2312"/>
          <w:color w:val="auto"/>
          <w:szCs w:val="32"/>
          <w:highlight w:val="none"/>
        </w:rPr>
        <w:t>其中：公务用车维护费,</w:t>
      </w:r>
      <w:r>
        <w:rPr>
          <w:rFonts w:hint="eastAsia"/>
          <w:color w:val="auto"/>
          <w:highlight w:val="none"/>
        </w:rPr>
        <w:t xml:space="preserve"> </w:t>
      </w:r>
      <w:r>
        <w:rPr>
          <w:rFonts w:hint="eastAsia" w:ascii="仿宋_GB2312"/>
          <w:color w:val="auto"/>
          <w:szCs w:val="32"/>
          <w:highlight w:val="none"/>
        </w:rPr>
        <w:t>与年初预算</w:t>
      </w:r>
      <w:r>
        <w:rPr>
          <w:rFonts w:hint="eastAsia" w:ascii="仿宋_GB2312"/>
          <w:color w:val="auto"/>
          <w:szCs w:val="32"/>
          <w:highlight w:val="none"/>
          <w:lang w:val="en-US" w:eastAsia="zh-CN"/>
        </w:rPr>
        <w:t>9.6</w:t>
      </w:r>
      <w:r>
        <w:rPr>
          <w:rFonts w:hint="eastAsia" w:ascii="仿宋_GB2312"/>
          <w:color w:val="auto"/>
          <w:szCs w:val="32"/>
          <w:highlight w:val="none"/>
        </w:rPr>
        <w:t>万元</w:t>
      </w:r>
      <w:r>
        <w:rPr>
          <w:rFonts w:hint="eastAsia" w:ascii="仿宋_GB2312"/>
          <w:color w:val="auto"/>
          <w:szCs w:val="32"/>
          <w:highlight w:val="none"/>
          <w:lang w:eastAsia="zh-CN"/>
        </w:rPr>
        <w:t>相同；</w:t>
      </w:r>
      <w:r>
        <w:rPr>
          <w:rFonts w:hint="eastAsia" w:ascii="仿宋_GB2312"/>
          <w:color w:val="auto"/>
          <w:szCs w:val="32"/>
          <w:highlight w:val="none"/>
        </w:rPr>
        <w:t>与2016年度决算数</w:t>
      </w:r>
      <w:r>
        <w:rPr>
          <w:rFonts w:hint="eastAsia" w:ascii="仿宋_GB2312"/>
          <w:color w:val="auto"/>
          <w:szCs w:val="32"/>
          <w:highlight w:val="none"/>
          <w:lang w:val="en-US" w:eastAsia="zh-CN"/>
        </w:rPr>
        <w:t>3.5万元</w:t>
      </w:r>
      <w:r>
        <w:rPr>
          <w:rFonts w:hint="eastAsia" w:ascii="仿宋_GB2312"/>
          <w:color w:val="auto"/>
          <w:szCs w:val="32"/>
          <w:highlight w:val="none"/>
        </w:rPr>
        <w:t>相比增加</w:t>
      </w:r>
      <w:r>
        <w:rPr>
          <w:rFonts w:hint="eastAsia" w:ascii="仿宋_GB2312"/>
          <w:color w:val="auto"/>
          <w:szCs w:val="32"/>
          <w:highlight w:val="none"/>
          <w:lang w:val="en-US" w:eastAsia="zh-CN"/>
        </w:rPr>
        <w:t>6.1万元</w:t>
      </w:r>
      <w:r>
        <w:rPr>
          <w:rFonts w:hint="eastAsia" w:ascii="仿宋_GB2312"/>
          <w:color w:val="auto"/>
          <w:szCs w:val="32"/>
          <w:highlight w:val="none"/>
        </w:rPr>
        <w:t>，原因是：</w:t>
      </w:r>
      <w:r>
        <w:rPr>
          <w:rFonts w:hint="eastAsia" w:ascii="仿宋_GB2312"/>
          <w:b w:val="0"/>
          <w:bCs/>
          <w:color w:val="auto"/>
          <w:szCs w:val="32"/>
          <w:highlight w:val="none"/>
          <w:lang w:val="en-US" w:eastAsia="zh-CN"/>
        </w:rPr>
        <w:t>2016 年我单</w:t>
      </w:r>
      <w:r>
        <w:rPr>
          <w:rFonts w:hint="eastAsia" w:ascii="仿宋_GB2312"/>
          <w:b w:val="0"/>
          <w:bCs/>
          <w:szCs w:val="32"/>
          <w:highlight w:val="none"/>
          <w:lang w:val="en-US" w:eastAsia="zh-CN"/>
        </w:rPr>
        <w:t>位公务用车财政未按实际核编数 5 台车核定，只按 1 台车核定预算，2017 年按实际编制 5 辆车核定增加预算，故支出相应增加。</w:t>
      </w:r>
    </w:p>
    <w:p>
      <w:pPr>
        <w:numPr>
          <w:ilvl w:val="0"/>
          <w:numId w:val="0"/>
        </w:numPr>
        <w:ind w:firstLine="640" w:firstLineChars="200"/>
        <w:rPr>
          <w:rFonts w:hint="eastAsia" w:ascii="仿宋_GB2312"/>
          <w:b w:val="0"/>
          <w:bCs/>
          <w:szCs w:val="32"/>
          <w:highlight w:val="none"/>
          <w:lang w:val="en-US" w:eastAsia="zh-CN"/>
        </w:rPr>
      </w:pPr>
      <w:r>
        <w:rPr>
          <w:rFonts w:hint="eastAsia" w:ascii="仿宋_GB2312"/>
          <w:b w:val="0"/>
          <w:bCs/>
          <w:szCs w:val="32"/>
          <w:highlight w:val="none"/>
          <w:lang w:val="en-US" w:eastAsia="zh-CN"/>
        </w:rPr>
        <w:t>4．2017 年度公务接待费 0 万元，与年初预算相比减少 1.08万元，原因是：当年未发生公务接待费用，与 2016 年度决算数相比减少 1.08 万元，降低 100%，原因是：当年未发生公务接待费用。</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w:t>
      </w:r>
      <w:r>
        <w:rPr>
          <w:rFonts w:hint="eastAsia" w:ascii="仿宋_GB2312"/>
          <w:szCs w:val="32"/>
          <w:lang w:val="en-US" w:eastAsia="zh-CN"/>
        </w:rPr>
        <w:t>0</w:t>
      </w:r>
      <w:r>
        <w:rPr>
          <w:rFonts w:hint="eastAsia" w:ascii="仿宋_GB2312"/>
          <w:szCs w:val="32"/>
        </w:rPr>
        <w:t>辆，公务用车保有量</w:t>
      </w:r>
      <w:r>
        <w:rPr>
          <w:rFonts w:hint="eastAsia" w:ascii="仿宋_GB2312"/>
          <w:szCs w:val="32"/>
          <w:lang w:val="en-US" w:eastAsia="zh-CN"/>
        </w:rPr>
        <w:t>5</w:t>
      </w:r>
      <w:r>
        <w:rPr>
          <w:rFonts w:hint="eastAsia" w:ascii="仿宋_GB2312"/>
          <w:szCs w:val="32"/>
        </w:rPr>
        <w:t>辆；</w:t>
      </w:r>
    </w:p>
    <w:p>
      <w:pPr>
        <w:ind w:firstLine="640"/>
        <w:rPr>
          <w:rFonts w:ascii="仿宋_GB2312"/>
          <w:szCs w:val="32"/>
        </w:rPr>
      </w:pPr>
      <w:r>
        <w:rPr>
          <w:rFonts w:hint="eastAsia" w:ascii="仿宋_GB2312"/>
          <w:szCs w:val="32"/>
        </w:rPr>
        <w:t>2．因公出国（境）团组个数为</w:t>
      </w:r>
      <w:r>
        <w:rPr>
          <w:rFonts w:hint="eastAsia" w:ascii="仿宋_GB2312"/>
          <w:szCs w:val="32"/>
          <w:lang w:val="en-US" w:eastAsia="zh-CN"/>
        </w:rPr>
        <w:t>0</w:t>
      </w:r>
      <w:r>
        <w:rPr>
          <w:rFonts w:hint="eastAsia" w:ascii="仿宋_GB2312"/>
          <w:szCs w:val="32"/>
        </w:rPr>
        <w:t xml:space="preserve">个， </w:t>
      </w:r>
      <w:r>
        <w:rPr>
          <w:rFonts w:hint="eastAsia" w:ascii="仿宋_GB2312"/>
          <w:szCs w:val="32"/>
          <w:lang w:val="en-US" w:eastAsia="zh-CN"/>
        </w:rPr>
        <w:t>0</w:t>
      </w:r>
      <w:r>
        <w:rPr>
          <w:rFonts w:hint="eastAsia" w:ascii="仿宋_GB2312"/>
          <w:szCs w:val="32"/>
        </w:rPr>
        <w:t>人次；</w:t>
      </w:r>
    </w:p>
    <w:p>
      <w:pPr>
        <w:ind w:firstLine="640"/>
        <w:rPr>
          <w:rFonts w:ascii="仿宋_GB2312"/>
          <w:szCs w:val="32"/>
        </w:rPr>
      </w:pPr>
      <w:r>
        <w:rPr>
          <w:rFonts w:hint="eastAsia" w:ascii="仿宋_GB2312"/>
          <w:szCs w:val="32"/>
        </w:rPr>
        <w:t>3．公务接待批次</w:t>
      </w:r>
      <w:r>
        <w:rPr>
          <w:rFonts w:hint="eastAsia" w:ascii="仿宋_GB2312"/>
          <w:szCs w:val="32"/>
          <w:lang w:val="en-US" w:eastAsia="zh-CN"/>
        </w:rPr>
        <w:t>0</w:t>
      </w:r>
      <w:r>
        <w:rPr>
          <w:rFonts w:hint="eastAsia" w:ascii="仿宋_GB2312"/>
          <w:szCs w:val="32"/>
        </w:rPr>
        <w:t>批次，</w:t>
      </w:r>
      <w:r>
        <w:rPr>
          <w:rFonts w:hint="eastAsia" w:ascii="仿宋_GB2312"/>
          <w:szCs w:val="32"/>
          <w:lang w:val="en-US" w:eastAsia="zh-CN"/>
        </w:rPr>
        <w:t>0</w:t>
      </w:r>
      <w:r>
        <w:rPr>
          <w:rFonts w:hint="eastAsia" w:ascii="仿宋_GB2312"/>
          <w:szCs w:val="32"/>
        </w:rPr>
        <w:t>人次。</w:t>
      </w:r>
    </w:p>
    <w:p>
      <w:pPr>
        <w:ind w:firstLine="643"/>
        <w:rPr>
          <w:rFonts w:hint="eastAsia" w:ascii="楷体" w:hAnsi="楷体" w:eastAsia="楷体"/>
          <w:b/>
          <w:szCs w:val="32"/>
        </w:rPr>
      </w:pPr>
      <w:r>
        <w:rPr>
          <w:rFonts w:hint="eastAsia" w:ascii="楷体" w:hAnsi="楷体" w:eastAsia="楷体"/>
          <w:b/>
          <w:szCs w:val="32"/>
        </w:rPr>
        <w:t>六、绩效预算情况说明</w:t>
      </w:r>
    </w:p>
    <w:p>
      <w:pPr>
        <w:ind w:firstLine="358" w:firstLineChars="112"/>
        <w:rPr>
          <w:rFonts w:hint="eastAsia" w:ascii="仿宋_GB2312"/>
          <w:szCs w:val="32"/>
        </w:rPr>
      </w:pPr>
      <w:r>
        <w:rPr>
          <w:rFonts w:hint="eastAsia" w:ascii="仿宋_GB2312"/>
          <w:szCs w:val="32"/>
        </w:rPr>
        <w:t>（一）预算绩效管理工作开展情况</w:t>
      </w:r>
    </w:p>
    <w:p>
      <w:pPr>
        <w:ind w:firstLine="640"/>
        <w:rPr>
          <w:rFonts w:ascii="仿宋_GB2312"/>
          <w:szCs w:val="32"/>
        </w:rPr>
      </w:pPr>
      <w:r>
        <w:rPr>
          <w:rFonts w:hint="eastAsia" w:ascii="仿宋_GB2312"/>
          <w:szCs w:val="32"/>
        </w:rPr>
        <w:t>启动规划编制、稳步推进，参加国内重点招商会和行业年会，主动拜访目标企业，确保省市重点项目如期开工，确保园区保持安全稳定美观的环境，基础设施能够满足企业和群众需求，保障金、奖金按时发放到位，促进农民就业。</w:t>
      </w:r>
    </w:p>
    <w:p>
      <w:pPr>
        <w:ind w:firstLine="480" w:firstLineChars="150"/>
        <w:rPr>
          <w:rFonts w:hint="eastAsia" w:ascii="仿宋_GB2312"/>
          <w:szCs w:val="32"/>
        </w:rPr>
      </w:pPr>
      <w:r>
        <w:rPr>
          <w:rFonts w:hint="eastAsia" w:ascii="仿宋_GB2312"/>
          <w:szCs w:val="32"/>
        </w:rPr>
        <w:t>（二）预算项目绩效评价开展情况</w:t>
      </w:r>
    </w:p>
    <w:p>
      <w:pPr>
        <w:ind w:firstLine="640"/>
        <w:rPr>
          <w:rFonts w:ascii="仿宋_GB2312"/>
          <w:szCs w:val="32"/>
        </w:rPr>
      </w:pPr>
      <w:r>
        <w:rPr>
          <w:rFonts w:hint="eastAsia" w:ascii="仿宋_GB2312"/>
          <w:szCs w:val="32"/>
        </w:rPr>
        <w:t>我单位严格按照既定目标开展各项工作，加大投入力度，严把各项规章制度，狠抓项目建设，为入园企业提供一站式跑办服务，让企业感受到园区的投资优势；为辖区村民做好各项服务工作，争取按时保质的完成既定目标任务。</w:t>
      </w:r>
    </w:p>
    <w:p>
      <w:pPr>
        <w:ind w:firstLine="640"/>
        <w:rPr>
          <w:rFonts w:hint="eastAsia" w:ascii="仿宋_GB2312"/>
          <w:szCs w:val="32"/>
        </w:rPr>
      </w:pPr>
      <w:r>
        <w:rPr>
          <w:rFonts w:hint="eastAsia" w:ascii="仿宋_GB2312"/>
          <w:szCs w:val="32"/>
        </w:rPr>
        <w:t>（三）预算项目绩效自评选例</w:t>
      </w:r>
    </w:p>
    <w:p>
      <w:pPr>
        <w:ind w:firstLine="640"/>
        <w:rPr>
          <w:rFonts w:ascii="仿宋_GB2312"/>
          <w:szCs w:val="32"/>
        </w:rPr>
      </w:pPr>
      <w:r>
        <w:rPr>
          <w:rFonts w:hint="eastAsia" w:ascii="仿宋_GB2312"/>
          <w:szCs w:val="32"/>
        </w:rPr>
        <w:t>为辖区村民及项目单位做好服务工作，为园区的基础设施建设及项目建设做好一站式服务。</w:t>
      </w:r>
    </w:p>
    <w:p>
      <w:pPr>
        <w:ind w:firstLine="640"/>
        <w:rPr>
          <w:rFonts w:hint="eastAsia" w:ascii="楷体" w:hAnsi="楷体" w:eastAsia="楷体"/>
          <w:b/>
          <w:szCs w:val="32"/>
        </w:rPr>
      </w:pPr>
      <w:r>
        <w:rPr>
          <w:rFonts w:hint="eastAsia" w:ascii="仿宋_GB2312"/>
          <w:szCs w:val="32"/>
        </w:rPr>
        <w:t>（四）部门决算量化评价说明</w:t>
      </w:r>
      <w:r>
        <w:rPr>
          <w:rFonts w:hint="eastAsia" w:ascii="仿宋_GB2312"/>
          <w:szCs w:val="32"/>
          <w:lang w:eastAsia="zh-CN"/>
        </w:rPr>
        <w:t>。</w:t>
      </w:r>
    </w:p>
    <w:p>
      <w:pPr>
        <w:ind w:firstLine="643"/>
        <w:rPr>
          <w:rFonts w:hint="eastAsia" w:ascii="楷体" w:hAnsi="楷体" w:eastAsia="楷体"/>
          <w:b w:val="0"/>
          <w:bCs/>
          <w:szCs w:val="32"/>
          <w:highlight w:val="green"/>
        </w:rPr>
      </w:pPr>
      <w:r>
        <w:rPr>
          <w:rFonts w:hint="eastAsia" w:ascii="仿宋_GB2312"/>
          <w:szCs w:val="32"/>
        </w:rPr>
        <w:t>我单位 2017 年度部门决算中《部门决算量化评价表》进行测评后得分为 73.5 分，主要减分原因为：</w:t>
      </w:r>
    </w:p>
    <w:p>
      <w:pPr>
        <w:ind w:firstLine="643"/>
        <w:rPr>
          <w:rFonts w:hint="eastAsia" w:ascii="仿宋_GB2312"/>
          <w:szCs w:val="32"/>
        </w:rPr>
      </w:pPr>
      <w:r>
        <w:rPr>
          <w:rFonts w:hint="eastAsia" w:ascii="仿宋_GB2312"/>
          <w:szCs w:val="32"/>
          <w:lang w:val="en-US" w:eastAsia="zh-CN"/>
        </w:rPr>
        <w:t>1、</w:t>
      </w:r>
      <w:r>
        <w:rPr>
          <w:rFonts w:hint="eastAsia" w:ascii="仿宋_GB2312"/>
          <w:szCs w:val="32"/>
        </w:rPr>
        <w:t>财政拨款收入预决算差异率扣 10 分，原因为：（1）政府性基金拨款无收入预算，收入按当年财政拨款实际发生数额列支。（2）2017 年度决算收入较年初预算增加（3）当年基本工资标准进行调整，人员性支出大幅增加以上原因导致我部门本年实际收入大于年初预算。</w:t>
      </w:r>
    </w:p>
    <w:p>
      <w:pPr>
        <w:ind w:firstLine="643"/>
        <w:rPr>
          <w:rFonts w:hint="eastAsia" w:ascii="仿宋_GB2312"/>
          <w:szCs w:val="32"/>
        </w:rPr>
      </w:pPr>
      <w:r>
        <w:rPr>
          <w:rFonts w:hint="eastAsia" w:ascii="仿宋_GB2312"/>
          <w:szCs w:val="32"/>
          <w:lang w:val="en-US" w:eastAsia="zh-CN"/>
        </w:rPr>
        <w:t>2、</w:t>
      </w:r>
      <w:r>
        <w:rPr>
          <w:rFonts w:hint="eastAsia" w:ascii="仿宋_GB2312"/>
          <w:szCs w:val="32"/>
        </w:rPr>
        <w:t>年初结转和结余预决算差异率扣 5 分，原因为：年末结转和年末结余的政府性基金数额较大以及年底收到的经费未支付所致。</w:t>
      </w:r>
    </w:p>
    <w:p>
      <w:pPr>
        <w:ind w:firstLine="643"/>
        <w:rPr>
          <w:rFonts w:hint="eastAsia" w:ascii="仿宋_GB2312"/>
          <w:szCs w:val="32"/>
          <w:lang w:val="en-US" w:eastAsia="zh-CN"/>
        </w:rPr>
      </w:pPr>
      <w:r>
        <w:rPr>
          <w:rFonts w:hint="eastAsia" w:ascii="仿宋_GB2312"/>
          <w:szCs w:val="32"/>
          <w:lang w:val="en-US" w:eastAsia="zh-CN"/>
        </w:rPr>
        <w:t>3、财政拨款结转和结余率扣 1.5 分，原因为本年财政拨款结转同比上年减少。</w:t>
      </w:r>
    </w:p>
    <w:p>
      <w:pPr>
        <w:ind w:firstLine="643"/>
        <w:rPr>
          <w:rFonts w:hint="eastAsia" w:ascii="仿宋_GB2312"/>
          <w:szCs w:val="32"/>
          <w:lang w:val="en-US" w:eastAsia="zh-CN"/>
        </w:rPr>
      </w:pPr>
      <w:r>
        <w:rPr>
          <w:rFonts w:hint="eastAsia" w:ascii="仿宋_GB2312"/>
          <w:szCs w:val="32"/>
          <w:lang w:val="en-US" w:eastAsia="zh-CN"/>
        </w:rPr>
        <w:t>4、财政收回存量资金占上年财政拨款结转和结余比重扣 0.5分，原因为财政收回存量资金占上年财政拨款结转和结余比重较小。</w:t>
      </w:r>
    </w:p>
    <w:p>
      <w:pPr>
        <w:ind w:firstLine="643"/>
        <w:rPr>
          <w:rFonts w:hint="eastAsia" w:ascii="仿宋_GB2312"/>
          <w:szCs w:val="32"/>
          <w:lang w:val="en-US" w:eastAsia="zh-CN"/>
        </w:rPr>
      </w:pPr>
      <w:r>
        <w:rPr>
          <w:rFonts w:hint="eastAsia" w:ascii="仿宋_GB2312"/>
          <w:szCs w:val="32"/>
          <w:lang w:val="en-US" w:eastAsia="zh-CN"/>
        </w:rPr>
        <w:t>5、资产类往来款变动率扣 0.5 分，原因为我单位账务调整。</w:t>
      </w:r>
    </w:p>
    <w:p>
      <w:pPr>
        <w:ind w:firstLine="643"/>
        <w:rPr>
          <w:rFonts w:hint="eastAsia" w:ascii="仿宋_GB2312"/>
          <w:szCs w:val="32"/>
          <w:lang w:val="en-US" w:eastAsia="zh-CN"/>
        </w:rPr>
      </w:pPr>
      <w:r>
        <w:rPr>
          <w:rFonts w:hint="eastAsia" w:ascii="仿宋_GB2312"/>
          <w:szCs w:val="32"/>
          <w:lang w:val="en-US" w:eastAsia="zh-CN"/>
        </w:rPr>
        <w:t>6、在职人员控制率扣 3 分，原因为我单位人员编制数为 40人，实际人数为 68 人，超出编制人数为 28 人。</w:t>
      </w:r>
    </w:p>
    <w:p>
      <w:pPr>
        <w:ind w:firstLine="643"/>
        <w:rPr>
          <w:rFonts w:hint="eastAsia" w:ascii="仿宋_GB2312"/>
          <w:szCs w:val="32"/>
          <w:lang w:val="en-US" w:eastAsia="zh-CN"/>
        </w:rPr>
      </w:pPr>
      <w:r>
        <w:rPr>
          <w:rFonts w:hint="eastAsia" w:ascii="仿宋_GB2312"/>
          <w:szCs w:val="32"/>
          <w:lang w:val="en-US" w:eastAsia="zh-CN"/>
        </w:rPr>
        <w:t>7、其他人员增减率扣 1 分，原因为我单位其他人员数为 0，本年无增减变化。</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hint="eastAsia" w:ascii="仿宋" w:hAnsi="仿宋" w:eastAsia="仿宋"/>
          <w:b/>
          <w:szCs w:val="32"/>
        </w:rPr>
      </w:pPr>
      <w:r>
        <w:rPr>
          <w:rFonts w:hint="eastAsia" w:ascii="仿宋" w:hAnsi="仿宋" w:eastAsia="仿宋"/>
          <w:b/>
          <w:szCs w:val="32"/>
        </w:rPr>
        <w:t>1．机关运行经费支出情况的说明。</w:t>
      </w:r>
    </w:p>
    <w:p>
      <w:pPr>
        <w:ind w:firstLine="643"/>
        <w:rPr>
          <w:rFonts w:ascii="仿宋_GB2312"/>
          <w:szCs w:val="32"/>
        </w:rPr>
      </w:pPr>
      <w:r>
        <w:rPr>
          <w:rFonts w:hint="eastAsia" w:ascii="仿宋_GB2312"/>
          <w:szCs w:val="32"/>
        </w:rPr>
        <w:t>2017 年度本部门机关运行经费支出360.7万元，比2016年度减少12.79万元，降低3.42%。主要原因是：同期拨入经费减少</w:t>
      </w:r>
    </w:p>
    <w:p>
      <w:pPr>
        <w:numPr>
          <w:ilvl w:val="0"/>
          <w:numId w:val="3"/>
        </w:numPr>
        <w:ind w:firstLine="643"/>
        <w:rPr>
          <w:rFonts w:hint="eastAsia" w:ascii="仿宋" w:hAnsi="仿宋" w:eastAsia="仿宋"/>
          <w:b/>
          <w:szCs w:val="32"/>
        </w:rPr>
      </w:pPr>
      <w:r>
        <w:rPr>
          <w:rFonts w:hint="eastAsia" w:ascii="仿宋" w:hAnsi="仿宋" w:eastAsia="仿宋"/>
          <w:b/>
          <w:szCs w:val="32"/>
        </w:rPr>
        <w:t>政府采购情况的说明。</w:t>
      </w:r>
    </w:p>
    <w:p>
      <w:pPr>
        <w:numPr>
          <w:ilvl w:val="0"/>
          <w:numId w:val="0"/>
        </w:numPr>
        <w:ind w:firstLine="640" w:firstLineChars="200"/>
        <w:rPr>
          <w:rFonts w:ascii="仿宋_GB2312"/>
          <w:szCs w:val="32"/>
        </w:rPr>
      </w:pPr>
      <w:r>
        <w:rPr>
          <w:rFonts w:hint="eastAsia" w:ascii="仿宋_GB2312"/>
          <w:szCs w:val="32"/>
        </w:rPr>
        <w:t>2017 年度本部门政府采购支出总额 1173.1 万元，其中：政府采购货物支出 119.27 万元、政府采购工程支出 112.06 万元、政府采购服务支出 945.35 万元。</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4"/>
        <w:tblW w:w="15171" w:type="dxa"/>
        <w:jc w:val="center"/>
        <w:tblInd w:w="0" w:type="dxa"/>
        <w:tblLayout w:type="fixed"/>
        <w:tblCellMar>
          <w:top w:w="0" w:type="dxa"/>
          <w:left w:w="108" w:type="dxa"/>
          <w:bottom w:w="0" w:type="dxa"/>
          <w:right w:w="108" w:type="dxa"/>
        </w:tblCellMar>
      </w:tblPr>
      <w:tblGrid>
        <w:gridCol w:w="4247"/>
        <w:gridCol w:w="941"/>
        <w:gridCol w:w="729"/>
        <w:gridCol w:w="859"/>
        <w:gridCol w:w="1182"/>
        <w:gridCol w:w="1170"/>
        <w:gridCol w:w="4333"/>
        <w:gridCol w:w="660"/>
        <w:gridCol w:w="1050"/>
      </w:tblGrid>
      <w:tr>
        <w:tblPrEx>
          <w:tblLayout w:type="fixed"/>
          <w:tblCellMar>
            <w:top w:w="0" w:type="dxa"/>
            <w:left w:w="108" w:type="dxa"/>
            <w:bottom w:w="0" w:type="dxa"/>
            <w:right w:w="108" w:type="dxa"/>
          </w:tblCellMar>
        </w:tblPrEx>
        <w:trPr>
          <w:trHeight w:val="402" w:hRule="atLeast"/>
          <w:jc w:val="center"/>
        </w:trPr>
        <w:tc>
          <w:tcPr>
            <w:tcW w:w="42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941"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58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2352"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043"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94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043"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54"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050"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15524.41</w:t>
            </w: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14200.01</w:t>
            </w: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15377.19</w:t>
            </w: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14048.16</w:t>
            </w: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147.22</w:t>
            </w: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151.85</w:t>
            </w: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16" w:name="_Hlk3187520"/>
            <w:r>
              <w:rPr>
                <w:rFonts w:hint="eastAsia" w:ascii="宋体" w:hAnsi="宋体" w:eastAsia="宋体" w:cs="Arial"/>
                <w:color w:val="000000"/>
                <w:kern w:val="0"/>
                <w:sz w:val="22"/>
              </w:rPr>
              <w:t xml:space="preserve">  （一）房屋（平方米）</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w:t>
            </w: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w:t>
            </w: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46.51</w:t>
            </w: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46.51</w:t>
            </w: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7407.44</w:t>
            </w:r>
          </w:p>
        </w:tc>
      </w:tr>
      <w:tr>
        <w:tblPrEx>
          <w:tblLayout w:type="fixed"/>
          <w:tblCellMar>
            <w:top w:w="0" w:type="dxa"/>
            <w:left w:w="108" w:type="dxa"/>
            <w:bottom w:w="0" w:type="dxa"/>
            <w:right w:w="108" w:type="dxa"/>
          </w:tblCellMar>
        </w:tblPrEx>
        <w:trPr>
          <w:trHeight w:val="77"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w:t>
            </w: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w:t>
            </w: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46.51</w:t>
            </w: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46.51</w:t>
            </w: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w:t>
            </w:r>
          </w:p>
        </w:tc>
      </w:tr>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w:t>
            </w:r>
          </w:p>
        </w:tc>
      </w:tr>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100.71</w:t>
            </w: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105.34</w:t>
            </w: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16"/>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94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72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5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8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7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33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050"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247"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94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729"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59"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82"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70"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333"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0"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050"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szCs w:val="32"/>
        </w:rPr>
      </w:pPr>
      <w:r>
        <w:rPr>
          <w:rFonts w:hint="eastAsia" w:ascii="仿宋_GB2312"/>
          <w:color w:val="auto"/>
          <w:szCs w:val="32"/>
        </w:rPr>
        <w:t>截至201</w:t>
      </w:r>
      <w:r>
        <w:rPr>
          <w:rFonts w:ascii="仿宋_GB2312"/>
          <w:color w:val="auto"/>
          <w:szCs w:val="32"/>
        </w:rPr>
        <w:t>7</w:t>
      </w:r>
      <w:r>
        <w:rPr>
          <w:rFonts w:hint="eastAsia" w:ascii="仿宋_GB2312"/>
          <w:color w:val="auto"/>
          <w:szCs w:val="32"/>
        </w:rPr>
        <w:t>年12月31日，固定资产</w:t>
      </w:r>
      <w:r>
        <w:rPr>
          <w:rFonts w:hint="eastAsia" w:ascii="仿宋_GB2312"/>
          <w:color w:val="auto"/>
          <w:szCs w:val="32"/>
          <w:lang w:val="en-US" w:eastAsia="zh-CN"/>
        </w:rPr>
        <w:t>151.85</w:t>
      </w:r>
      <w:r>
        <w:rPr>
          <w:rFonts w:hint="eastAsia" w:ascii="仿宋_GB2312"/>
          <w:color w:val="auto"/>
          <w:szCs w:val="32"/>
        </w:rPr>
        <w:t>万元，与2016年</w:t>
      </w:r>
      <w:r>
        <w:rPr>
          <w:rFonts w:hint="eastAsia" w:ascii="仿宋_GB2312"/>
          <w:color w:val="auto"/>
          <w:szCs w:val="32"/>
          <w:lang w:val="en-US" w:eastAsia="zh-CN"/>
        </w:rPr>
        <w:t>147.22万元</w:t>
      </w:r>
      <w:r>
        <w:rPr>
          <w:rFonts w:hint="eastAsia" w:ascii="仿宋_GB2312"/>
          <w:color w:val="auto"/>
          <w:szCs w:val="32"/>
        </w:rPr>
        <w:t>相比增加</w:t>
      </w:r>
      <w:r>
        <w:rPr>
          <w:rFonts w:hint="eastAsia" w:ascii="仿宋_GB2312"/>
          <w:color w:val="auto"/>
          <w:szCs w:val="32"/>
          <w:lang w:val="en-US" w:eastAsia="zh-CN"/>
        </w:rPr>
        <w:t>4.63</w:t>
      </w:r>
      <w:r>
        <w:rPr>
          <w:rFonts w:hint="eastAsia" w:ascii="仿宋_GB2312"/>
          <w:color w:val="auto"/>
          <w:szCs w:val="32"/>
        </w:rPr>
        <w:t>万元，主要原因是：购买电脑、打</w:t>
      </w:r>
      <w:r>
        <w:rPr>
          <w:rFonts w:hint="eastAsia" w:ascii="仿宋_GB2312"/>
          <w:szCs w:val="32"/>
        </w:rPr>
        <w:t>印机、办公桌椅等设备。</w:t>
      </w:r>
    </w:p>
    <w:p>
      <w:pPr>
        <w:ind w:firstLine="640"/>
        <w:rPr>
          <w:rFonts w:ascii="仿宋_GB2312"/>
          <w:szCs w:val="32"/>
        </w:rPr>
      </w:pPr>
      <w:r>
        <w:rPr>
          <w:rFonts w:hint="eastAsia" w:ascii="仿宋_GB2312"/>
          <w:szCs w:val="32"/>
        </w:rPr>
        <w:t>截至 2017 年 12 月 31 日，本部门共有车辆 5 辆，其中，一般公务用车 5 辆、一般执法执勤用车 0 辆、特种专业技术用车 0 辆、其他用车 0 辆；单位价值 200 万元以上大型设备 0 台（套）。</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szCs w:val="32"/>
        </w:rPr>
      </w:pPr>
      <w:r>
        <w:rPr>
          <w:rFonts w:hint="eastAsia" w:ascii="仿宋" w:hAnsi="仿宋" w:eastAsia="仿宋"/>
          <w:szCs w:val="32"/>
        </w:rPr>
        <w:t>会议费支出情况。</w:t>
      </w:r>
      <w:bookmarkStart w:id="17" w:name="OLE_LINK46"/>
      <w:bookmarkStart w:id="18" w:name="OLE_LINK47"/>
      <w:r>
        <w:rPr>
          <w:rFonts w:hint="eastAsia" w:ascii="仿宋" w:hAnsi="仿宋" w:eastAsia="仿宋"/>
          <w:szCs w:val="32"/>
        </w:rPr>
        <w:t>2017年会议费总计</w:t>
      </w:r>
      <w:r>
        <w:rPr>
          <w:rFonts w:hint="eastAsia" w:ascii="仿宋" w:hAnsi="仿宋" w:eastAsia="仿宋"/>
          <w:szCs w:val="32"/>
          <w:lang w:val="en-US" w:eastAsia="zh-CN"/>
        </w:rPr>
        <w:t>0</w:t>
      </w:r>
      <w:r>
        <w:rPr>
          <w:rFonts w:hint="eastAsia" w:ascii="仿宋" w:hAnsi="仿宋" w:eastAsia="仿宋"/>
          <w:szCs w:val="32"/>
        </w:rPr>
        <w:t>万元，2016年支出为</w:t>
      </w:r>
      <w:r>
        <w:rPr>
          <w:rFonts w:hint="eastAsia" w:ascii="仿宋" w:hAnsi="仿宋" w:eastAsia="仿宋"/>
          <w:szCs w:val="32"/>
          <w:lang w:val="en-US" w:eastAsia="zh-CN"/>
        </w:rPr>
        <w:t>0</w:t>
      </w:r>
      <w:r>
        <w:rPr>
          <w:rFonts w:hint="eastAsia" w:ascii="仿宋" w:hAnsi="仿宋" w:eastAsia="仿宋"/>
          <w:szCs w:val="32"/>
        </w:rPr>
        <w:t>万元，原因是：</w:t>
      </w:r>
      <w:r>
        <w:rPr>
          <w:rFonts w:hint="eastAsia" w:ascii="仿宋" w:hAnsi="仿宋" w:eastAsia="仿宋"/>
          <w:szCs w:val="32"/>
          <w:lang w:val="en-US" w:eastAsia="zh-CN"/>
        </w:rPr>
        <w:t>2016年</w:t>
      </w:r>
      <w:r>
        <w:rPr>
          <w:rFonts w:hint="eastAsia" w:ascii="仿宋" w:hAnsi="仿宋" w:eastAsia="仿宋"/>
          <w:szCs w:val="32"/>
        </w:rPr>
        <w:t>与</w:t>
      </w:r>
      <w:r>
        <w:rPr>
          <w:rFonts w:hint="eastAsia" w:ascii="仿宋" w:hAnsi="仿宋" w:eastAsia="仿宋"/>
          <w:szCs w:val="32"/>
          <w:lang w:val="en-US" w:eastAsia="zh-CN"/>
        </w:rPr>
        <w:t>2017年</w:t>
      </w:r>
      <w:r>
        <w:rPr>
          <w:rFonts w:hint="eastAsia" w:ascii="仿宋" w:hAnsi="仿宋" w:eastAsia="仿宋"/>
          <w:szCs w:val="32"/>
        </w:rPr>
        <w:t>一样均</w:t>
      </w:r>
      <w:r>
        <w:rPr>
          <w:rFonts w:hint="eastAsia" w:ascii="仿宋" w:hAnsi="仿宋" w:eastAsia="仿宋"/>
          <w:szCs w:val="32"/>
          <w:lang w:eastAsia="zh-CN"/>
        </w:rPr>
        <w:t>未</w:t>
      </w:r>
      <w:r>
        <w:rPr>
          <w:rFonts w:hint="eastAsia" w:ascii="仿宋" w:hAnsi="仿宋" w:eastAsia="仿宋"/>
          <w:szCs w:val="32"/>
        </w:rPr>
        <w:t>发生会议费。</w:t>
      </w:r>
    </w:p>
    <w:bookmarkEnd w:id="17"/>
    <w:bookmarkEnd w:id="18"/>
    <w:p>
      <w:pPr>
        <w:ind w:firstLine="640"/>
        <w:rPr>
          <w:rFonts w:hint="eastAsia" w:ascii="仿宋_GB2312" w:eastAsia="仿宋"/>
          <w:szCs w:val="32"/>
          <w:lang w:eastAsia="zh-CN"/>
        </w:rPr>
      </w:pPr>
      <w:r>
        <w:rPr>
          <w:rFonts w:hint="eastAsia" w:ascii="仿宋" w:hAnsi="仿宋" w:eastAsia="仿宋"/>
          <w:szCs w:val="32"/>
        </w:rPr>
        <w:t>培训费支出情况。2017 年培训费总计 1.11 万元，2016 年支出为 0.68 万元，比上年增加 0.43 万元，增长 63.24%。原因是：当年培训人员增加</w:t>
      </w:r>
      <w:r>
        <w:rPr>
          <w:rFonts w:hint="eastAsia" w:ascii="仿宋" w:hAnsi="仿宋" w:eastAsia="仿宋"/>
          <w:szCs w:val="32"/>
          <w:lang w:eastAsia="zh-CN"/>
        </w:rPr>
        <w:t>。</w:t>
      </w: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BFCA8A"/>
    <w:multiLevelType w:val="singleLevel"/>
    <w:tmpl w:val="E4BFCA8A"/>
    <w:lvl w:ilvl="0" w:tentative="0">
      <w:start w:val="1"/>
      <w:numFmt w:val="chineseCounting"/>
      <w:suff w:val="nothing"/>
      <w:lvlText w:val="（%1）"/>
      <w:lvlJc w:val="left"/>
      <w:rPr>
        <w:rFonts w:hint="eastAsia"/>
      </w:rPr>
    </w:lvl>
  </w:abstractNum>
  <w:abstractNum w:abstractNumId="1">
    <w:nsid w:val="24F37BC0"/>
    <w:multiLevelType w:val="singleLevel"/>
    <w:tmpl w:val="24F37BC0"/>
    <w:lvl w:ilvl="0" w:tentative="0">
      <w:start w:val="2"/>
      <w:numFmt w:val="decimal"/>
      <w:suff w:val="nothing"/>
      <w:lvlText w:val="%1．"/>
      <w:lvlJc w:val="left"/>
    </w:lvl>
  </w:abstractNum>
  <w:abstractNum w:abstractNumId="2">
    <w:nsid w:val="4726C0BC"/>
    <w:multiLevelType w:val="singleLevel"/>
    <w:tmpl w:val="4726C0B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D9"/>
    <w:rsid w:val="00005A31"/>
    <w:rsid w:val="000244B1"/>
    <w:rsid w:val="00054C53"/>
    <w:rsid w:val="0007561C"/>
    <w:rsid w:val="000F00FD"/>
    <w:rsid w:val="00103253"/>
    <w:rsid w:val="0011224D"/>
    <w:rsid w:val="00127C8F"/>
    <w:rsid w:val="00155A0C"/>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D144F"/>
    <w:rsid w:val="003F6043"/>
    <w:rsid w:val="00404BA5"/>
    <w:rsid w:val="00405DD5"/>
    <w:rsid w:val="00443128"/>
    <w:rsid w:val="00450D4D"/>
    <w:rsid w:val="004E7B5F"/>
    <w:rsid w:val="004F1F8E"/>
    <w:rsid w:val="00502034"/>
    <w:rsid w:val="005046AD"/>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C4984"/>
    <w:rsid w:val="007D592B"/>
    <w:rsid w:val="0080381A"/>
    <w:rsid w:val="008248C5"/>
    <w:rsid w:val="00830C9C"/>
    <w:rsid w:val="008529DA"/>
    <w:rsid w:val="008716D0"/>
    <w:rsid w:val="008951B5"/>
    <w:rsid w:val="008C78C5"/>
    <w:rsid w:val="008F3A14"/>
    <w:rsid w:val="0092275C"/>
    <w:rsid w:val="00937A08"/>
    <w:rsid w:val="00945029"/>
    <w:rsid w:val="00952574"/>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625F"/>
    <w:rsid w:val="00BF1C0F"/>
    <w:rsid w:val="00C36EFE"/>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9758A"/>
    <w:rsid w:val="00FC3BAC"/>
    <w:rsid w:val="00FD5BCA"/>
    <w:rsid w:val="00FF65FE"/>
    <w:rsid w:val="14060191"/>
    <w:rsid w:val="19B23964"/>
    <w:rsid w:val="1DEF0580"/>
    <w:rsid w:val="25270537"/>
    <w:rsid w:val="2691216D"/>
    <w:rsid w:val="2993664E"/>
    <w:rsid w:val="36814095"/>
    <w:rsid w:val="37AE2F35"/>
    <w:rsid w:val="3E723103"/>
    <w:rsid w:val="4E791D3B"/>
    <w:rsid w:val="50670D76"/>
    <w:rsid w:val="56DE33B7"/>
    <w:rsid w:val="6A073987"/>
    <w:rsid w:val="778668BF"/>
    <w:rsid w:val="7C4C1095"/>
    <w:rsid w:val="7D135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rFonts w:ascii="Calibri" w:hAnsi="Calibri" w:eastAsia="宋体" w:cs="Times New Roman"/>
      <w:kern w:val="0"/>
      <w:sz w:val="18"/>
      <w:szCs w:val="18"/>
    </w:rPr>
  </w:style>
  <w:style w:type="character" w:customStyle="1" w:styleId="8">
    <w:name w:val="页脚 字符"/>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19</Pages>
  <Words>792</Words>
  <Characters>4520</Characters>
  <Lines>37</Lines>
  <Paragraphs>10</Paragraphs>
  <TotalTime>5</TotalTime>
  <ScaleCrop>false</ScaleCrop>
  <LinksUpToDate>false</LinksUpToDate>
  <CharactersWithSpaces>5302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2019-03-14T07:43:41Z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