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center"/>
        <w:rPr>
          <w:rFonts w:ascii="黑体" w:hAnsi="黑体" w:eastAsia="黑体"/>
          <w:b/>
          <w:sz w:val="84"/>
          <w:szCs w:val="84"/>
        </w:rPr>
      </w:pP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2</w:t>
      </w:r>
      <w:r>
        <w:rPr>
          <w:rFonts w:ascii="黑体" w:hAnsi="黑体" w:eastAsia="黑体"/>
          <w:b/>
          <w:sz w:val="84"/>
          <w:szCs w:val="84"/>
        </w:rPr>
        <w:t>017</w:t>
      </w:r>
      <w:r>
        <w:rPr>
          <w:rFonts w:hint="eastAsia" w:ascii="黑体" w:hAnsi="黑体" w:eastAsia="黑体"/>
          <w:b/>
          <w:sz w:val="84"/>
          <w:szCs w:val="84"/>
        </w:rPr>
        <w:t>年度部门</w:t>
      </w: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决算公开</w:t>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0" w:firstLineChars="0"/>
        <w:jc w:val="center"/>
        <w:rPr>
          <w:rFonts w:ascii="黑体" w:hAnsi="黑体" w:eastAsia="黑体"/>
          <w:color w:val="auto"/>
          <w:sz w:val="44"/>
          <w:szCs w:val="44"/>
        </w:rPr>
      </w:pPr>
      <w:r>
        <w:rPr>
          <w:rFonts w:hint="eastAsia" w:ascii="黑体" w:hAnsi="黑体" w:eastAsia="黑体"/>
          <w:color w:val="auto"/>
          <w:sz w:val="44"/>
          <w:szCs w:val="44"/>
        </w:rPr>
        <w:t>秦皇岛市海港区驻操营镇人民政府</w:t>
      </w:r>
    </w:p>
    <w:p>
      <w:pPr>
        <w:widowControl/>
        <w:spacing w:line="580" w:lineRule="exact"/>
        <w:ind w:firstLine="0" w:firstLineChars="0"/>
        <w:jc w:val="center"/>
        <w:rPr>
          <w:rFonts w:ascii="黑体" w:hAnsi="黑体" w:eastAsia="黑体"/>
          <w:sz w:val="44"/>
          <w:szCs w:val="44"/>
        </w:rPr>
      </w:pPr>
      <w:r>
        <w:rPr>
          <w:rFonts w:hint="eastAsia" w:ascii="黑体" w:hAnsi="黑体" w:eastAsia="黑体"/>
          <w:sz w:val="44"/>
          <w:szCs w:val="44"/>
        </w:rPr>
        <w:t>2</w:t>
      </w:r>
      <w:r>
        <w:rPr>
          <w:rFonts w:ascii="黑体" w:hAnsi="黑体" w:eastAsia="黑体"/>
          <w:sz w:val="44"/>
          <w:szCs w:val="44"/>
        </w:rPr>
        <w:t>018</w:t>
      </w:r>
      <w:r>
        <w:rPr>
          <w:rFonts w:hint="eastAsia" w:ascii="黑体" w:hAnsi="黑体" w:eastAsia="黑体"/>
          <w:sz w:val="44"/>
          <w:szCs w:val="44"/>
        </w:rPr>
        <w:t>年1</w:t>
      </w:r>
      <w:r>
        <w:rPr>
          <w:rFonts w:ascii="黑体" w:hAnsi="黑体" w:eastAsia="黑体"/>
          <w:sz w:val="44"/>
          <w:szCs w:val="44"/>
        </w:rPr>
        <w:t>0</w:t>
      </w:r>
      <w:r>
        <w:rPr>
          <w:rFonts w:hint="eastAsia" w:ascii="黑体" w:hAnsi="黑体" w:eastAsia="黑体"/>
          <w:sz w:val="44"/>
          <w:szCs w:val="44"/>
        </w:rPr>
        <w:t>月</w:t>
      </w:r>
    </w:p>
    <w:p>
      <w:pPr>
        <w:widowControl/>
        <w:spacing w:line="240" w:lineRule="auto"/>
        <w:ind w:firstLine="0" w:firstLineChars="0"/>
        <w:jc w:val="left"/>
        <w:rPr>
          <w:rFonts w:eastAsia="方正小标宋_GBK"/>
          <w:sz w:val="44"/>
          <w:szCs w:val="44"/>
        </w:rPr>
      </w:pPr>
      <w:r>
        <w:rPr>
          <w:rFonts w:eastAsia="方正小标宋_GBK"/>
          <w:sz w:val="44"/>
          <w:szCs w:val="44"/>
        </w:rPr>
        <w:br w:type="page"/>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r>
        <w:rPr>
          <w:rFonts w:eastAsia="方正小标宋_GBK"/>
          <w:sz w:val="44"/>
          <w:szCs w:val="44"/>
        </w:rPr>
        <w:t>部门决算公开目录</w:t>
      </w:r>
    </w:p>
    <w:p>
      <w:pPr>
        <w:widowControl/>
        <w:spacing w:line="580" w:lineRule="exact"/>
        <w:ind w:firstLine="640"/>
        <w:rPr>
          <w:rFonts w:eastAsia="黑体"/>
          <w:szCs w:val="32"/>
        </w:rPr>
      </w:pPr>
    </w:p>
    <w:p>
      <w:pPr>
        <w:widowControl/>
        <w:spacing w:line="580" w:lineRule="exact"/>
        <w:ind w:firstLine="640"/>
        <w:rPr>
          <w:sz w:val="24"/>
          <w:szCs w:val="32"/>
        </w:rPr>
      </w:pPr>
      <w:r>
        <w:rPr>
          <w:rFonts w:eastAsia="黑体"/>
          <w:szCs w:val="32"/>
        </w:rPr>
        <w:t xml:space="preserve">第一部分  </w:t>
      </w:r>
      <w:r>
        <w:rPr>
          <w:rFonts w:hint="eastAsia" w:eastAsia="黑体"/>
          <w:szCs w:val="32"/>
        </w:rPr>
        <w:t>驻操营镇人民政府</w:t>
      </w:r>
      <w:r>
        <w:rPr>
          <w:rFonts w:eastAsia="黑体"/>
          <w:szCs w:val="32"/>
        </w:rPr>
        <w:t>部门概况</w:t>
      </w:r>
    </w:p>
    <w:p>
      <w:pPr>
        <w:widowControl/>
        <w:spacing w:line="580" w:lineRule="exact"/>
        <w:ind w:firstLine="1273" w:firstLineChars="398"/>
        <w:rPr>
          <w:szCs w:val="32"/>
        </w:rPr>
      </w:pPr>
      <w:r>
        <w:rPr>
          <w:szCs w:val="32"/>
        </w:rPr>
        <w:t>一、部门职责</w:t>
      </w:r>
    </w:p>
    <w:p>
      <w:pPr>
        <w:widowControl/>
        <w:spacing w:line="580" w:lineRule="exact"/>
        <w:ind w:firstLine="1273" w:firstLineChars="398"/>
        <w:rPr>
          <w:szCs w:val="32"/>
        </w:rPr>
      </w:pPr>
      <w:r>
        <w:rPr>
          <w:szCs w:val="32"/>
        </w:rPr>
        <w:t>二、部门决算单位构成</w:t>
      </w:r>
    </w:p>
    <w:p>
      <w:pPr>
        <w:widowControl/>
        <w:spacing w:line="580" w:lineRule="exact"/>
        <w:ind w:firstLine="640"/>
        <w:rPr>
          <w:sz w:val="20"/>
          <w:szCs w:val="32"/>
        </w:rPr>
      </w:pPr>
      <w:r>
        <w:rPr>
          <w:rFonts w:eastAsia="黑体"/>
          <w:szCs w:val="32"/>
        </w:rPr>
        <w:t xml:space="preserve">第二部分  </w:t>
      </w:r>
      <w:r>
        <w:rPr>
          <w:rFonts w:hint="eastAsia" w:eastAsia="黑体"/>
          <w:szCs w:val="32"/>
        </w:rPr>
        <w:t>驻操营镇人民政府</w:t>
      </w:r>
      <w:r>
        <w:rPr>
          <w:rFonts w:eastAsia="黑体"/>
          <w:szCs w:val="32"/>
        </w:rPr>
        <w:t>部门2017年度部门决算报表</w:t>
      </w:r>
    </w:p>
    <w:p>
      <w:pPr>
        <w:widowControl/>
        <w:spacing w:line="580" w:lineRule="exact"/>
        <w:ind w:left="640" w:firstLine="640"/>
        <w:rPr>
          <w:szCs w:val="32"/>
        </w:rPr>
      </w:pPr>
      <w:r>
        <w:rPr>
          <w:szCs w:val="32"/>
        </w:rPr>
        <w:t>一、收入支出决算总表</w:t>
      </w:r>
    </w:p>
    <w:p>
      <w:pPr>
        <w:widowControl/>
        <w:spacing w:line="580" w:lineRule="exact"/>
        <w:ind w:left="640" w:firstLine="640"/>
        <w:rPr>
          <w:szCs w:val="32"/>
        </w:rPr>
      </w:pPr>
      <w:r>
        <w:rPr>
          <w:szCs w:val="32"/>
        </w:rPr>
        <w:t>二、收入决算表</w:t>
      </w:r>
    </w:p>
    <w:p>
      <w:pPr>
        <w:widowControl/>
        <w:spacing w:line="580" w:lineRule="exact"/>
        <w:ind w:left="640" w:firstLine="640"/>
        <w:rPr>
          <w:szCs w:val="32"/>
        </w:rPr>
      </w:pPr>
      <w:r>
        <w:rPr>
          <w:szCs w:val="32"/>
        </w:rPr>
        <w:t>三、支出决算表</w:t>
      </w:r>
    </w:p>
    <w:p>
      <w:pPr>
        <w:widowControl/>
        <w:spacing w:line="580" w:lineRule="exact"/>
        <w:ind w:left="640" w:firstLine="640"/>
        <w:rPr>
          <w:szCs w:val="32"/>
        </w:rPr>
      </w:pPr>
      <w:r>
        <w:rPr>
          <w:szCs w:val="32"/>
        </w:rPr>
        <w:t>四、财政拨款收入支出决算总表</w:t>
      </w:r>
    </w:p>
    <w:p>
      <w:pPr>
        <w:widowControl/>
        <w:spacing w:line="580" w:lineRule="exact"/>
        <w:ind w:left="640" w:firstLine="640"/>
        <w:rPr>
          <w:szCs w:val="32"/>
        </w:rPr>
      </w:pPr>
      <w:r>
        <w:rPr>
          <w:szCs w:val="32"/>
        </w:rPr>
        <w:t>五、一般公共预算财政拨款收入支出决算表</w:t>
      </w:r>
    </w:p>
    <w:p>
      <w:pPr>
        <w:widowControl/>
        <w:spacing w:line="580" w:lineRule="exact"/>
        <w:ind w:left="640" w:firstLine="640"/>
        <w:rPr>
          <w:szCs w:val="32"/>
        </w:rPr>
      </w:pPr>
      <w:r>
        <w:rPr>
          <w:szCs w:val="32"/>
        </w:rPr>
        <w:t>六、一般公共预算财政拨款基本支出决算经济分类表</w:t>
      </w:r>
    </w:p>
    <w:p>
      <w:pPr>
        <w:widowControl/>
        <w:spacing w:line="580" w:lineRule="exact"/>
        <w:ind w:left="640" w:firstLine="640"/>
        <w:rPr>
          <w:szCs w:val="32"/>
        </w:rPr>
      </w:pPr>
      <w:r>
        <w:rPr>
          <w:szCs w:val="32"/>
        </w:rPr>
        <w:t>七、政府性基金预算财政拨款收入支出决算表</w:t>
      </w:r>
    </w:p>
    <w:p>
      <w:pPr>
        <w:widowControl/>
        <w:spacing w:line="580" w:lineRule="exact"/>
        <w:ind w:left="640" w:firstLine="640"/>
        <w:rPr>
          <w:szCs w:val="32"/>
        </w:rPr>
      </w:pPr>
      <w:r>
        <w:rPr>
          <w:szCs w:val="32"/>
        </w:rPr>
        <w:t>八、国有资本经营预算财政拨款收入支出决算表</w:t>
      </w:r>
    </w:p>
    <w:p>
      <w:pPr>
        <w:widowControl/>
        <w:spacing w:line="580" w:lineRule="exact"/>
        <w:ind w:left="640" w:firstLine="640"/>
        <w:rPr>
          <w:szCs w:val="32"/>
        </w:rPr>
      </w:pPr>
      <w:r>
        <w:rPr>
          <w:szCs w:val="32"/>
        </w:rPr>
        <w:t>九、“三公”经费等相关信息统计表</w:t>
      </w:r>
    </w:p>
    <w:p>
      <w:pPr>
        <w:widowControl/>
        <w:spacing w:line="580" w:lineRule="exact"/>
        <w:ind w:left="640" w:firstLine="640"/>
        <w:rPr>
          <w:szCs w:val="32"/>
        </w:rPr>
      </w:pPr>
      <w:r>
        <w:rPr>
          <w:szCs w:val="32"/>
        </w:rPr>
        <w:t>十、政府采购情况表</w:t>
      </w:r>
    </w:p>
    <w:p>
      <w:pPr>
        <w:widowControl/>
        <w:spacing w:line="580" w:lineRule="exact"/>
        <w:ind w:firstLine="640"/>
        <w:rPr>
          <w:rFonts w:eastAsia="黑体"/>
          <w:szCs w:val="32"/>
        </w:rPr>
      </w:pPr>
      <w:r>
        <w:rPr>
          <w:rFonts w:eastAsia="黑体"/>
          <w:szCs w:val="32"/>
        </w:rPr>
        <w:t xml:space="preserve">第三部分  </w:t>
      </w:r>
      <w:r>
        <w:rPr>
          <w:rFonts w:hint="eastAsia" w:eastAsia="黑体"/>
          <w:szCs w:val="32"/>
        </w:rPr>
        <w:t>驻操营镇人民政府</w:t>
      </w:r>
      <w:r>
        <w:rPr>
          <w:rFonts w:eastAsia="黑体"/>
          <w:szCs w:val="32"/>
        </w:rPr>
        <w:t>部门2017年</w:t>
      </w:r>
      <w:r>
        <w:rPr>
          <w:rFonts w:hint="eastAsia" w:eastAsia="黑体"/>
          <w:szCs w:val="32"/>
        </w:rPr>
        <w:t>度</w:t>
      </w:r>
      <w:r>
        <w:rPr>
          <w:rFonts w:eastAsia="黑体"/>
          <w:szCs w:val="32"/>
        </w:rPr>
        <w:t>部门决算情况说明</w:t>
      </w:r>
    </w:p>
    <w:p>
      <w:pPr>
        <w:widowControl/>
        <w:spacing w:line="580" w:lineRule="exact"/>
        <w:ind w:left="640" w:firstLine="640"/>
        <w:rPr>
          <w:szCs w:val="32"/>
        </w:rPr>
      </w:pPr>
      <w:bookmarkStart w:id="0" w:name="OLE_LINK21"/>
      <w:r>
        <w:rPr>
          <w:szCs w:val="32"/>
        </w:rPr>
        <w:t>一、收入支出决算总体情况说明</w:t>
      </w:r>
    </w:p>
    <w:bookmarkEnd w:id="0"/>
    <w:p>
      <w:pPr>
        <w:widowControl/>
        <w:spacing w:line="580" w:lineRule="exact"/>
        <w:ind w:left="640" w:firstLine="640"/>
        <w:rPr>
          <w:szCs w:val="32"/>
        </w:rPr>
      </w:pPr>
      <w:bookmarkStart w:id="1" w:name="OLE_LINK22"/>
      <w:r>
        <w:rPr>
          <w:szCs w:val="32"/>
        </w:rPr>
        <w:t>二、收入决算情况说明</w:t>
      </w:r>
    </w:p>
    <w:p>
      <w:pPr>
        <w:widowControl/>
        <w:spacing w:line="580" w:lineRule="exact"/>
        <w:ind w:left="640" w:firstLine="640"/>
        <w:rPr>
          <w:szCs w:val="32"/>
        </w:rPr>
      </w:pPr>
      <w:r>
        <w:rPr>
          <w:szCs w:val="32"/>
        </w:rPr>
        <w:t>三、支出决算情况说明</w:t>
      </w:r>
    </w:p>
    <w:bookmarkEnd w:id="1"/>
    <w:p>
      <w:pPr>
        <w:widowControl/>
        <w:spacing w:line="580" w:lineRule="exact"/>
        <w:ind w:left="640" w:firstLine="640"/>
        <w:rPr>
          <w:szCs w:val="32"/>
        </w:rPr>
      </w:pPr>
      <w:r>
        <w:rPr>
          <w:szCs w:val="32"/>
        </w:rPr>
        <w:t>四、财政拨款收入支出决算总体情况说明</w:t>
      </w:r>
    </w:p>
    <w:p>
      <w:pPr>
        <w:widowControl/>
        <w:spacing w:line="580" w:lineRule="exact"/>
        <w:ind w:left="640" w:firstLine="640"/>
        <w:rPr>
          <w:szCs w:val="32"/>
        </w:rPr>
      </w:pPr>
      <w:r>
        <w:rPr>
          <w:szCs w:val="32"/>
        </w:rPr>
        <w:t>五、“三公”经费支出决算情况说明</w:t>
      </w:r>
    </w:p>
    <w:p>
      <w:pPr>
        <w:widowControl/>
        <w:spacing w:line="580" w:lineRule="exact"/>
        <w:ind w:left="640" w:firstLine="640"/>
        <w:rPr>
          <w:szCs w:val="32"/>
        </w:rPr>
      </w:pPr>
      <w:bookmarkStart w:id="2" w:name="OLE_LINK27"/>
      <w:bookmarkStart w:id="3" w:name="OLE_LINK26"/>
      <w:bookmarkStart w:id="4" w:name="OLE_LINK25"/>
      <w:r>
        <w:rPr>
          <w:szCs w:val="32"/>
        </w:rPr>
        <w:t>六、预算绩效管理工作开展情况说明</w:t>
      </w:r>
    </w:p>
    <w:bookmarkEnd w:id="2"/>
    <w:bookmarkEnd w:id="3"/>
    <w:bookmarkEnd w:id="4"/>
    <w:p>
      <w:pPr>
        <w:widowControl/>
        <w:spacing w:line="580" w:lineRule="exact"/>
        <w:ind w:left="640" w:firstLine="640"/>
        <w:rPr>
          <w:szCs w:val="32"/>
        </w:rPr>
      </w:pPr>
      <w:r>
        <w:rPr>
          <w:szCs w:val="32"/>
        </w:rPr>
        <w:t>七、其他重要事项的说明</w:t>
      </w:r>
    </w:p>
    <w:p>
      <w:pPr>
        <w:widowControl/>
        <w:spacing w:line="580" w:lineRule="exact"/>
        <w:ind w:left="640" w:firstLine="1344" w:firstLineChars="420"/>
        <w:rPr>
          <w:szCs w:val="32"/>
        </w:rPr>
      </w:pPr>
      <w:r>
        <w:rPr>
          <w:szCs w:val="32"/>
        </w:rPr>
        <w:t>1.机关运行经费情况</w:t>
      </w:r>
    </w:p>
    <w:p>
      <w:pPr>
        <w:widowControl/>
        <w:spacing w:line="580" w:lineRule="exact"/>
        <w:ind w:left="640" w:firstLine="1344" w:firstLineChars="420"/>
        <w:rPr>
          <w:szCs w:val="32"/>
        </w:rPr>
      </w:pPr>
      <w:r>
        <w:rPr>
          <w:szCs w:val="32"/>
        </w:rPr>
        <w:t>2.政府采购情况</w:t>
      </w:r>
    </w:p>
    <w:p>
      <w:pPr>
        <w:widowControl/>
        <w:spacing w:line="580" w:lineRule="exact"/>
        <w:ind w:left="640" w:firstLine="1344" w:firstLineChars="420"/>
        <w:rPr>
          <w:szCs w:val="32"/>
        </w:rPr>
      </w:pPr>
      <w:r>
        <w:rPr>
          <w:szCs w:val="32"/>
        </w:rPr>
        <w:t>3.国有资产占用情况</w:t>
      </w:r>
    </w:p>
    <w:p>
      <w:pPr>
        <w:widowControl/>
        <w:spacing w:line="580" w:lineRule="exact"/>
        <w:ind w:left="640" w:firstLine="1344" w:firstLineChars="420"/>
        <w:rPr>
          <w:szCs w:val="32"/>
        </w:rPr>
      </w:pPr>
      <w:bookmarkStart w:id="5" w:name="OLE_LINK28"/>
      <w:r>
        <w:rPr>
          <w:szCs w:val="32"/>
        </w:rPr>
        <w:t>4.其他需要说明的情况</w:t>
      </w:r>
    </w:p>
    <w:bookmarkEnd w:id="5"/>
    <w:p>
      <w:pPr>
        <w:widowControl/>
        <w:spacing w:line="580" w:lineRule="exact"/>
        <w:ind w:firstLine="640"/>
        <w:rPr>
          <w:rFonts w:eastAsia="黑体"/>
          <w:szCs w:val="32"/>
        </w:rPr>
      </w:pPr>
      <w:r>
        <w:rPr>
          <w:rFonts w:eastAsia="黑体"/>
          <w:szCs w:val="32"/>
        </w:rPr>
        <w:t>第四部分名词解释</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0" w:firstLineChars="0"/>
        <w:jc w:val="center"/>
        <w:rPr>
          <w:rFonts w:ascii="黑体" w:hAnsi="黑体" w:eastAsia="黑体"/>
          <w:sz w:val="72"/>
          <w:szCs w:val="72"/>
        </w:rPr>
      </w:pPr>
      <w:bookmarkStart w:id="6" w:name="OLE_LINK11"/>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bookmarkStart w:id="7" w:name="OLE_LINK13"/>
      <w:r>
        <w:rPr>
          <w:rFonts w:hint="eastAsia" w:ascii="黑体" w:hAnsi="黑体" w:eastAsia="黑体"/>
          <w:sz w:val="72"/>
          <w:szCs w:val="72"/>
        </w:rPr>
        <w:t xml:space="preserve">第一部分 </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驻操营镇人民政府部门概况</w:t>
      </w:r>
    </w:p>
    <w:bookmarkEnd w:id="7"/>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ind w:firstLine="480"/>
        <w:rPr>
          <w:rFonts w:ascii="仿宋_GB2312" w:hAnsi="黑体"/>
          <w:sz w:val="24"/>
          <w:szCs w:val="32"/>
        </w:rPr>
      </w:pPr>
    </w:p>
    <w:bookmarkEnd w:id="6"/>
    <w:p>
      <w:pPr>
        <w:pStyle w:val="9"/>
        <w:numPr>
          <w:ilvl w:val="0"/>
          <w:numId w:val="1"/>
        </w:numPr>
        <w:ind w:firstLineChars="0"/>
        <w:rPr>
          <w:rFonts w:ascii="仿宋_GB2312" w:hAnsi="黑体"/>
          <w:szCs w:val="32"/>
        </w:rPr>
      </w:pPr>
      <w:bookmarkStart w:id="8" w:name="OLE_LINK14"/>
      <w:r>
        <w:rPr>
          <w:rFonts w:hint="eastAsia" w:ascii="仿宋_GB2312" w:hAnsi="黑体"/>
          <w:szCs w:val="32"/>
        </w:rPr>
        <w:t>部门职责</w:t>
      </w:r>
    </w:p>
    <w:p>
      <w:pPr>
        <w:ind w:left="1274" w:firstLine="0" w:firstLineChars="0"/>
        <w:rPr>
          <w:rFonts w:ascii="仿宋" w:hAnsi="仿宋" w:eastAsia="仿宋" w:cs="黑体"/>
          <w:szCs w:val="32"/>
        </w:rPr>
      </w:pPr>
      <w:r>
        <w:rPr>
          <w:rFonts w:hint="eastAsia" w:ascii="仿宋" w:hAnsi="仿宋" w:eastAsia="仿宋" w:cs="黑体"/>
          <w:szCs w:val="32"/>
        </w:rPr>
        <w:t>(一)促进经济发展</w:t>
      </w:r>
    </w:p>
    <w:p>
      <w:pPr>
        <w:ind w:firstLine="640" w:firstLineChars="0"/>
        <w:rPr>
          <w:rFonts w:ascii="仿宋" w:hAnsi="仿宋" w:eastAsia="仿宋" w:cs="仿宋_GB2312"/>
          <w:szCs w:val="32"/>
        </w:rPr>
      </w:pPr>
      <w:r>
        <w:rPr>
          <w:rFonts w:hint="eastAsia" w:ascii="仿宋" w:hAnsi="仿宋" w:eastAsia="仿宋" w:cs="仿宋_GB2312"/>
          <w:szCs w:val="32"/>
        </w:rPr>
        <w:t>研究制定本镇国民经济和社会发展的中、长期规划和年度计划，并组织实施。科学制定本镇产业发展规划、谋划适应本镇实际的经济发展模式；指导产业结构调整，根据本镇的特点和实际，重点扶持好种植业、养殖业、建筑业、食品加工业、乡村旅游业、采矿业等产业，积极发展其它新产业，形成地域产业特色；营造良好的政策、硬件、社会等投资环境，促进招商引资和项目建设；健全农业社会化服务体系，完善农业支持保护体系，加强农业新技术的示范和推广，促进农业生产稳定发展，农民持续增收；大力发展民营经济，推动和引导农村经济合作组织、经济实体、行业协会。</w:t>
      </w:r>
      <w:r>
        <w:rPr>
          <w:rFonts w:ascii="仿宋" w:hAnsi="仿宋" w:eastAsia="仿宋"/>
          <w:szCs w:val="32"/>
        </w:rPr>
        <w:t>1</w:t>
      </w:r>
      <w:r>
        <w:rPr>
          <w:rFonts w:hint="eastAsia" w:ascii="仿宋" w:hAnsi="仿宋" w:eastAsia="仿宋" w:cs="仿宋_GB2312"/>
          <w:szCs w:val="32"/>
        </w:rPr>
        <w:t>、制定产业发展规划，根据实际扶持好种植业、旅游业等产业，形成地域产业特色；</w:t>
      </w:r>
      <w:r>
        <w:rPr>
          <w:rFonts w:ascii="仿宋" w:hAnsi="仿宋" w:eastAsia="仿宋" w:cs="仿宋_GB2312"/>
          <w:szCs w:val="32"/>
        </w:rPr>
        <w:t>2</w:t>
      </w:r>
      <w:r>
        <w:rPr>
          <w:rFonts w:hint="eastAsia" w:ascii="仿宋" w:hAnsi="仿宋" w:eastAsia="仿宋" w:cs="仿宋_GB2312"/>
          <w:szCs w:val="32"/>
        </w:rPr>
        <w:t>、促进招商引资和项目建设；</w:t>
      </w:r>
      <w:r>
        <w:rPr>
          <w:rFonts w:ascii="仿宋" w:hAnsi="仿宋" w:eastAsia="仿宋" w:cs="仿宋_GB2312"/>
          <w:szCs w:val="32"/>
        </w:rPr>
        <w:t>3</w:t>
      </w:r>
      <w:r>
        <w:rPr>
          <w:rFonts w:hint="eastAsia" w:ascii="仿宋" w:hAnsi="仿宋" w:eastAsia="仿宋" w:cs="仿宋_GB2312"/>
          <w:szCs w:val="32"/>
        </w:rPr>
        <w:t>、促进农业生产稳定发展，农民持续增收；</w:t>
      </w:r>
      <w:r>
        <w:rPr>
          <w:rFonts w:ascii="仿宋" w:hAnsi="仿宋" w:eastAsia="仿宋" w:cs="仿宋_GB2312"/>
          <w:szCs w:val="32"/>
        </w:rPr>
        <w:t>4</w:t>
      </w:r>
      <w:r>
        <w:rPr>
          <w:rFonts w:hint="eastAsia" w:ascii="仿宋" w:hAnsi="仿宋" w:eastAsia="仿宋" w:cs="仿宋_GB2312"/>
          <w:szCs w:val="32"/>
        </w:rPr>
        <w:t>、健全农业社会化服务体系</w:t>
      </w:r>
      <w:r>
        <w:rPr>
          <w:rFonts w:ascii="仿宋" w:hAnsi="仿宋" w:eastAsia="仿宋" w:cs="仿宋_GB2312"/>
          <w:szCs w:val="32"/>
        </w:rPr>
        <w:t>,</w:t>
      </w:r>
      <w:r>
        <w:rPr>
          <w:rFonts w:hint="eastAsia" w:ascii="仿宋" w:hAnsi="仿宋" w:eastAsia="仿宋" w:cs="仿宋_GB2312"/>
          <w:szCs w:val="32"/>
        </w:rPr>
        <w:t>推动和引导农村经济合作组织、经济实体、行业协会和中介组织的建立和发展，壮大第二、第三产业；</w:t>
      </w:r>
      <w:r>
        <w:rPr>
          <w:rFonts w:ascii="仿宋" w:hAnsi="仿宋" w:eastAsia="仿宋" w:cs="仿宋_GB2312"/>
          <w:szCs w:val="32"/>
        </w:rPr>
        <w:t>5</w:t>
      </w:r>
      <w:r>
        <w:rPr>
          <w:rFonts w:hint="eastAsia" w:ascii="仿宋" w:hAnsi="仿宋" w:eastAsia="仿宋" w:cs="仿宋_GB2312"/>
          <w:szCs w:val="32"/>
        </w:rPr>
        <w:t>、加强信息服务，及时提供产、供、销等市场信息。发展地域产业，促进招商引资和项目建设；促进农业生产稳定发展，农民持续增收；壮大第二、第三产业。完成区委及上级主管部门布置的各种工作及组织开展各种农村工作</w:t>
      </w:r>
    </w:p>
    <w:p>
      <w:pPr>
        <w:ind w:firstLine="640" w:firstLineChars="0"/>
        <w:rPr>
          <w:rFonts w:ascii="仿宋" w:hAnsi="仿宋" w:eastAsia="仿宋" w:cs="方正仿宋_GBK"/>
          <w:szCs w:val="32"/>
        </w:rPr>
      </w:pPr>
      <w:r>
        <w:rPr>
          <w:rFonts w:hint="eastAsia" w:ascii="仿宋" w:hAnsi="仿宋" w:eastAsia="仿宋" w:cs="黑体"/>
          <w:szCs w:val="32"/>
        </w:rPr>
        <w:t>(二)</w:t>
      </w:r>
      <w:r>
        <w:rPr>
          <w:rFonts w:hint="eastAsia" w:ascii="仿宋" w:hAnsi="仿宋" w:eastAsia="仿宋" w:cs="方正仿宋_GBK"/>
          <w:szCs w:val="32"/>
        </w:rPr>
        <w:t>加强社会管理</w:t>
      </w:r>
    </w:p>
    <w:p>
      <w:pPr>
        <w:ind w:firstLine="640" w:firstLineChars="0"/>
        <w:rPr>
          <w:rFonts w:ascii="仿宋" w:hAnsi="仿宋" w:eastAsia="仿宋" w:cs="仿宋_GB2312"/>
          <w:szCs w:val="32"/>
        </w:rPr>
      </w:pPr>
      <w:r>
        <w:rPr>
          <w:rFonts w:hint="eastAsia" w:ascii="仿宋" w:hAnsi="仿宋" w:eastAsia="仿宋" w:cs="仿宋_GB2312"/>
          <w:szCs w:val="32"/>
        </w:rPr>
        <w:t>组织、监督国家基本公共政策的实施，加强义务教育、公共卫生、计划生育、文化科技、乡村建设等社会事务的行政管理；依法行政，保障公民享有宪法规定的政治、经济、文化等各项权利；抓好自身和所属党组织的思想、组织和作风建设；抓好镇党委自身建设和以党支部为核心的村级组织建设，做好党员的教育、发展和管理工作，加强党员干部队伍思想作风建设；抓好党风廉政建设，加强对党员干部的监督；抓好武装、共青团、工会、妇联等群众性组织工作；抓好农村基层民主政治建设、促进村民自治，落实公民在选举、决策、管理和监督等方面的民主权利；抓好农村思思想政治工作和社会主义精神文明建设。</w:t>
      </w:r>
    </w:p>
    <w:p>
      <w:pPr>
        <w:ind w:firstLineChars="0"/>
        <w:rPr>
          <w:rFonts w:ascii="仿宋" w:hAnsi="仿宋" w:eastAsia="仿宋" w:cs="仿宋_GB2312"/>
          <w:szCs w:val="32"/>
        </w:rPr>
      </w:pPr>
      <w:r>
        <w:rPr>
          <w:rFonts w:ascii="仿宋" w:hAnsi="仿宋" w:eastAsia="仿宋" w:cs="仿宋_GB2312"/>
          <w:szCs w:val="32"/>
        </w:rPr>
        <w:t>1</w:t>
      </w:r>
      <w:r>
        <w:rPr>
          <w:rFonts w:hint="eastAsia" w:ascii="仿宋" w:hAnsi="仿宋" w:eastAsia="仿宋" w:cs="仿宋_GB2312"/>
          <w:szCs w:val="32"/>
        </w:rPr>
        <w:t>、抓好人口和计划生育工作；</w:t>
      </w:r>
      <w:r>
        <w:rPr>
          <w:rFonts w:ascii="仿宋" w:hAnsi="仿宋" w:eastAsia="仿宋" w:cs="仿宋_GB2312"/>
          <w:szCs w:val="32"/>
        </w:rPr>
        <w:t>2</w:t>
      </w:r>
      <w:r>
        <w:rPr>
          <w:rFonts w:hint="eastAsia" w:ascii="仿宋" w:hAnsi="仿宋" w:eastAsia="仿宋" w:cs="仿宋_GB2312"/>
          <w:szCs w:val="32"/>
        </w:rPr>
        <w:t>、美丽乡村建设；</w:t>
      </w:r>
      <w:r>
        <w:rPr>
          <w:rFonts w:ascii="仿宋" w:hAnsi="仿宋" w:eastAsia="仿宋" w:cs="仿宋_GB2312"/>
          <w:szCs w:val="32"/>
        </w:rPr>
        <w:t>3</w:t>
      </w:r>
      <w:r>
        <w:rPr>
          <w:rFonts w:hint="eastAsia" w:ascii="仿宋" w:hAnsi="仿宋" w:eastAsia="仿宋" w:cs="仿宋_GB2312"/>
          <w:szCs w:val="32"/>
        </w:rPr>
        <w:t>、抓好镇党委自身建设和村级组织建设；</w:t>
      </w:r>
      <w:r>
        <w:rPr>
          <w:rFonts w:ascii="仿宋" w:hAnsi="仿宋" w:eastAsia="仿宋" w:cs="仿宋_GB2312"/>
          <w:szCs w:val="32"/>
        </w:rPr>
        <w:t>4</w:t>
      </w:r>
      <w:r>
        <w:rPr>
          <w:rFonts w:hint="eastAsia" w:ascii="仿宋" w:hAnsi="仿宋" w:eastAsia="仿宋" w:cs="仿宋_GB2312"/>
          <w:szCs w:val="32"/>
        </w:rPr>
        <w:t>、抓好党风廉政建设；</w:t>
      </w:r>
      <w:r>
        <w:rPr>
          <w:rFonts w:ascii="仿宋" w:hAnsi="仿宋" w:eastAsia="仿宋" w:cs="仿宋_GB2312"/>
          <w:szCs w:val="32"/>
        </w:rPr>
        <w:t>5</w:t>
      </w:r>
      <w:r>
        <w:rPr>
          <w:rFonts w:hint="eastAsia" w:ascii="仿宋" w:hAnsi="仿宋" w:eastAsia="仿宋" w:cs="仿宋_GB2312"/>
          <w:szCs w:val="32"/>
        </w:rPr>
        <w:t>、抓好农村基层民主政治建设，促进村民自治；</w:t>
      </w:r>
      <w:r>
        <w:rPr>
          <w:rFonts w:ascii="仿宋" w:hAnsi="仿宋" w:eastAsia="仿宋" w:cs="仿宋_GB2312"/>
          <w:szCs w:val="32"/>
        </w:rPr>
        <w:t>6</w:t>
      </w:r>
      <w:r>
        <w:rPr>
          <w:rFonts w:hint="eastAsia" w:ascii="仿宋" w:hAnsi="仿宋" w:eastAsia="仿宋" w:cs="仿宋_GB2312"/>
          <w:szCs w:val="32"/>
        </w:rPr>
        <w:t>、抓好武装、共青团、工会、妇联等群众性组织工作；</w:t>
      </w:r>
      <w:r>
        <w:rPr>
          <w:rFonts w:ascii="仿宋" w:hAnsi="仿宋" w:eastAsia="仿宋" w:cs="仿宋_GB2312"/>
          <w:szCs w:val="32"/>
        </w:rPr>
        <w:t>7</w:t>
      </w:r>
      <w:r>
        <w:rPr>
          <w:rFonts w:hint="eastAsia" w:ascii="仿宋" w:hAnsi="仿宋" w:eastAsia="仿宋" w:cs="仿宋_GB2312"/>
          <w:szCs w:val="32"/>
        </w:rPr>
        <w:t>、抓好农村思想建设，加强农村思想政治工作和社会主义精神文明建设，倡导乡村文明；</w:t>
      </w:r>
      <w:r>
        <w:rPr>
          <w:rFonts w:ascii="仿宋" w:hAnsi="仿宋" w:eastAsia="仿宋" w:cs="仿宋_GB2312"/>
          <w:szCs w:val="32"/>
        </w:rPr>
        <w:t>8</w:t>
      </w:r>
      <w:r>
        <w:rPr>
          <w:rFonts w:hint="eastAsia" w:ascii="仿宋" w:hAnsi="仿宋" w:eastAsia="仿宋" w:cs="仿宋_GB2312"/>
          <w:szCs w:val="32"/>
        </w:rPr>
        <w:t>、加强安全生产和公共安全管理；</w:t>
      </w:r>
      <w:r>
        <w:rPr>
          <w:rFonts w:ascii="仿宋" w:hAnsi="仿宋" w:eastAsia="仿宋" w:cs="仿宋_GB2312"/>
          <w:szCs w:val="32"/>
        </w:rPr>
        <w:t>9</w:t>
      </w:r>
      <w:r>
        <w:rPr>
          <w:rFonts w:hint="eastAsia" w:ascii="仿宋" w:hAnsi="仿宋" w:eastAsia="仿宋" w:cs="仿宋_GB2312"/>
          <w:szCs w:val="32"/>
        </w:rPr>
        <w:t>、狠抓打击非法盗采国家矿产行为；</w:t>
      </w:r>
      <w:r>
        <w:rPr>
          <w:rFonts w:ascii="仿宋" w:hAnsi="仿宋" w:eastAsia="仿宋" w:cs="仿宋_GB2312"/>
          <w:szCs w:val="32"/>
        </w:rPr>
        <w:t>10</w:t>
      </w:r>
      <w:r>
        <w:rPr>
          <w:rFonts w:hint="eastAsia" w:ascii="仿宋" w:hAnsi="仿宋" w:eastAsia="仿宋" w:cs="仿宋_GB2312"/>
          <w:szCs w:val="32"/>
        </w:rPr>
        <w:t>、抓好护林防火工作；</w:t>
      </w:r>
      <w:r>
        <w:rPr>
          <w:rFonts w:ascii="仿宋" w:hAnsi="仿宋" w:eastAsia="仿宋" w:cs="仿宋_GB2312"/>
          <w:szCs w:val="32"/>
        </w:rPr>
        <w:t>11</w:t>
      </w:r>
      <w:r>
        <w:rPr>
          <w:rFonts w:hint="eastAsia" w:ascii="仿宋" w:hAnsi="仿宋" w:eastAsia="仿宋" w:cs="仿宋_GB2312"/>
          <w:szCs w:val="32"/>
        </w:rPr>
        <w:t>、做好农村垃圾处理长效机制工作。</w:t>
      </w:r>
    </w:p>
    <w:p>
      <w:pPr>
        <w:ind w:firstLine="640" w:firstLineChars="0"/>
        <w:rPr>
          <w:rFonts w:ascii="仿宋" w:hAnsi="仿宋" w:eastAsia="仿宋" w:cs="方正仿宋_GBK"/>
          <w:szCs w:val="32"/>
        </w:rPr>
      </w:pPr>
      <w:r>
        <w:rPr>
          <w:rFonts w:hint="eastAsia" w:ascii="仿宋" w:hAnsi="仿宋" w:eastAsia="仿宋" w:cs="黑体"/>
          <w:szCs w:val="32"/>
        </w:rPr>
        <w:t>(三)</w:t>
      </w:r>
      <w:r>
        <w:rPr>
          <w:rFonts w:hint="eastAsia" w:ascii="仿宋" w:hAnsi="仿宋" w:eastAsia="仿宋" w:cs="方正仿宋_GBK"/>
          <w:szCs w:val="32"/>
        </w:rPr>
        <w:t>提供公共服务</w:t>
      </w:r>
    </w:p>
    <w:p>
      <w:pPr>
        <w:ind w:firstLine="640" w:firstLineChars="0"/>
        <w:rPr>
          <w:rFonts w:ascii="仿宋" w:hAnsi="仿宋" w:eastAsia="仿宋" w:cs="仿宋_GB2312"/>
          <w:szCs w:val="32"/>
        </w:rPr>
      </w:pPr>
      <w:r>
        <w:rPr>
          <w:rFonts w:hint="eastAsia" w:ascii="仿宋" w:hAnsi="仿宋" w:eastAsia="仿宋" w:cs="仿宋_GB2312"/>
          <w:szCs w:val="32"/>
        </w:rPr>
        <w:t>生产保障。提供水利灌溉、道路运输、电力供应、农技推广、病虫害防治等生产性公共产品；教育保障。协助教育部门普及九年义务教育，加强对农村劳动力的职业培训，提高农民的科学文化素质和就业本领；医疗保障。农村医疗设施、医疗手段的完善和提高，农村医疗保险制度的建立和落实；养老保障。福利院、敬老院的建设，农村养老保险制度的推行；生活保障。建设乡村社会各种生活基础设施，建立农村特困户的救助制度和救助体系；生育保障。为控制人口数量、提高人口素质和生殖健康提供各种优质服务。协助教育部门普及九年义务制教育工作；加强对农村劳动力的职业培训；农村医疗设施、农村医疗保险制度的建立和落实；建立农村特困户的救助制度和救助体系。</w:t>
      </w:r>
      <w:r>
        <w:rPr>
          <w:rFonts w:ascii="仿宋" w:hAnsi="仿宋" w:eastAsia="仿宋" w:cs="仿宋_GB2312"/>
          <w:szCs w:val="32"/>
        </w:rPr>
        <w:t>1</w:t>
      </w:r>
      <w:r>
        <w:rPr>
          <w:rFonts w:hint="eastAsia" w:ascii="仿宋" w:hAnsi="仿宋" w:eastAsia="仿宋" w:cs="仿宋_GB2312"/>
          <w:szCs w:val="32"/>
        </w:rPr>
        <w:t>、协助教育部门普及九年义务制教育工作；</w:t>
      </w:r>
      <w:r>
        <w:rPr>
          <w:rFonts w:ascii="仿宋" w:hAnsi="仿宋" w:eastAsia="仿宋" w:cs="仿宋_GB2312"/>
          <w:szCs w:val="32"/>
        </w:rPr>
        <w:t>2</w:t>
      </w:r>
      <w:r>
        <w:rPr>
          <w:rFonts w:hint="eastAsia" w:ascii="仿宋" w:hAnsi="仿宋" w:eastAsia="仿宋" w:cs="仿宋_GB2312"/>
          <w:szCs w:val="32"/>
        </w:rPr>
        <w:t>、加强对农村劳动力的职业培训；</w:t>
      </w:r>
      <w:r>
        <w:rPr>
          <w:rFonts w:ascii="仿宋" w:hAnsi="仿宋" w:eastAsia="仿宋" w:cs="仿宋_GB2312"/>
          <w:szCs w:val="32"/>
        </w:rPr>
        <w:t>3</w:t>
      </w:r>
      <w:r>
        <w:rPr>
          <w:rFonts w:hint="eastAsia" w:ascii="仿宋" w:hAnsi="仿宋" w:eastAsia="仿宋" w:cs="仿宋_GB2312"/>
          <w:szCs w:val="32"/>
        </w:rPr>
        <w:t>、农村医疗设施、农村医疗保险制度的建立和落实；</w:t>
      </w:r>
      <w:r>
        <w:rPr>
          <w:rFonts w:ascii="仿宋" w:hAnsi="仿宋" w:eastAsia="仿宋" w:cs="仿宋_GB2312"/>
          <w:szCs w:val="32"/>
        </w:rPr>
        <w:t>4</w:t>
      </w:r>
      <w:r>
        <w:rPr>
          <w:rFonts w:hint="eastAsia" w:ascii="仿宋" w:hAnsi="仿宋" w:eastAsia="仿宋" w:cs="仿宋_GB2312"/>
          <w:szCs w:val="32"/>
        </w:rPr>
        <w:t>、建立农村特困户的救助制度和救助体系。</w:t>
      </w:r>
      <w:r>
        <w:rPr>
          <w:rFonts w:ascii="仿宋" w:hAnsi="仿宋" w:eastAsia="仿宋" w:cs="仿宋_GB2312"/>
          <w:szCs w:val="32"/>
        </w:rPr>
        <w:t>5</w:t>
      </w:r>
      <w:r>
        <w:rPr>
          <w:rFonts w:hint="eastAsia" w:ascii="仿宋" w:hAnsi="仿宋" w:eastAsia="仿宋" w:cs="仿宋_GB2312"/>
          <w:szCs w:val="32"/>
        </w:rPr>
        <w:t>、为控制人口数量、提高人口素质和生殖健康提供优质服务；</w:t>
      </w:r>
      <w:r>
        <w:rPr>
          <w:rFonts w:ascii="仿宋" w:hAnsi="仿宋" w:eastAsia="仿宋" w:cs="仿宋_GB2312"/>
          <w:szCs w:val="32"/>
        </w:rPr>
        <w:t>6</w:t>
      </w:r>
      <w:r>
        <w:rPr>
          <w:rFonts w:hint="eastAsia" w:ascii="仿宋" w:hAnsi="仿宋" w:eastAsia="仿宋" w:cs="仿宋_GB2312"/>
          <w:szCs w:val="32"/>
        </w:rPr>
        <w:t>、做好农村道路的管护和养护工作。</w:t>
      </w:r>
    </w:p>
    <w:p>
      <w:pPr>
        <w:ind w:firstLine="640" w:firstLineChars="0"/>
        <w:rPr>
          <w:rFonts w:ascii="仿宋" w:hAnsi="仿宋" w:eastAsia="仿宋" w:cs="仿宋_GB2312"/>
          <w:szCs w:val="32"/>
        </w:rPr>
      </w:pPr>
      <w:r>
        <w:rPr>
          <w:rFonts w:hint="eastAsia" w:ascii="仿宋" w:hAnsi="仿宋" w:eastAsia="仿宋" w:cs="仿宋_GB2312"/>
          <w:szCs w:val="32"/>
        </w:rPr>
        <w:t>(四)维护农村稳定</w:t>
      </w:r>
    </w:p>
    <w:p>
      <w:pPr>
        <w:ind w:firstLine="640" w:firstLineChars="0"/>
        <w:rPr>
          <w:rFonts w:ascii="仿宋" w:hAnsi="仿宋" w:eastAsia="仿宋" w:cs="仿宋_GB2312"/>
          <w:szCs w:val="32"/>
        </w:rPr>
      </w:pPr>
      <w:r>
        <w:rPr>
          <w:rFonts w:hint="eastAsia" w:ascii="仿宋" w:hAnsi="仿宋" w:eastAsia="仿宋" w:cs="仿宋_GB2312"/>
          <w:szCs w:val="32"/>
        </w:rPr>
        <w:t>稳定贯彻执行国家法律法规和政策，增强农民法律意识，教育农民知法、懂法、守法；建立完善协调联动机制，搞好农村矛盾纠纷排查调处，加强社会治安综合治理，维护社会安全秩序；妥善处理突发性、群体性事件，协助司法机关打击类刑事犯罪活动；保护社会公正，维护社会秩序和社会稳定。社会治安综合治理、人民调解、法律服务工作。向上级人民政府反映居民群众的意见和要求。</w:t>
      </w:r>
    </w:p>
    <w:p>
      <w:pPr>
        <w:ind w:firstLine="640" w:firstLineChars="0"/>
        <w:rPr>
          <w:rFonts w:ascii="仿宋" w:hAnsi="仿宋" w:eastAsia="仿宋" w:cs="仿宋_GB2312"/>
          <w:szCs w:val="32"/>
        </w:rPr>
      </w:pPr>
      <w:r>
        <w:rPr>
          <w:rFonts w:ascii="仿宋" w:hAnsi="仿宋" w:eastAsia="仿宋" w:cs="仿宋_GB2312"/>
          <w:szCs w:val="32"/>
        </w:rPr>
        <w:t>1</w:t>
      </w:r>
      <w:r>
        <w:rPr>
          <w:rFonts w:hint="eastAsia" w:ascii="仿宋" w:hAnsi="仿宋" w:eastAsia="仿宋" w:cs="仿宋_GB2312"/>
          <w:szCs w:val="32"/>
        </w:rPr>
        <w:t>、做好信访工作、调节纠纷，维护辖区稳定；</w:t>
      </w:r>
      <w:r>
        <w:rPr>
          <w:rFonts w:ascii="仿宋" w:hAnsi="仿宋" w:eastAsia="仿宋" w:cs="仿宋_GB2312"/>
          <w:szCs w:val="32"/>
        </w:rPr>
        <w:t>2</w:t>
      </w:r>
      <w:r>
        <w:rPr>
          <w:rFonts w:hint="eastAsia" w:ascii="仿宋" w:hAnsi="仿宋" w:eastAsia="仿宋" w:cs="仿宋_GB2312"/>
          <w:szCs w:val="32"/>
        </w:rPr>
        <w:t>、普法宣传贯彻执行国家法律法规和政策，增强农民法律意识，教育农民知法、懂法、守法；</w:t>
      </w:r>
      <w:r>
        <w:rPr>
          <w:rFonts w:ascii="仿宋" w:hAnsi="仿宋" w:eastAsia="仿宋" w:cs="仿宋_GB2312"/>
          <w:szCs w:val="32"/>
        </w:rPr>
        <w:t>3</w:t>
      </w:r>
      <w:r>
        <w:rPr>
          <w:rFonts w:hint="eastAsia" w:ascii="仿宋" w:hAnsi="仿宋" w:eastAsia="仿宋" w:cs="仿宋_GB2312"/>
          <w:szCs w:val="32"/>
        </w:rPr>
        <w:t>、做好司法工作，协助司法机关打击各类刑事犯罪活动，维护社会稳定。保障信访、维稳工作正常进行，提高群众满意度，维护各种会议顺利召开，做好稳控工作。</w:t>
      </w:r>
    </w:p>
    <w:p>
      <w:pPr>
        <w:ind w:firstLine="198" w:firstLineChars="62"/>
        <w:rPr>
          <w:rFonts w:ascii="仿宋_GB2312" w:hAnsi="黑体"/>
          <w:szCs w:val="32"/>
        </w:rPr>
      </w:pPr>
      <w:r>
        <w:rPr>
          <w:rFonts w:hint="eastAsia" w:ascii="仿宋_GB2312" w:hAnsi="黑体"/>
          <w:szCs w:val="32"/>
        </w:rPr>
        <w:t>二、部门决算单位构成</w:t>
      </w:r>
    </w:p>
    <w:p>
      <w:pPr>
        <w:ind w:firstLine="640"/>
        <w:rPr>
          <w:rFonts w:ascii="仿宋" w:hAnsi="仿宋" w:eastAsia="仿宋" w:cs="仿宋"/>
          <w:szCs w:val="32"/>
        </w:rPr>
      </w:pPr>
      <w:r>
        <w:rPr>
          <w:rFonts w:hint="eastAsia" w:ascii="仿宋" w:hAnsi="仿宋" w:eastAsia="仿宋" w:cs="仿宋"/>
          <w:szCs w:val="32"/>
        </w:rPr>
        <w:t>海港区驻操营镇人民政府部门决算仅有1个独立决算单位。</w:t>
      </w:r>
    </w:p>
    <w:tbl>
      <w:tblPr>
        <w:tblStyle w:val="5"/>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2208"/>
        <w:gridCol w:w="2209"/>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8" w:type="dxa"/>
          </w:tcPr>
          <w:p>
            <w:pPr>
              <w:ind w:firstLine="0" w:firstLineChars="0"/>
              <w:jc w:val="center"/>
              <w:rPr>
                <w:rFonts w:ascii="仿宋_GB2312" w:hAnsi="黑体"/>
                <w:sz w:val="28"/>
                <w:szCs w:val="28"/>
              </w:rPr>
            </w:pPr>
            <w:r>
              <w:rPr>
                <w:rFonts w:hint="eastAsia" w:ascii="仿宋_GB2312" w:hAnsi="黑体"/>
                <w:sz w:val="28"/>
                <w:szCs w:val="28"/>
              </w:rPr>
              <w:t>单位名称</w:t>
            </w:r>
          </w:p>
        </w:tc>
        <w:tc>
          <w:tcPr>
            <w:tcW w:w="2208" w:type="dxa"/>
          </w:tcPr>
          <w:p>
            <w:pPr>
              <w:ind w:firstLine="0" w:firstLineChars="0"/>
              <w:jc w:val="center"/>
              <w:rPr>
                <w:rFonts w:ascii="仿宋_GB2312" w:hAnsi="黑体"/>
                <w:sz w:val="28"/>
                <w:szCs w:val="28"/>
              </w:rPr>
            </w:pPr>
            <w:r>
              <w:rPr>
                <w:rFonts w:hint="eastAsia" w:ascii="仿宋_GB2312" w:hAnsi="黑体"/>
                <w:sz w:val="28"/>
                <w:szCs w:val="28"/>
              </w:rPr>
              <w:t>单位性质</w:t>
            </w:r>
          </w:p>
        </w:tc>
        <w:tc>
          <w:tcPr>
            <w:tcW w:w="2209" w:type="dxa"/>
          </w:tcPr>
          <w:p>
            <w:pPr>
              <w:ind w:firstLine="0" w:firstLineChars="0"/>
              <w:jc w:val="center"/>
              <w:rPr>
                <w:rFonts w:ascii="仿宋_GB2312" w:hAnsi="黑体"/>
                <w:sz w:val="28"/>
                <w:szCs w:val="28"/>
              </w:rPr>
            </w:pPr>
            <w:r>
              <w:rPr>
                <w:rFonts w:hint="eastAsia" w:ascii="仿宋_GB2312" w:hAnsi="黑体"/>
                <w:sz w:val="28"/>
                <w:szCs w:val="28"/>
              </w:rPr>
              <w:t>单位规格</w:t>
            </w:r>
          </w:p>
        </w:tc>
        <w:tc>
          <w:tcPr>
            <w:tcW w:w="2209" w:type="dxa"/>
          </w:tcPr>
          <w:p>
            <w:pPr>
              <w:ind w:firstLine="0" w:firstLineChars="0"/>
              <w:jc w:val="center"/>
              <w:rPr>
                <w:rFonts w:ascii="仿宋_GB2312" w:hAnsi="黑体"/>
                <w:sz w:val="28"/>
                <w:szCs w:val="28"/>
              </w:rPr>
            </w:pPr>
            <w:r>
              <w:rPr>
                <w:rFonts w:hint="eastAsia" w:ascii="仿宋_GB2312" w:hAnsi="黑体"/>
                <w:sz w:val="28"/>
                <w:szCs w:val="28"/>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8" w:type="dxa"/>
          </w:tcPr>
          <w:p>
            <w:pPr>
              <w:ind w:firstLine="0" w:firstLineChars="0"/>
              <w:rPr>
                <w:rFonts w:ascii="仿宋_GB2312" w:hAnsi="黑体"/>
                <w:sz w:val="28"/>
                <w:szCs w:val="28"/>
              </w:rPr>
            </w:pPr>
            <w:bookmarkStart w:id="34" w:name="_GoBack" w:colFirst="1" w:colLast="3"/>
            <w:r>
              <w:rPr>
                <w:rFonts w:hint="eastAsia" w:ascii="仿宋_GB2312" w:hAnsi="黑体"/>
                <w:sz w:val="28"/>
                <w:szCs w:val="28"/>
              </w:rPr>
              <w:t>海港区驻操营镇人民政府</w:t>
            </w:r>
          </w:p>
        </w:tc>
        <w:tc>
          <w:tcPr>
            <w:tcW w:w="2208" w:type="dxa"/>
          </w:tcPr>
          <w:p>
            <w:pPr>
              <w:ind w:firstLine="0" w:firstLineChars="0"/>
              <w:jc w:val="center"/>
              <w:rPr>
                <w:rFonts w:ascii="仿宋_GB2312" w:hAnsi="黑体"/>
                <w:sz w:val="28"/>
                <w:szCs w:val="28"/>
              </w:rPr>
            </w:pPr>
            <w:r>
              <w:rPr>
                <w:rFonts w:hint="eastAsia" w:ascii="仿宋_GB2312" w:hAnsi="黑体"/>
                <w:sz w:val="28"/>
                <w:szCs w:val="28"/>
              </w:rPr>
              <w:t>行政单位</w:t>
            </w:r>
          </w:p>
        </w:tc>
        <w:tc>
          <w:tcPr>
            <w:tcW w:w="2209" w:type="dxa"/>
          </w:tcPr>
          <w:p>
            <w:pPr>
              <w:ind w:firstLine="0" w:firstLineChars="0"/>
              <w:jc w:val="center"/>
              <w:rPr>
                <w:rFonts w:ascii="仿宋_GB2312" w:hAnsi="黑体"/>
                <w:sz w:val="28"/>
                <w:szCs w:val="28"/>
              </w:rPr>
            </w:pPr>
            <w:r>
              <w:rPr>
                <w:rFonts w:hint="eastAsia" w:ascii="仿宋_GB2312" w:hAnsi="黑体"/>
                <w:sz w:val="28"/>
                <w:szCs w:val="28"/>
              </w:rPr>
              <w:t>正科级</w:t>
            </w:r>
          </w:p>
        </w:tc>
        <w:tc>
          <w:tcPr>
            <w:tcW w:w="2209" w:type="dxa"/>
          </w:tcPr>
          <w:p>
            <w:pPr>
              <w:ind w:firstLine="0" w:firstLineChars="0"/>
              <w:jc w:val="center"/>
              <w:rPr>
                <w:rFonts w:ascii="仿宋_GB2312" w:hAnsi="黑体"/>
                <w:sz w:val="28"/>
                <w:szCs w:val="28"/>
              </w:rPr>
            </w:pPr>
            <w:r>
              <w:rPr>
                <w:rFonts w:hint="eastAsia" w:ascii="仿宋_GB2312" w:hAnsi="黑体"/>
                <w:sz w:val="28"/>
                <w:szCs w:val="28"/>
              </w:rPr>
              <w:t>财政拨款</w:t>
            </w:r>
          </w:p>
        </w:tc>
      </w:tr>
      <w:bookmarkEnd w:id="34"/>
    </w:tbl>
    <w:p>
      <w:pPr>
        <w:ind w:firstLine="1273" w:firstLineChars="398"/>
        <w:rPr>
          <w:rFonts w:ascii="仿宋_GB2312" w:hAnsi="黑体"/>
          <w:szCs w:val="32"/>
        </w:rPr>
      </w:pPr>
    </w:p>
    <w:bookmarkEnd w:id="8"/>
    <w:p>
      <w:pPr>
        <w:widowControl/>
        <w:spacing w:line="240" w:lineRule="auto"/>
        <w:ind w:firstLine="0" w:firstLineChars="0"/>
        <w:jc w:val="left"/>
        <w:rPr>
          <w:rFonts w:ascii="黑体" w:hAnsi="黑体" w:eastAsia="黑体"/>
          <w:szCs w:val="32"/>
        </w:rPr>
      </w:pPr>
      <w:r>
        <w:rPr>
          <w:rFonts w:ascii="黑体" w:hAnsi="黑体" w:eastAsia="黑体"/>
          <w:szCs w:val="32"/>
        </w:rPr>
        <w:br w:type="page"/>
      </w:r>
      <w:bookmarkStart w:id="9" w:name="OLE_LINK12"/>
    </w:p>
    <w:p>
      <w:pPr>
        <w:spacing w:line="240" w:lineRule="auto"/>
        <w:ind w:firstLine="0" w:firstLineChars="0"/>
        <w:rPr>
          <w:rFonts w:ascii="黑体" w:hAnsi="黑体" w:eastAsia="黑体"/>
          <w:sz w:val="72"/>
          <w:szCs w:val="72"/>
        </w:rPr>
      </w:pPr>
    </w:p>
    <w:p>
      <w:pPr>
        <w:spacing w:line="240" w:lineRule="auto"/>
        <w:ind w:firstLine="0" w:firstLineChars="0"/>
        <w:jc w:val="center"/>
        <w:rPr>
          <w:rFonts w:hint="eastAsia" w:ascii="黑体" w:hAnsi="黑体" w:eastAsia="黑体"/>
          <w:sz w:val="72"/>
          <w:szCs w:val="72"/>
        </w:rPr>
      </w:pPr>
    </w:p>
    <w:p>
      <w:pPr>
        <w:spacing w:line="240" w:lineRule="auto"/>
        <w:ind w:firstLine="0" w:firstLineChars="0"/>
        <w:jc w:val="center"/>
        <w:rPr>
          <w:rFonts w:hint="eastAsia"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第二部分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仿宋_GB2312" w:hAnsi="黑体"/>
          <w:sz w:val="72"/>
          <w:szCs w:val="72"/>
        </w:rPr>
      </w:pPr>
      <w:r>
        <w:rPr>
          <w:rFonts w:hint="eastAsia" w:ascii="黑体" w:hAnsi="黑体" w:eastAsia="黑体"/>
          <w:sz w:val="72"/>
          <w:szCs w:val="72"/>
        </w:rPr>
        <w:t>驻操营镇人民政府部门201</w:t>
      </w:r>
      <w:r>
        <w:rPr>
          <w:rFonts w:ascii="黑体" w:hAnsi="黑体" w:eastAsia="黑体"/>
          <w:sz w:val="72"/>
          <w:szCs w:val="72"/>
        </w:rPr>
        <w:t>7</w:t>
      </w:r>
      <w:r>
        <w:rPr>
          <w:rFonts w:hint="eastAsia" w:ascii="黑体" w:hAnsi="黑体" w:eastAsia="黑体"/>
          <w:sz w:val="72"/>
          <w:szCs w:val="72"/>
        </w:rPr>
        <w:t>年度部门决算报表</w:t>
      </w:r>
    </w:p>
    <w:bookmarkEnd w:id="9"/>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hint="eastAsia" w:ascii="仿宋_GB2312"/>
          <w:szCs w:val="32"/>
        </w:rPr>
      </w:pPr>
      <w:r>
        <w:rPr>
          <w:rFonts w:hint="eastAsia" w:ascii="仿宋_GB2312"/>
          <w:szCs w:val="32"/>
        </w:rPr>
        <w:t>　　　</w:t>
      </w:r>
    </w:p>
    <w:p>
      <w:pPr>
        <w:widowControl/>
        <w:spacing w:line="240" w:lineRule="auto"/>
        <w:ind w:firstLine="0" w:firstLineChars="0"/>
        <w:jc w:val="left"/>
        <w:rPr>
          <w:rFonts w:hint="eastAsia" w:ascii="仿宋_GB2312"/>
          <w:szCs w:val="32"/>
        </w:rPr>
      </w:pPr>
    </w:p>
    <w:p>
      <w:pPr>
        <w:widowControl/>
        <w:spacing w:line="240" w:lineRule="auto"/>
        <w:ind w:firstLine="960" w:firstLineChars="300"/>
        <w:jc w:val="left"/>
        <w:rPr>
          <w:rFonts w:ascii="仿宋_GB2312"/>
          <w:szCs w:val="32"/>
        </w:rPr>
      </w:pPr>
      <w:r>
        <w:rPr>
          <w:rFonts w:hint="eastAsia" w:ascii="仿宋_GB2312"/>
          <w:szCs w:val="32"/>
        </w:rPr>
        <w:t>　一、收入支出决算总表</w:t>
      </w:r>
    </w:p>
    <w:p>
      <w:pPr>
        <w:ind w:left="640" w:firstLine="640"/>
        <w:rPr>
          <w:rFonts w:ascii="仿宋_GB2312"/>
          <w:szCs w:val="32"/>
        </w:rPr>
      </w:pPr>
      <w:r>
        <w:rPr>
          <w:rFonts w:hint="eastAsia" w:ascii="仿宋_GB2312"/>
          <w:szCs w:val="32"/>
        </w:rPr>
        <w:t>二、收入决算表</w:t>
      </w:r>
    </w:p>
    <w:p>
      <w:pPr>
        <w:ind w:left="640" w:firstLine="640"/>
        <w:rPr>
          <w:rFonts w:ascii="仿宋_GB2312"/>
          <w:szCs w:val="32"/>
        </w:rPr>
      </w:pPr>
      <w:r>
        <w:rPr>
          <w:rFonts w:hint="eastAsia" w:ascii="仿宋_GB2312"/>
          <w:szCs w:val="32"/>
        </w:rPr>
        <w:t>三、支出决算表</w:t>
      </w:r>
    </w:p>
    <w:p>
      <w:pPr>
        <w:ind w:left="640" w:firstLine="640"/>
        <w:rPr>
          <w:rFonts w:ascii="仿宋_GB2312"/>
          <w:szCs w:val="32"/>
        </w:rPr>
      </w:pPr>
      <w:r>
        <w:rPr>
          <w:rFonts w:hint="eastAsia" w:ascii="仿宋_GB2312"/>
          <w:szCs w:val="32"/>
        </w:rPr>
        <w:t>四、财政拨款收入支出决算总表</w:t>
      </w:r>
    </w:p>
    <w:p>
      <w:pPr>
        <w:ind w:left="640" w:firstLine="640"/>
        <w:rPr>
          <w:rFonts w:ascii="仿宋_GB2312"/>
          <w:szCs w:val="32"/>
        </w:rPr>
      </w:pPr>
      <w:r>
        <w:rPr>
          <w:rFonts w:hint="eastAsia" w:ascii="仿宋_GB2312"/>
          <w:szCs w:val="32"/>
        </w:rPr>
        <w:t>五、一般公共预算财政拨款收入支出决算表</w:t>
      </w:r>
    </w:p>
    <w:p>
      <w:pPr>
        <w:ind w:left="640" w:firstLine="640"/>
        <w:rPr>
          <w:rFonts w:ascii="仿宋_GB2312"/>
          <w:szCs w:val="32"/>
        </w:rPr>
      </w:pPr>
      <w:r>
        <w:rPr>
          <w:rFonts w:hint="eastAsia" w:ascii="仿宋_GB2312"/>
          <w:szCs w:val="32"/>
        </w:rPr>
        <w:t>六、一般公共预算财政拨款基本支出决算表</w:t>
      </w:r>
    </w:p>
    <w:p>
      <w:pPr>
        <w:ind w:left="640" w:firstLine="640"/>
        <w:rPr>
          <w:rFonts w:ascii="仿宋_GB2312"/>
          <w:szCs w:val="32"/>
        </w:rPr>
      </w:pPr>
      <w:r>
        <w:rPr>
          <w:rFonts w:hint="eastAsia" w:ascii="仿宋_GB2312"/>
          <w:szCs w:val="32"/>
        </w:rPr>
        <w:t>七、政府性基金预算财政拨款收入支出决算表</w:t>
      </w:r>
    </w:p>
    <w:p>
      <w:pPr>
        <w:ind w:left="640" w:firstLine="640"/>
        <w:rPr>
          <w:rFonts w:ascii="仿宋_GB2312"/>
          <w:szCs w:val="32"/>
        </w:rPr>
      </w:pPr>
      <w:r>
        <w:rPr>
          <w:rFonts w:hint="eastAsia" w:ascii="仿宋_GB2312"/>
          <w:szCs w:val="32"/>
        </w:rPr>
        <w:t>八、国有资本经营预算财政拨款支出决算表</w:t>
      </w:r>
    </w:p>
    <w:p>
      <w:pPr>
        <w:ind w:left="640" w:firstLine="640"/>
        <w:rPr>
          <w:rFonts w:ascii="仿宋_GB2312"/>
          <w:szCs w:val="32"/>
        </w:rPr>
      </w:pPr>
      <w:r>
        <w:rPr>
          <w:rFonts w:hint="eastAsia" w:ascii="仿宋_GB2312"/>
          <w:szCs w:val="32"/>
        </w:rPr>
        <w:t>九、“三公”经费及相关信息统计表</w:t>
      </w:r>
    </w:p>
    <w:p>
      <w:pPr>
        <w:ind w:left="640" w:firstLine="640"/>
        <w:rPr>
          <w:rFonts w:ascii="仿宋_GB2312"/>
          <w:szCs w:val="32"/>
        </w:rPr>
      </w:pPr>
      <w:r>
        <w:rPr>
          <w:rFonts w:hint="eastAsia" w:ascii="仿宋_GB2312"/>
          <w:szCs w:val="32"/>
        </w:rPr>
        <w:t>十、政府采购情况表</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ind w:firstLine="0" w:firstLineChars="0"/>
        <w:rPr>
          <w:rFonts w:ascii="仿宋_GB2312"/>
          <w:szCs w:val="32"/>
        </w:rPr>
      </w:pPr>
      <w:r>
        <w:rPr>
          <w:rFonts w:hint="eastAsia" w:ascii="仿宋_GB2312"/>
          <w:szCs w:val="32"/>
        </w:rPr>
        <w:t>　　　　</w:t>
      </w: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黑体" w:hAnsi="黑体" w:eastAsia="黑体"/>
          <w:szCs w:val="32"/>
        </w:rPr>
      </w:pPr>
      <w:r>
        <w:rPr>
          <w:rFonts w:hint="eastAsia" w:ascii="仿宋_GB2312"/>
          <w:szCs w:val="32"/>
        </w:rPr>
        <w:t>附件一：部门决算报表</w:t>
      </w:r>
    </w:p>
    <w:p>
      <w:pPr>
        <w:widowControl/>
        <w:spacing w:line="240" w:lineRule="auto"/>
        <w:ind w:firstLine="0" w:firstLineChars="0"/>
        <w:jc w:val="left"/>
        <w:rPr>
          <w:rFonts w:ascii="黑体" w:hAnsi="黑体" w:eastAsia="黑体"/>
          <w:szCs w:val="32"/>
        </w:rPr>
        <w:sectPr>
          <w:headerReference r:id="rId5" w:type="first"/>
          <w:footerReference r:id="rId8" w:type="first"/>
          <w:headerReference r:id="rId3" w:type="default"/>
          <w:footerReference r:id="rId6" w:type="default"/>
          <w:headerReference r:id="rId4" w:type="even"/>
          <w:footerReference r:id="rId7" w:type="even"/>
          <w:pgSz w:w="11906" w:h="16838"/>
          <w:pgMar w:top="1985" w:right="1531" w:bottom="1985" w:left="1531" w:header="851" w:footer="992" w:gutter="0"/>
          <w:cols w:space="425" w:num="1"/>
          <w:docGrid w:type="lines" w:linePitch="312" w:charSpace="0"/>
        </w:sect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第三部分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 xml:space="preserve">  驻操营镇人民政府部门201</w:t>
      </w:r>
      <w:r>
        <w:rPr>
          <w:rFonts w:ascii="黑体" w:hAnsi="黑体" w:eastAsia="黑体"/>
          <w:sz w:val="72"/>
          <w:szCs w:val="72"/>
        </w:rPr>
        <w:t>7</w:t>
      </w:r>
      <w:r>
        <w:rPr>
          <w:rFonts w:hint="eastAsia" w:ascii="黑体" w:hAnsi="黑体" w:eastAsia="黑体"/>
          <w:sz w:val="72"/>
          <w:szCs w:val="72"/>
        </w:rPr>
        <w:t>年部门决算情况说明</w:t>
      </w:r>
    </w:p>
    <w:p>
      <w:pPr>
        <w:widowControl/>
        <w:spacing w:line="240" w:lineRule="auto"/>
        <w:ind w:firstLine="0" w:firstLineChars="0"/>
        <w:jc w:val="left"/>
        <w:rPr>
          <w:rFonts w:ascii="楷体" w:hAnsi="楷体" w:eastAsia="楷体"/>
          <w:b/>
          <w:szCs w:val="32"/>
        </w:rPr>
      </w:pPr>
      <w:r>
        <w:rPr>
          <w:rFonts w:ascii="楷体" w:hAnsi="楷体" w:eastAsia="楷体"/>
          <w:b/>
          <w:szCs w:val="32"/>
        </w:rPr>
        <w:br w:type="page"/>
      </w:r>
    </w:p>
    <w:p>
      <w:pPr>
        <w:pStyle w:val="9"/>
        <w:numPr>
          <w:ilvl w:val="0"/>
          <w:numId w:val="1"/>
        </w:numPr>
        <w:ind w:firstLineChars="0"/>
        <w:rPr>
          <w:rFonts w:ascii="楷体" w:hAnsi="楷体" w:eastAsia="楷体"/>
          <w:b/>
          <w:szCs w:val="32"/>
        </w:rPr>
      </w:pPr>
      <w:r>
        <w:rPr>
          <w:rFonts w:hint="eastAsia" w:ascii="楷体" w:hAnsi="楷体" w:eastAsia="楷体"/>
          <w:b/>
          <w:szCs w:val="32"/>
        </w:rPr>
        <w:t>收入支出决算总体情况说明</w:t>
      </w:r>
      <w:bookmarkStart w:id="10" w:name="OLE_LINK2"/>
      <w:bookmarkStart w:id="11" w:name="OLE_LINK1"/>
    </w:p>
    <w:p>
      <w:pPr>
        <w:ind w:firstLine="515" w:firstLineChars="161"/>
        <w:rPr>
          <w:rFonts w:ascii="仿宋_GB2312"/>
          <w:szCs w:val="32"/>
        </w:rPr>
      </w:pPr>
      <w:r>
        <w:rPr>
          <w:rFonts w:hint="eastAsia" w:ascii="仿宋_GB2312"/>
          <w:szCs w:val="32"/>
        </w:rPr>
        <w:t>2017年度决算收入总计2083.61万元，决算支出总计2246.65万元，年初结转和结余248.5万元，年末结转和结余85.46万元。</w:t>
      </w:r>
    </w:p>
    <w:p>
      <w:pPr>
        <w:ind w:firstLine="515" w:firstLineChars="161"/>
        <w:rPr>
          <w:rFonts w:ascii="仿宋_GB2312"/>
          <w:szCs w:val="32"/>
        </w:rPr>
      </w:pPr>
      <w:r>
        <w:rPr>
          <w:rFonts w:hint="eastAsia" w:ascii="仿宋_GB2312"/>
          <w:szCs w:val="32"/>
        </w:rPr>
        <w:t>2</w:t>
      </w:r>
      <w:r>
        <w:rPr>
          <w:rFonts w:ascii="仿宋_GB2312"/>
          <w:szCs w:val="32"/>
        </w:rPr>
        <w:t>017</w:t>
      </w:r>
      <w:r>
        <w:rPr>
          <w:rFonts w:hint="eastAsia" w:ascii="仿宋_GB2312"/>
          <w:szCs w:val="32"/>
        </w:rPr>
        <w:t>年度收入与年初预算676.63万元对比增加1406.98万元，原因是：人员经费增加和上级专款拨付；与2</w:t>
      </w:r>
      <w:r>
        <w:rPr>
          <w:rFonts w:ascii="仿宋_GB2312"/>
          <w:szCs w:val="32"/>
        </w:rPr>
        <w:t>016</w:t>
      </w:r>
      <w:r>
        <w:rPr>
          <w:rFonts w:hint="eastAsia" w:ascii="仿宋_GB2312"/>
          <w:szCs w:val="32"/>
        </w:rPr>
        <w:t>年度收入1294.83万元相比，增加788.78万元，原因是：人员经费增加和由于旅发大会而相应增加的拨款。</w:t>
      </w:r>
    </w:p>
    <w:p>
      <w:pPr>
        <w:ind w:firstLine="515" w:firstLineChars="161"/>
        <w:rPr>
          <w:rFonts w:ascii="仿宋_GB2312"/>
          <w:szCs w:val="32"/>
        </w:rPr>
      </w:pPr>
      <w:r>
        <w:rPr>
          <w:rFonts w:hint="eastAsia" w:ascii="仿宋_GB2312"/>
          <w:szCs w:val="32"/>
        </w:rPr>
        <w:t>2</w:t>
      </w:r>
      <w:r>
        <w:rPr>
          <w:rFonts w:ascii="仿宋_GB2312"/>
          <w:szCs w:val="32"/>
        </w:rPr>
        <w:t>017</w:t>
      </w:r>
      <w:r>
        <w:rPr>
          <w:rFonts w:hint="eastAsia" w:ascii="仿宋_GB2312"/>
          <w:szCs w:val="32"/>
        </w:rPr>
        <w:t>年度支出与年初预算对比增加1570.02万元，原因是：人员经费支出的增加和上级专款支出的增加；与2</w:t>
      </w:r>
      <w:r>
        <w:rPr>
          <w:rFonts w:ascii="仿宋_GB2312"/>
          <w:szCs w:val="32"/>
        </w:rPr>
        <w:t>016</w:t>
      </w:r>
      <w:r>
        <w:rPr>
          <w:rFonts w:hint="eastAsia" w:ascii="仿宋_GB2312"/>
          <w:szCs w:val="32"/>
        </w:rPr>
        <w:t>年度支出1012.41万元相比，增加1234.24万元，原因是：人员经费支出的增加和旅发大会对应的支出增加。</w:t>
      </w:r>
    </w:p>
    <w:bookmarkEnd w:id="10"/>
    <w:bookmarkEnd w:id="11"/>
    <w:p>
      <w:pPr>
        <w:ind w:firstLine="643"/>
        <w:rPr>
          <w:rFonts w:ascii="楷体" w:hAnsi="楷体" w:eastAsia="楷体"/>
          <w:b/>
          <w:szCs w:val="32"/>
        </w:rPr>
      </w:pPr>
      <w:bookmarkStart w:id="12" w:name="OLE_LINK3"/>
      <w:bookmarkStart w:id="13" w:name="OLE_LINK4"/>
      <w:r>
        <w:rPr>
          <w:rFonts w:ascii="楷体" w:hAnsi="楷体" w:eastAsia="楷体"/>
          <w:b/>
          <w:szCs w:val="32"/>
        </w:rPr>
        <w:t>二、收入决算情况说明</w:t>
      </w:r>
    </w:p>
    <w:p>
      <w:pPr>
        <w:widowControl/>
        <w:spacing w:line="580" w:lineRule="exact"/>
        <w:ind w:firstLine="640"/>
        <w:rPr>
          <w:rFonts w:ascii="仿宋" w:hAnsi="仿宋" w:eastAsia="仿宋"/>
          <w:szCs w:val="32"/>
        </w:rPr>
      </w:pPr>
      <w:r>
        <w:rPr>
          <w:rFonts w:hint="eastAsia" w:ascii="仿宋" w:hAnsi="仿宋" w:eastAsia="仿宋"/>
          <w:szCs w:val="32"/>
        </w:rPr>
        <w:t>2</w:t>
      </w:r>
      <w:r>
        <w:rPr>
          <w:rFonts w:ascii="仿宋" w:hAnsi="仿宋" w:eastAsia="仿宋"/>
          <w:szCs w:val="32"/>
        </w:rPr>
        <w:t>017</w:t>
      </w:r>
      <w:r>
        <w:rPr>
          <w:rFonts w:hint="eastAsia" w:ascii="仿宋" w:hAnsi="仿宋" w:eastAsia="仿宋"/>
          <w:szCs w:val="32"/>
        </w:rPr>
        <w:t>年度收入合计 2083.61万元，其中：财政拨款收入2083.61万元，占总收入100</w:t>
      </w:r>
      <w:r>
        <w:rPr>
          <w:rFonts w:ascii="仿宋" w:hAnsi="仿宋" w:eastAsia="仿宋"/>
          <w:szCs w:val="32"/>
        </w:rPr>
        <w:t>%</w:t>
      </w:r>
      <w:r>
        <w:rPr>
          <w:rFonts w:hint="eastAsia" w:ascii="仿宋" w:hAnsi="仿宋" w:eastAsia="仿宋"/>
          <w:szCs w:val="32"/>
        </w:rPr>
        <w:t>；事业收入0万元，占总收入0%；上级补助收入0万元，占总收入0%；经营收入0万元，占总收入0%；其它收入0万元，占总收入0</w:t>
      </w:r>
      <w:r>
        <w:rPr>
          <w:rFonts w:ascii="仿宋" w:hAnsi="仿宋" w:eastAsia="仿宋"/>
          <w:szCs w:val="32"/>
        </w:rPr>
        <w:t>%</w:t>
      </w:r>
      <w:r>
        <w:rPr>
          <w:rFonts w:hint="eastAsia" w:ascii="仿宋" w:hAnsi="仿宋" w:eastAsia="仿宋"/>
          <w:szCs w:val="32"/>
        </w:rPr>
        <w:t>。</w:t>
      </w:r>
    </w:p>
    <w:p>
      <w:pPr>
        <w:widowControl/>
        <w:spacing w:line="580" w:lineRule="exact"/>
        <w:ind w:firstLine="643"/>
        <w:rPr>
          <w:rFonts w:ascii="楷体" w:hAnsi="楷体" w:eastAsia="楷体"/>
          <w:b/>
          <w:szCs w:val="32"/>
        </w:rPr>
      </w:pPr>
      <w:r>
        <w:rPr>
          <w:rFonts w:ascii="楷体" w:hAnsi="楷体" w:eastAsia="楷体"/>
          <w:b/>
          <w:szCs w:val="32"/>
        </w:rPr>
        <w:t>三、支出决算情况说明</w:t>
      </w:r>
    </w:p>
    <w:p>
      <w:pPr>
        <w:ind w:firstLine="640"/>
        <w:rPr>
          <w:rFonts w:ascii="仿宋" w:hAnsi="仿宋" w:eastAsia="仿宋"/>
          <w:szCs w:val="32"/>
        </w:rPr>
      </w:pPr>
      <w:r>
        <w:rPr>
          <w:rFonts w:hint="eastAsia" w:ascii="仿宋" w:hAnsi="仿宋" w:eastAsia="仿宋"/>
          <w:szCs w:val="32"/>
        </w:rPr>
        <w:t>2</w:t>
      </w:r>
      <w:r>
        <w:rPr>
          <w:rFonts w:ascii="仿宋" w:hAnsi="仿宋" w:eastAsia="仿宋"/>
          <w:szCs w:val="32"/>
        </w:rPr>
        <w:t>017</w:t>
      </w:r>
      <w:r>
        <w:rPr>
          <w:rFonts w:hint="eastAsia" w:ascii="仿宋" w:hAnsi="仿宋" w:eastAsia="仿宋"/>
          <w:szCs w:val="32"/>
        </w:rPr>
        <w:t>年度支出合计2246.65万元，其中：基本支出 1283.75万元，占总支出 57.14%；项目支出 962.91万元，占总支出42.86%。</w:t>
      </w:r>
    </w:p>
    <w:p>
      <w:pPr>
        <w:widowControl/>
        <w:spacing w:line="580" w:lineRule="exact"/>
        <w:ind w:firstLine="643"/>
        <w:rPr>
          <w:rFonts w:ascii="楷体" w:hAnsi="楷体" w:eastAsia="楷体"/>
          <w:b/>
          <w:szCs w:val="32"/>
        </w:rPr>
      </w:pPr>
      <w:r>
        <w:rPr>
          <w:rFonts w:hint="eastAsia" w:ascii="楷体" w:hAnsi="楷体" w:eastAsia="楷体"/>
          <w:b/>
          <w:szCs w:val="32"/>
        </w:rPr>
        <w:t>四、财政拨款</w:t>
      </w:r>
      <w:bookmarkEnd w:id="12"/>
      <w:bookmarkEnd w:id="13"/>
      <w:r>
        <w:rPr>
          <w:rFonts w:hint="eastAsia" w:ascii="楷体" w:hAnsi="楷体" w:eastAsia="楷体"/>
          <w:b/>
          <w:szCs w:val="32"/>
        </w:rPr>
        <w:t>收入支出决算总体情况说明</w:t>
      </w:r>
    </w:p>
    <w:p>
      <w:pPr>
        <w:ind w:firstLine="640"/>
        <w:rPr>
          <w:rFonts w:ascii="仿宋_GB2312"/>
          <w:szCs w:val="32"/>
        </w:rPr>
      </w:pPr>
      <w:bookmarkStart w:id="14" w:name="OLE_LINK29"/>
      <w:r>
        <w:rPr>
          <w:rFonts w:hint="eastAsia" w:ascii="仿宋_GB2312"/>
          <w:szCs w:val="32"/>
        </w:rPr>
        <w:t>2017年度财政拨款收入决算总计</w:t>
      </w:r>
      <w:r>
        <w:rPr>
          <w:rFonts w:hint="eastAsia" w:ascii="仿宋" w:hAnsi="仿宋" w:eastAsia="仿宋"/>
          <w:szCs w:val="32"/>
        </w:rPr>
        <w:t>2083.61</w:t>
      </w:r>
      <w:r>
        <w:rPr>
          <w:rFonts w:hint="eastAsia" w:ascii="仿宋_GB2312"/>
          <w:szCs w:val="32"/>
        </w:rPr>
        <w:t>万元，财政拨款支出决算总计</w:t>
      </w:r>
      <w:r>
        <w:rPr>
          <w:rFonts w:hint="eastAsia" w:ascii="仿宋" w:hAnsi="仿宋" w:eastAsia="仿宋"/>
          <w:szCs w:val="32"/>
        </w:rPr>
        <w:t>2246.65</w:t>
      </w:r>
      <w:r>
        <w:rPr>
          <w:rFonts w:hint="eastAsia" w:ascii="仿宋_GB2312"/>
          <w:szCs w:val="32"/>
        </w:rPr>
        <w:t>万元，年初结转和结余248.5万元，年末结转和结余85.46万元。</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年度财政拨款收入与年初预算对比增加1406.98万元，原因是：人员经费增加和上级专款拨付；与2</w:t>
      </w:r>
      <w:r>
        <w:rPr>
          <w:rFonts w:ascii="仿宋_GB2312"/>
          <w:szCs w:val="32"/>
        </w:rPr>
        <w:t>016</w:t>
      </w:r>
      <w:r>
        <w:rPr>
          <w:rFonts w:hint="eastAsia" w:ascii="仿宋_GB2312"/>
          <w:szCs w:val="32"/>
        </w:rPr>
        <w:t>年度相比，增加788.78万元，原因是：人员经费增加和由于旅发大会而相应增加的拨款。</w:t>
      </w:r>
      <w:bookmarkEnd w:id="14"/>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年度财政拨款支出与年初预算对比增加1570.02万元，原因是：人员经费支出的增加和上级专款支出的增加；与2</w:t>
      </w:r>
      <w:r>
        <w:rPr>
          <w:rFonts w:ascii="仿宋_GB2312"/>
          <w:szCs w:val="32"/>
        </w:rPr>
        <w:t>016</w:t>
      </w:r>
      <w:r>
        <w:rPr>
          <w:rFonts w:hint="eastAsia" w:ascii="仿宋_GB2312"/>
          <w:szCs w:val="32"/>
        </w:rPr>
        <w:t>年度支出相比，增加1234.24万元，原因是：人员经费支出的增加和旅发大会对应的支出增加。</w:t>
      </w:r>
    </w:p>
    <w:p>
      <w:pPr>
        <w:ind w:firstLine="643"/>
        <w:rPr>
          <w:rFonts w:ascii="楷体" w:hAnsi="楷体" w:eastAsia="楷体"/>
          <w:b/>
          <w:szCs w:val="32"/>
        </w:rPr>
      </w:pPr>
      <w:r>
        <w:rPr>
          <w:rFonts w:hint="eastAsia" w:ascii="楷体" w:hAnsi="楷体" w:eastAsia="楷体"/>
          <w:b/>
          <w:szCs w:val="32"/>
        </w:rPr>
        <w:t>五、一般公共预算财政拨款“三公”经费支出决算情况说明。</w:t>
      </w:r>
    </w:p>
    <w:tbl>
      <w:tblPr>
        <w:tblStyle w:val="5"/>
        <w:tblpPr w:leftFromText="180" w:rightFromText="180" w:vertAnchor="text" w:horzAnchor="margin" w:tblpXSpec="center" w:tblpY="38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446"/>
        <w:gridCol w:w="1446"/>
        <w:gridCol w:w="1446"/>
        <w:gridCol w:w="147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ind w:firstLine="0" w:firstLineChars="0"/>
              <w:jc w:val="center"/>
              <w:rPr>
                <w:rFonts w:hint="eastAsia" w:ascii="仿宋_GB2312" w:eastAsia="仿宋_GB2312"/>
                <w:sz w:val="24"/>
                <w:szCs w:val="24"/>
                <w:lang w:eastAsia="zh-CN"/>
              </w:rPr>
            </w:pPr>
            <w:r>
              <w:rPr>
                <w:rFonts w:hint="eastAsia" w:ascii="仿宋_GB2312"/>
                <w:sz w:val="24"/>
                <w:szCs w:val="24"/>
                <w:lang w:eastAsia="zh-CN"/>
              </w:rPr>
              <w:t>项目名称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实际支出数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预算数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016</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决算数</w:t>
            </w:r>
          </w:p>
        </w:tc>
        <w:tc>
          <w:tcPr>
            <w:tcW w:w="1474" w:type="dxa"/>
          </w:tcPr>
          <w:p>
            <w:pPr>
              <w:spacing w:line="400" w:lineRule="exact"/>
              <w:ind w:firstLine="0" w:firstLineChars="0"/>
              <w:rPr>
                <w:rFonts w:ascii="仿宋_GB2312"/>
                <w:sz w:val="24"/>
                <w:szCs w:val="24"/>
              </w:rPr>
            </w:pPr>
            <w:r>
              <w:rPr>
                <w:rFonts w:hint="eastAsia" w:ascii="仿宋_GB2312"/>
                <w:sz w:val="24"/>
                <w:szCs w:val="24"/>
              </w:rPr>
              <w:t>与年初预算相比</w:t>
            </w:r>
          </w:p>
        </w:tc>
        <w:tc>
          <w:tcPr>
            <w:tcW w:w="1417" w:type="dxa"/>
          </w:tcPr>
          <w:p>
            <w:pPr>
              <w:spacing w:line="400" w:lineRule="exact"/>
              <w:ind w:firstLine="0" w:firstLineChars="0"/>
              <w:rPr>
                <w:rFonts w:ascii="仿宋_GB2312"/>
                <w:sz w:val="24"/>
                <w:szCs w:val="24"/>
              </w:rPr>
            </w:pPr>
            <w:r>
              <w:rPr>
                <w:rFonts w:hint="eastAsia" w:ascii="仿宋_GB2312"/>
                <w:sz w:val="24"/>
                <w:szCs w:val="24"/>
              </w:rPr>
              <w:t>与2</w:t>
            </w:r>
            <w:r>
              <w:rPr>
                <w:rFonts w:ascii="仿宋_GB2312"/>
                <w:sz w:val="24"/>
                <w:szCs w:val="24"/>
              </w:rPr>
              <w:t>016</w:t>
            </w:r>
            <w:r>
              <w:rPr>
                <w:rFonts w:hint="eastAsia" w:ascii="仿宋_GB2312"/>
                <w:sz w:val="24"/>
                <w:szCs w:val="24"/>
              </w:rPr>
              <w:t>年度决算相比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2093" w:type="dxa"/>
            <w:vAlign w:val="center"/>
          </w:tcPr>
          <w:p>
            <w:pPr>
              <w:ind w:firstLine="0" w:firstLineChars="0"/>
              <w:rPr>
                <w:rFonts w:ascii="仿宋_GB2312"/>
                <w:sz w:val="24"/>
                <w:szCs w:val="24"/>
              </w:rPr>
            </w:pPr>
            <w:r>
              <w:rPr>
                <w:rFonts w:hint="eastAsia" w:ascii="仿宋_GB2312"/>
                <w:sz w:val="24"/>
                <w:szCs w:val="24"/>
              </w:rPr>
              <w:t>“三公经费”合计</w:t>
            </w:r>
          </w:p>
        </w:tc>
        <w:tc>
          <w:tcPr>
            <w:tcW w:w="1446" w:type="dxa"/>
          </w:tcPr>
          <w:p>
            <w:pPr>
              <w:ind w:firstLine="0" w:firstLineChars="0"/>
              <w:rPr>
                <w:rFonts w:ascii="仿宋_GB2312"/>
                <w:sz w:val="24"/>
                <w:szCs w:val="24"/>
              </w:rPr>
            </w:pPr>
            <w:r>
              <w:rPr>
                <w:rFonts w:hint="eastAsia" w:ascii="仿宋_GB2312"/>
                <w:sz w:val="24"/>
                <w:szCs w:val="24"/>
              </w:rPr>
              <w:t>1.92</w:t>
            </w:r>
          </w:p>
        </w:tc>
        <w:tc>
          <w:tcPr>
            <w:tcW w:w="1446" w:type="dxa"/>
          </w:tcPr>
          <w:p>
            <w:pPr>
              <w:ind w:firstLine="0" w:firstLineChars="0"/>
              <w:rPr>
                <w:rFonts w:ascii="仿宋_GB2312"/>
                <w:sz w:val="24"/>
                <w:szCs w:val="24"/>
              </w:rPr>
            </w:pPr>
            <w:r>
              <w:rPr>
                <w:rFonts w:hint="eastAsia" w:ascii="仿宋_GB2312"/>
                <w:sz w:val="24"/>
                <w:szCs w:val="24"/>
              </w:rPr>
              <w:t>2.58</w:t>
            </w:r>
          </w:p>
        </w:tc>
        <w:tc>
          <w:tcPr>
            <w:tcW w:w="1446" w:type="dxa"/>
          </w:tcPr>
          <w:p>
            <w:pPr>
              <w:ind w:firstLine="0" w:firstLineChars="0"/>
              <w:rPr>
                <w:rFonts w:ascii="仿宋_GB2312"/>
                <w:sz w:val="24"/>
                <w:szCs w:val="24"/>
              </w:rPr>
            </w:pPr>
          </w:p>
        </w:tc>
        <w:tc>
          <w:tcPr>
            <w:tcW w:w="1474" w:type="dxa"/>
          </w:tcPr>
          <w:p>
            <w:pPr>
              <w:ind w:firstLine="0" w:firstLineChars="0"/>
              <w:rPr>
                <w:rFonts w:ascii="仿宋_GB2312"/>
                <w:sz w:val="24"/>
                <w:szCs w:val="24"/>
              </w:rPr>
            </w:pPr>
            <w:r>
              <w:rPr>
                <w:rFonts w:hint="eastAsia" w:ascii="仿宋_GB2312"/>
                <w:sz w:val="24"/>
                <w:szCs w:val="24"/>
              </w:rPr>
              <w:t>-0.66</w:t>
            </w:r>
          </w:p>
        </w:tc>
        <w:tc>
          <w:tcPr>
            <w:tcW w:w="1417" w:type="dxa"/>
          </w:tcPr>
          <w:p>
            <w:pPr>
              <w:ind w:firstLine="0" w:firstLineChars="0"/>
              <w:rPr>
                <w:rFonts w:ascii="仿宋_GB2312"/>
                <w:sz w:val="24"/>
                <w:szCs w:val="24"/>
              </w:rPr>
            </w:pPr>
            <w:r>
              <w:rPr>
                <w:rFonts w:hint="eastAsia" w:ascii="仿宋_GB2312"/>
                <w:sz w:val="24"/>
                <w:szCs w:val="24"/>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因公出国（境）费</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74" w:type="dxa"/>
          </w:tcPr>
          <w:p>
            <w:pPr>
              <w:ind w:firstLine="0" w:firstLineChars="0"/>
              <w:jc w:val="center"/>
              <w:rPr>
                <w:rFonts w:ascii="仿宋_GB2312"/>
                <w:sz w:val="24"/>
                <w:szCs w:val="24"/>
              </w:rPr>
            </w:pPr>
            <w:r>
              <w:rPr>
                <w:rFonts w:hint="eastAsia" w:ascii="仿宋_GB2312"/>
                <w:sz w:val="24"/>
                <w:szCs w:val="24"/>
              </w:rPr>
              <w:t>0</w:t>
            </w:r>
          </w:p>
        </w:tc>
        <w:tc>
          <w:tcPr>
            <w:tcW w:w="1417" w:type="dxa"/>
          </w:tcPr>
          <w:p>
            <w:pPr>
              <w:ind w:firstLine="0" w:firstLineChars="0"/>
              <w:jc w:val="center"/>
              <w:rPr>
                <w:rFonts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公务用车购置及运行维护费合计</w:t>
            </w:r>
          </w:p>
        </w:tc>
        <w:tc>
          <w:tcPr>
            <w:tcW w:w="1446" w:type="dxa"/>
          </w:tcPr>
          <w:p>
            <w:pPr>
              <w:ind w:firstLine="0" w:firstLineChars="0"/>
              <w:jc w:val="center"/>
              <w:rPr>
                <w:rFonts w:ascii="仿宋_GB2312"/>
                <w:sz w:val="24"/>
                <w:szCs w:val="24"/>
              </w:rPr>
            </w:pPr>
            <w:r>
              <w:rPr>
                <w:rFonts w:hint="eastAsia" w:ascii="仿宋_GB2312"/>
                <w:sz w:val="24"/>
                <w:szCs w:val="24"/>
              </w:rPr>
              <w:t>1.92</w:t>
            </w:r>
          </w:p>
        </w:tc>
        <w:tc>
          <w:tcPr>
            <w:tcW w:w="1446" w:type="dxa"/>
          </w:tcPr>
          <w:p>
            <w:pPr>
              <w:ind w:firstLine="0" w:firstLineChars="0"/>
              <w:jc w:val="center"/>
              <w:rPr>
                <w:rFonts w:ascii="仿宋_GB2312"/>
                <w:sz w:val="24"/>
                <w:szCs w:val="24"/>
              </w:rPr>
            </w:pPr>
            <w:r>
              <w:rPr>
                <w:rFonts w:hint="eastAsia" w:ascii="仿宋_GB2312"/>
                <w:sz w:val="24"/>
                <w:szCs w:val="24"/>
              </w:rPr>
              <w:t>1.92</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74" w:type="dxa"/>
          </w:tcPr>
          <w:p>
            <w:pPr>
              <w:ind w:firstLine="0" w:firstLineChars="0"/>
              <w:jc w:val="center"/>
              <w:rPr>
                <w:rFonts w:ascii="仿宋_GB2312"/>
                <w:sz w:val="24"/>
                <w:szCs w:val="24"/>
              </w:rPr>
            </w:pPr>
            <w:r>
              <w:rPr>
                <w:rFonts w:hint="eastAsia" w:ascii="仿宋_GB2312"/>
                <w:sz w:val="24"/>
                <w:szCs w:val="24"/>
              </w:rPr>
              <w:t>0</w:t>
            </w:r>
          </w:p>
        </w:tc>
        <w:tc>
          <w:tcPr>
            <w:tcW w:w="1417" w:type="dxa"/>
          </w:tcPr>
          <w:p>
            <w:pPr>
              <w:ind w:firstLine="0" w:firstLineChars="0"/>
              <w:jc w:val="center"/>
              <w:rPr>
                <w:rFonts w:ascii="仿宋_GB2312"/>
                <w:sz w:val="24"/>
                <w:szCs w:val="24"/>
              </w:rPr>
            </w:pPr>
            <w:r>
              <w:rPr>
                <w:rFonts w:hint="eastAsia" w:ascii="仿宋_GB2312"/>
                <w:sz w:val="24"/>
                <w:szCs w:val="24"/>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480"/>
              <w:rPr>
                <w:rFonts w:ascii="仿宋_GB2312"/>
                <w:color w:val="auto"/>
                <w:sz w:val="24"/>
                <w:szCs w:val="24"/>
              </w:rPr>
            </w:pPr>
            <w:bookmarkStart w:id="15" w:name="_Hlk3185114"/>
            <w:r>
              <w:rPr>
                <w:rFonts w:hint="eastAsia" w:ascii="仿宋_GB2312"/>
                <w:color w:val="auto"/>
                <w:sz w:val="24"/>
                <w:szCs w:val="24"/>
              </w:rPr>
              <w:t>其中：公务用车购置费</w:t>
            </w:r>
          </w:p>
        </w:tc>
        <w:tc>
          <w:tcPr>
            <w:tcW w:w="1446"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46"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46"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74"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17" w:type="dxa"/>
          </w:tcPr>
          <w:p>
            <w:pPr>
              <w:ind w:firstLine="0" w:firstLineChars="0"/>
              <w:jc w:val="center"/>
              <w:rPr>
                <w:rFonts w:ascii="仿宋_GB2312"/>
                <w:color w:val="auto"/>
                <w:sz w:val="24"/>
                <w:szCs w:val="24"/>
              </w:rPr>
            </w:pPr>
            <w:r>
              <w:rPr>
                <w:rFonts w:hint="eastAsia" w:ascii="仿宋_GB2312"/>
                <w:color w:val="auto"/>
                <w:sz w:val="24"/>
                <w:szCs w:val="24"/>
              </w:rPr>
              <w:t>0</w:t>
            </w:r>
          </w:p>
        </w:tc>
      </w:tr>
      <w:bookmark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480"/>
              <w:rPr>
                <w:rFonts w:ascii="仿宋_GB2312"/>
                <w:color w:val="auto"/>
                <w:sz w:val="24"/>
                <w:szCs w:val="24"/>
              </w:rPr>
            </w:pPr>
            <w:r>
              <w:rPr>
                <w:rFonts w:hint="eastAsia" w:ascii="仿宋_GB2312"/>
                <w:color w:val="auto"/>
                <w:sz w:val="24"/>
                <w:szCs w:val="24"/>
              </w:rPr>
              <w:t>其中：公务用车维护费</w:t>
            </w:r>
          </w:p>
        </w:tc>
        <w:tc>
          <w:tcPr>
            <w:tcW w:w="1446" w:type="dxa"/>
          </w:tcPr>
          <w:p>
            <w:pPr>
              <w:ind w:firstLine="0" w:firstLineChars="0"/>
              <w:jc w:val="center"/>
              <w:rPr>
                <w:rFonts w:ascii="仿宋_GB2312"/>
                <w:color w:val="auto"/>
                <w:sz w:val="24"/>
                <w:szCs w:val="24"/>
              </w:rPr>
            </w:pPr>
            <w:r>
              <w:rPr>
                <w:rFonts w:hint="eastAsia" w:ascii="仿宋_GB2312"/>
                <w:color w:val="auto"/>
                <w:sz w:val="24"/>
                <w:szCs w:val="24"/>
              </w:rPr>
              <w:t>1.92</w:t>
            </w:r>
          </w:p>
        </w:tc>
        <w:tc>
          <w:tcPr>
            <w:tcW w:w="1446" w:type="dxa"/>
          </w:tcPr>
          <w:p>
            <w:pPr>
              <w:ind w:firstLine="0" w:firstLineChars="0"/>
              <w:jc w:val="center"/>
              <w:rPr>
                <w:rFonts w:ascii="仿宋_GB2312"/>
                <w:color w:val="auto"/>
                <w:sz w:val="24"/>
                <w:szCs w:val="24"/>
              </w:rPr>
            </w:pPr>
            <w:r>
              <w:rPr>
                <w:rFonts w:hint="eastAsia" w:ascii="仿宋_GB2312"/>
                <w:color w:val="auto"/>
                <w:sz w:val="24"/>
                <w:szCs w:val="24"/>
              </w:rPr>
              <w:t>1.92</w:t>
            </w:r>
          </w:p>
        </w:tc>
        <w:tc>
          <w:tcPr>
            <w:tcW w:w="1446"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74"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17" w:type="dxa"/>
          </w:tcPr>
          <w:p>
            <w:pPr>
              <w:ind w:firstLine="0" w:firstLineChars="0"/>
              <w:jc w:val="center"/>
              <w:rPr>
                <w:rFonts w:ascii="仿宋_GB2312"/>
                <w:color w:val="auto"/>
                <w:sz w:val="24"/>
                <w:szCs w:val="24"/>
              </w:rPr>
            </w:pPr>
            <w:r>
              <w:rPr>
                <w:rFonts w:hint="eastAsia" w:ascii="仿宋_GB2312"/>
                <w:color w:val="auto"/>
                <w:sz w:val="24"/>
                <w:szCs w:val="24"/>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公务接待费</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0.66</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74" w:type="dxa"/>
          </w:tcPr>
          <w:p>
            <w:pPr>
              <w:ind w:firstLine="0" w:firstLineChars="0"/>
              <w:jc w:val="center"/>
              <w:rPr>
                <w:rFonts w:ascii="仿宋_GB2312"/>
                <w:sz w:val="24"/>
                <w:szCs w:val="24"/>
              </w:rPr>
            </w:pPr>
            <w:r>
              <w:rPr>
                <w:rFonts w:hint="eastAsia" w:ascii="仿宋_GB2312"/>
                <w:sz w:val="24"/>
                <w:szCs w:val="24"/>
              </w:rPr>
              <w:t>-0.66</w:t>
            </w:r>
          </w:p>
        </w:tc>
        <w:tc>
          <w:tcPr>
            <w:tcW w:w="1417" w:type="dxa"/>
          </w:tcPr>
          <w:p>
            <w:pPr>
              <w:ind w:firstLine="0" w:firstLineChars="0"/>
              <w:jc w:val="center"/>
              <w:rPr>
                <w:rFonts w:ascii="仿宋_GB2312"/>
                <w:sz w:val="24"/>
                <w:szCs w:val="24"/>
              </w:rPr>
            </w:pPr>
            <w:r>
              <w:rPr>
                <w:rFonts w:hint="eastAsia" w:ascii="仿宋_GB2312"/>
                <w:sz w:val="24"/>
                <w:szCs w:val="24"/>
              </w:rPr>
              <w:t>0</w:t>
            </w:r>
          </w:p>
        </w:tc>
      </w:tr>
    </w:tbl>
    <w:p>
      <w:pPr>
        <w:ind w:firstLine="643"/>
        <w:rPr>
          <w:rFonts w:ascii="仿宋_GB2312"/>
          <w:b/>
          <w:szCs w:val="32"/>
        </w:rPr>
      </w:pPr>
      <w:r>
        <w:rPr>
          <w:rFonts w:hint="eastAsia" w:ascii="仿宋_GB2312"/>
          <w:b/>
          <w:szCs w:val="32"/>
        </w:rPr>
        <w:t>（一）对比增减原因分析</w:t>
      </w:r>
    </w:p>
    <w:p>
      <w:pPr>
        <w:ind w:firstLine="643"/>
        <w:rPr>
          <w:rFonts w:ascii="仿宋_GB2312"/>
          <w:b/>
          <w:szCs w:val="32"/>
        </w:rPr>
      </w:pPr>
      <w:r>
        <w:rPr>
          <w:rFonts w:hint="eastAsia" w:ascii="仿宋_GB2312"/>
          <w:b/>
          <w:szCs w:val="32"/>
        </w:rPr>
        <w:t>1．</w:t>
      </w:r>
      <w:r>
        <w:rPr>
          <w:rFonts w:hint="eastAsia" w:ascii="仿宋_GB2312"/>
          <w:szCs w:val="32"/>
        </w:rPr>
        <w:t>2</w:t>
      </w:r>
      <w:r>
        <w:rPr>
          <w:rFonts w:ascii="仿宋_GB2312"/>
          <w:szCs w:val="32"/>
        </w:rPr>
        <w:t>017</w:t>
      </w:r>
      <w:r>
        <w:rPr>
          <w:rFonts w:hint="eastAsia" w:ascii="仿宋_GB2312"/>
          <w:szCs w:val="32"/>
        </w:rPr>
        <w:t>年度“三公经费”支出总额1.92万元，与年初预算相比减少0.66万元，</w:t>
      </w:r>
      <w:bookmarkStart w:id="16" w:name="OLE_LINK38"/>
      <w:bookmarkStart w:id="17" w:name="OLE_LINK39"/>
      <w:bookmarkStart w:id="18" w:name="OLE_LINK8"/>
      <w:bookmarkStart w:id="19" w:name="OLE_LINK10"/>
      <w:r>
        <w:rPr>
          <w:rFonts w:hint="eastAsia" w:ascii="仿宋_GB2312"/>
          <w:szCs w:val="32"/>
        </w:rPr>
        <w:t>降低25.58%</w:t>
      </w:r>
      <w:bookmarkEnd w:id="16"/>
      <w:bookmarkEnd w:id="17"/>
      <w:r>
        <w:rPr>
          <w:rFonts w:hint="eastAsia" w:ascii="仿宋_GB2312"/>
          <w:szCs w:val="32"/>
        </w:rPr>
        <w:t>，</w:t>
      </w:r>
      <w:bookmarkEnd w:id="18"/>
      <w:bookmarkEnd w:id="19"/>
      <w:r>
        <w:rPr>
          <w:rFonts w:hint="eastAsia" w:ascii="仿宋_GB2312"/>
          <w:szCs w:val="32"/>
        </w:rPr>
        <w:t>原因是：公务接待费支出为0</w:t>
      </w:r>
      <w:r>
        <w:rPr>
          <w:rFonts w:ascii="仿宋_GB2312"/>
          <w:szCs w:val="32"/>
        </w:rPr>
        <w:t>;</w:t>
      </w:r>
      <w:r>
        <w:rPr>
          <w:rFonts w:hint="eastAsia" w:ascii="仿宋_GB2312"/>
          <w:szCs w:val="32"/>
        </w:rPr>
        <w:t>与2</w:t>
      </w:r>
      <w:r>
        <w:rPr>
          <w:rFonts w:ascii="仿宋_GB2312"/>
          <w:szCs w:val="32"/>
        </w:rPr>
        <w:t>016</w:t>
      </w:r>
      <w:r>
        <w:rPr>
          <w:rFonts w:hint="eastAsia" w:ascii="仿宋_GB2312"/>
          <w:szCs w:val="32"/>
        </w:rPr>
        <w:t>年度决算数相比增加1.92万元，增长100%，原因是：2016年无公车预算，也无支出</w:t>
      </w:r>
    </w:p>
    <w:p>
      <w:pPr>
        <w:ind w:firstLine="643"/>
        <w:rPr>
          <w:rFonts w:ascii="仿宋_GB2312"/>
          <w:color w:val="000000" w:themeColor="text1"/>
          <w:szCs w:val="32"/>
          <w14:textFill>
            <w14:solidFill>
              <w14:schemeClr w14:val="tx1"/>
            </w14:solidFill>
          </w14:textFill>
        </w:rPr>
      </w:pPr>
      <w:r>
        <w:rPr>
          <w:rFonts w:hint="eastAsia" w:ascii="仿宋_GB2312"/>
          <w:b/>
          <w:szCs w:val="32"/>
        </w:rPr>
        <w:t>2．</w:t>
      </w:r>
      <w:r>
        <w:rPr>
          <w:rFonts w:hint="eastAsia" w:ascii="仿宋_GB2312"/>
          <w:szCs w:val="32"/>
        </w:rPr>
        <w:t>2</w:t>
      </w:r>
      <w:r>
        <w:rPr>
          <w:rFonts w:ascii="仿宋_GB2312"/>
          <w:szCs w:val="32"/>
        </w:rPr>
        <w:t>017</w:t>
      </w:r>
      <w:r>
        <w:rPr>
          <w:rFonts w:hint="eastAsia" w:ascii="仿宋_GB2312"/>
          <w:szCs w:val="32"/>
        </w:rPr>
        <w:t>年</w:t>
      </w:r>
      <w:bookmarkStart w:id="20" w:name="OLE_LINK17"/>
      <w:r>
        <w:rPr>
          <w:rFonts w:hint="eastAsia" w:ascii="仿宋_GB2312"/>
          <w:szCs w:val="32"/>
        </w:rPr>
        <w:t>度因公出国（境）</w:t>
      </w:r>
      <w:bookmarkStart w:id="21" w:name="OLE_LINK16"/>
      <w:bookmarkStart w:id="22" w:name="OLE_LINK15"/>
      <w:r>
        <w:rPr>
          <w:rFonts w:hint="eastAsia" w:ascii="仿宋_GB2312"/>
          <w:szCs w:val="32"/>
        </w:rPr>
        <w:t>费</w:t>
      </w:r>
      <w:bookmarkEnd w:id="20"/>
      <w:r>
        <w:rPr>
          <w:rFonts w:hint="eastAsia" w:ascii="仿宋_GB2312"/>
          <w:szCs w:val="32"/>
        </w:rPr>
        <w:t>0万元</w:t>
      </w:r>
      <w:bookmarkEnd w:id="21"/>
      <w:bookmarkEnd w:id="22"/>
      <w:r>
        <w:rPr>
          <w:rFonts w:hint="eastAsia" w:ascii="仿宋_GB2312"/>
          <w:szCs w:val="32"/>
        </w:rPr>
        <w:t>，年初预算也是0万元，</w:t>
      </w:r>
      <w:r>
        <w:rPr>
          <w:rFonts w:hint="eastAsia" w:ascii="仿宋_GB2312"/>
          <w:color w:val="000000" w:themeColor="text1"/>
          <w:szCs w:val="32"/>
          <w14:textFill>
            <w14:solidFill>
              <w14:schemeClr w14:val="tx1"/>
            </w14:solidFill>
          </w14:textFill>
        </w:rPr>
        <w:t>2016年度决算数为“0”，原因是：2017年未发生因公出国费用，年初预算未安排 ，2016年也未发生因公出国费用。</w:t>
      </w:r>
    </w:p>
    <w:p>
      <w:pPr>
        <w:ind w:firstLine="640"/>
        <w:rPr>
          <w:rFonts w:ascii="仿宋_GB2312"/>
          <w:szCs w:val="32"/>
        </w:rPr>
      </w:pPr>
      <w:r>
        <w:rPr>
          <w:rFonts w:hint="eastAsia" w:ascii="仿宋_GB2312"/>
          <w:b/>
          <w:szCs w:val="32"/>
        </w:rPr>
        <w:t>3．</w:t>
      </w:r>
      <w:r>
        <w:rPr>
          <w:rFonts w:hint="eastAsia" w:ascii="仿宋_GB2312"/>
          <w:szCs w:val="32"/>
        </w:rPr>
        <w:t>2</w:t>
      </w:r>
      <w:r>
        <w:rPr>
          <w:rFonts w:ascii="仿宋_GB2312"/>
          <w:szCs w:val="32"/>
        </w:rPr>
        <w:t>017</w:t>
      </w:r>
      <w:r>
        <w:rPr>
          <w:rFonts w:hint="eastAsia" w:ascii="仿宋_GB2312"/>
          <w:szCs w:val="32"/>
        </w:rPr>
        <w:t>年</w:t>
      </w:r>
      <w:bookmarkStart w:id="23" w:name="OLE_LINK18"/>
      <w:bookmarkStart w:id="24" w:name="OLE_LINK19"/>
      <w:r>
        <w:rPr>
          <w:rFonts w:hint="eastAsia" w:ascii="仿宋_GB2312"/>
          <w:szCs w:val="32"/>
        </w:rPr>
        <w:t>度公务用车购置及运行维护费</w:t>
      </w:r>
      <w:bookmarkEnd w:id="23"/>
      <w:bookmarkEnd w:id="24"/>
      <w:r>
        <w:rPr>
          <w:rFonts w:hint="eastAsia" w:ascii="仿宋_GB2312"/>
          <w:szCs w:val="32"/>
        </w:rPr>
        <w:t>1.92万元，与年初预算也是1.92万元，</w:t>
      </w:r>
      <w:r>
        <w:rPr>
          <w:rFonts w:hint="eastAsia" w:ascii="仿宋_GB2312"/>
          <w:color w:val="000000" w:themeColor="text1"/>
          <w:szCs w:val="32"/>
          <w14:textFill>
            <w14:solidFill>
              <w14:schemeClr w14:val="tx1"/>
            </w14:solidFill>
          </w14:textFill>
        </w:rPr>
        <w:t>与2016年度决算数也一致</w:t>
      </w:r>
      <w:r>
        <w:rPr>
          <w:rFonts w:hint="eastAsia" w:ascii="仿宋_GB2312"/>
          <w:color w:val="000000" w:themeColor="text1"/>
          <w:szCs w:val="32"/>
          <w:lang w:eastAsia="zh-CN"/>
          <w14:textFill>
            <w14:solidFill>
              <w14:schemeClr w14:val="tx1"/>
            </w14:solidFill>
          </w14:textFill>
        </w:rPr>
        <w:t>，</w:t>
      </w:r>
      <w:r>
        <w:rPr>
          <w:rFonts w:hint="eastAsia" w:ascii="仿宋_GB2312"/>
          <w:szCs w:val="32"/>
        </w:rPr>
        <w:t>不存在增减变动</w:t>
      </w:r>
      <w:r>
        <w:rPr>
          <w:rFonts w:hint="eastAsia" w:ascii="仿宋_GB2312"/>
          <w:szCs w:val="32"/>
          <w:lang w:eastAsia="zh-CN"/>
        </w:rPr>
        <w:t>，原因是两年支出数据相同。</w:t>
      </w:r>
    </w:p>
    <w:p>
      <w:pPr>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其中：公务用车购置费,</w:t>
      </w:r>
      <w:r>
        <w:rPr>
          <w:rFonts w:hint="eastAsia"/>
          <w:color w:val="000000" w:themeColor="text1"/>
          <w14:textFill>
            <w14:solidFill>
              <w14:schemeClr w14:val="tx1"/>
            </w14:solidFill>
          </w14:textFill>
        </w:rPr>
        <w:t xml:space="preserve"> </w:t>
      </w:r>
      <w:r>
        <w:rPr>
          <w:rFonts w:hint="eastAsia" w:ascii="仿宋_GB2312"/>
          <w:color w:val="000000" w:themeColor="text1"/>
          <w:szCs w:val="32"/>
          <w14:textFill>
            <w14:solidFill>
              <w14:schemeClr w14:val="tx1"/>
            </w14:solidFill>
          </w14:textFill>
        </w:rPr>
        <w:t>年初预算</w:t>
      </w:r>
      <w:r>
        <w:rPr>
          <w:rFonts w:hint="eastAsia" w:ascii="仿宋_GB2312"/>
          <w:color w:val="000000" w:themeColor="text1"/>
          <w:szCs w:val="32"/>
          <w:lang w:eastAsia="zh-CN"/>
          <w14:textFill>
            <w14:solidFill>
              <w14:schemeClr w14:val="tx1"/>
            </w14:solidFill>
          </w14:textFill>
        </w:rPr>
        <w:t>为</w:t>
      </w:r>
      <w:r>
        <w:rPr>
          <w:rFonts w:hint="eastAsia" w:ascii="仿宋_GB2312"/>
          <w:color w:val="000000" w:themeColor="text1"/>
          <w:szCs w:val="32"/>
          <w:lang w:val="en-US" w:eastAsia="zh-CN"/>
          <w14:textFill>
            <w14:solidFill>
              <w14:schemeClr w14:val="tx1"/>
            </w14:solidFill>
          </w14:textFill>
        </w:rPr>
        <w:t>0</w:t>
      </w:r>
      <w:r>
        <w:rPr>
          <w:rFonts w:hint="eastAsia" w:ascii="仿宋_GB2312"/>
          <w:color w:val="000000" w:themeColor="text1"/>
          <w:szCs w:val="32"/>
          <w14:textFill>
            <w14:solidFill>
              <w14:schemeClr w14:val="tx1"/>
            </w14:solidFill>
          </w14:textFill>
        </w:rPr>
        <w:t>万元，</w:t>
      </w:r>
      <w:r>
        <w:rPr>
          <w:rFonts w:hint="eastAsia" w:ascii="仿宋_GB2312"/>
          <w:color w:val="000000" w:themeColor="text1"/>
          <w:szCs w:val="32"/>
          <w:lang w:val="en-US" w:eastAsia="zh-CN"/>
          <w14:textFill>
            <w14:solidFill>
              <w14:schemeClr w14:val="tx1"/>
            </w14:solidFill>
          </w14:textFill>
        </w:rPr>
        <w:t>2016</w:t>
      </w:r>
      <w:r>
        <w:rPr>
          <w:rFonts w:hint="eastAsia" w:ascii="仿宋_GB2312"/>
          <w:color w:val="000000" w:themeColor="text1"/>
          <w:szCs w:val="32"/>
          <w14:textFill>
            <w14:solidFill>
              <w14:schemeClr w14:val="tx1"/>
            </w14:solidFill>
          </w14:textFill>
        </w:rPr>
        <w:t>年度决算数</w:t>
      </w:r>
      <w:r>
        <w:rPr>
          <w:rFonts w:hint="eastAsia" w:ascii="仿宋_GB2312"/>
          <w:color w:val="000000" w:themeColor="text1"/>
          <w:szCs w:val="32"/>
          <w:lang w:eastAsia="zh-CN"/>
          <w14:textFill>
            <w14:solidFill>
              <w14:schemeClr w14:val="tx1"/>
            </w14:solidFill>
          </w14:textFill>
        </w:rPr>
        <w:t>为</w:t>
      </w:r>
      <w:r>
        <w:rPr>
          <w:rFonts w:hint="eastAsia" w:ascii="仿宋_GB2312"/>
          <w:color w:val="000000" w:themeColor="text1"/>
          <w:szCs w:val="32"/>
          <w:lang w:val="en-US" w:eastAsia="zh-CN"/>
          <w14:textFill>
            <w14:solidFill>
              <w14:schemeClr w14:val="tx1"/>
            </w14:solidFill>
          </w14:textFill>
        </w:rPr>
        <w:t>0万元</w:t>
      </w:r>
      <w:r>
        <w:rPr>
          <w:rFonts w:hint="eastAsia" w:ascii="仿宋_GB2312"/>
          <w:color w:val="000000" w:themeColor="text1"/>
          <w:szCs w:val="32"/>
          <w14:textFill>
            <w14:solidFill>
              <w14:schemeClr w14:val="tx1"/>
            </w14:solidFill>
          </w14:textFill>
        </w:rPr>
        <w:t>，原因是：</w:t>
      </w:r>
      <w:r>
        <w:rPr>
          <w:rFonts w:hint="eastAsia" w:ascii="仿宋_GB2312"/>
          <w:color w:val="000000" w:themeColor="text1"/>
          <w:szCs w:val="32"/>
          <w:lang w:val="en-US" w:eastAsia="zh-CN"/>
          <w14:textFill>
            <w14:solidFill>
              <w14:schemeClr w14:val="tx1"/>
            </w14:solidFill>
          </w14:textFill>
        </w:rPr>
        <w:t>2017年度未发生公务用车购置费，年初预算未安排，2016年也未发生公务用车购置费用</w:t>
      </w:r>
      <w:r>
        <w:rPr>
          <w:rFonts w:hint="eastAsia" w:ascii="仿宋_GB2312"/>
          <w:color w:val="000000" w:themeColor="text1"/>
          <w:szCs w:val="32"/>
          <w14:textFill>
            <w14:solidFill>
              <w14:schemeClr w14:val="tx1"/>
            </w14:solidFill>
          </w14:textFill>
        </w:rPr>
        <w:t>。</w:t>
      </w:r>
    </w:p>
    <w:p>
      <w:pPr>
        <w:ind w:firstLine="640"/>
        <w:rPr>
          <w:rFonts w:hint="eastAsia" w:ascii="仿宋_GB2312" w:eastAsia="仿宋_GB2312"/>
          <w:color w:val="000000" w:themeColor="text1"/>
          <w:szCs w:val="32"/>
          <w:lang w:eastAsia="zh-CN"/>
          <w14:textFill>
            <w14:solidFill>
              <w14:schemeClr w14:val="tx1"/>
            </w14:solidFill>
          </w14:textFill>
        </w:rPr>
      </w:pPr>
      <w:r>
        <w:rPr>
          <w:rFonts w:hint="eastAsia" w:ascii="仿宋_GB2312"/>
          <w:color w:val="000000" w:themeColor="text1"/>
          <w:szCs w:val="32"/>
          <w14:textFill>
            <w14:solidFill>
              <w14:schemeClr w14:val="tx1"/>
            </w14:solidFill>
          </w14:textFill>
        </w:rPr>
        <w:t>其中：公务用车维护费1.92万元,与年初预算一致，与2016年度决算数也一致</w:t>
      </w:r>
      <w:r>
        <w:rPr>
          <w:rFonts w:hint="eastAsia" w:ascii="仿宋_GB2312"/>
          <w:color w:val="000000" w:themeColor="text1"/>
          <w:szCs w:val="32"/>
          <w:lang w:eastAsia="zh-CN"/>
          <w14:textFill>
            <w14:solidFill>
              <w14:schemeClr w14:val="tx1"/>
            </w14:solidFill>
          </w14:textFill>
        </w:rPr>
        <w:t>，</w:t>
      </w:r>
      <w:r>
        <w:rPr>
          <w:rFonts w:hint="eastAsia" w:ascii="仿宋_GB2312"/>
          <w:szCs w:val="32"/>
        </w:rPr>
        <w:t>不存在增减变动</w:t>
      </w:r>
      <w:r>
        <w:rPr>
          <w:rFonts w:hint="eastAsia" w:ascii="仿宋_GB2312"/>
          <w:szCs w:val="32"/>
          <w:lang w:eastAsia="zh-CN"/>
        </w:rPr>
        <w:t>，原因是两年支出数据相同。</w:t>
      </w:r>
    </w:p>
    <w:p>
      <w:pPr>
        <w:ind w:firstLine="643"/>
        <w:rPr>
          <w:rFonts w:ascii="仿宋_GB2312"/>
          <w:szCs w:val="32"/>
        </w:rPr>
      </w:pPr>
      <w:r>
        <w:rPr>
          <w:rFonts w:hint="eastAsia" w:ascii="仿宋_GB2312"/>
          <w:b/>
          <w:szCs w:val="32"/>
        </w:rPr>
        <w:t>4．</w:t>
      </w:r>
      <w:r>
        <w:rPr>
          <w:rFonts w:hint="eastAsia" w:ascii="仿宋_GB2312"/>
          <w:szCs w:val="32"/>
        </w:rPr>
        <w:t>2</w:t>
      </w:r>
      <w:r>
        <w:rPr>
          <w:rFonts w:ascii="仿宋_GB2312"/>
          <w:szCs w:val="32"/>
        </w:rPr>
        <w:t>017</w:t>
      </w:r>
      <w:r>
        <w:rPr>
          <w:rFonts w:hint="eastAsia" w:ascii="仿宋_GB2312"/>
          <w:szCs w:val="32"/>
        </w:rPr>
        <w:t>年</w:t>
      </w:r>
      <w:bookmarkStart w:id="25" w:name="OLE_LINK20"/>
      <w:r>
        <w:rPr>
          <w:rFonts w:hint="eastAsia" w:ascii="仿宋_GB2312"/>
          <w:szCs w:val="32"/>
        </w:rPr>
        <w:t>度公务接待费</w:t>
      </w:r>
      <w:bookmarkEnd w:id="25"/>
      <w:r>
        <w:rPr>
          <w:rFonts w:hint="eastAsia" w:ascii="仿宋_GB2312"/>
          <w:szCs w:val="32"/>
        </w:rPr>
        <w:t>0万元，与年初预算相比减少0.66万元，降低</w:t>
      </w:r>
      <w:bookmarkStart w:id="26" w:name="OLE_LINK43"/>
      <w:bookmarkStart w:id="27" w:name="OLE_LINK40"/>
      <w:bookmarkStart w:id="28" w:name="OLE_LINK41"/>
      <w:bookmarkStart w:id="29" w:name="OLE_LINK42"/>
      <w:r>
        <w:rPr>
          <w:rFonts w:hint="eastAsia" w:ascii="仿宋_GB2312"/>
          <w:szCs w:val="32"/>
        </w:rPr>
        <w:t>100%</w:t>
      </w:r>
      <w:bookmarkEnd w:id="26"/>
      <w:bookmarkEnd w:id="27"/>
      <w:bookmarkEnd w:id="28"/>
      <w:bookmarkEnd w:id="29"/>
      <w:r>
        <w:rPr>
          <w:rFonts w:hint="eastAsia" w:ascii="仿宋_GB2312"/>
          <w:szCs w:val="32"/>
        </w:rPr>
        <w:t>，原因是：无公务接待支出，与2</w:t>
      </w:r>
      <w:r>
        <w:rPr>
          <w:rFonts w:ascii="仿宋_GB2312"/>
          <w:szCs w:val="32"/>
        </w:rPr>
        <w:t>016</w:t>
      </w:r>
      <w:r>
        <w:rPr>
          <w:rFonts w:hint="eastAsia" w:ascii="仿宋_GB2312"/>
          <w:szCs w:val="32"/>
        </w:rPr>
        <w:t>年度决算数一致。</w:t>
      </w:r>
    </w:p>
    <w:p>
      <w:pPr>
        <w:ind w:firstLine="643"/>
        <w:rPr>
          <w:rFonts w:ascii="仿宋" w:hAnsi="仿宋" w:eastAsia="仿宋"/>
          <w:b/>
          <w:szCs w:val="32"/>
        </w:rPr>
      </w:pPr>
      <w:r>
        <w:rPr>
          <w:rFonts w:hint="eastAsia" w:ascii="仿宋" w:hAnsi="仿宋" w:eastAsia="仿宋"/>
          <w:b/>
          <w:szCs w:val="32"/>
        </w:rPr>
        <w:t>（二）2</w:t>
      </w:r>
      <w:r>
        <w:rPr>
          <w:rFonts w:ascii="仿宋" w:hAnsi="仿宋" w:eastAsia="仿宋"/>
          <w:b/>
          <w:szCs w:val="32"/>
        </w:rPr>
        <w:t>017</w:t>
      </w:r>
      <w:r>
        <w:rPr>
          <w:rFonts w:hint="eastAsia" w:ascii="仿宋" w:hAnsi="仿宋" w:eastAsia="仿宋"/>
          <w:b/>
          <w:szCs w:val="32"/>
        </w:rPr>
        <w:t>年度“三公”经费支出相关情况说明。</w:t>
      </w:r>
    </w:p>
    <w:p>
      <w:pPr>
        <w:ind w:firstLine="640"/>
        <w:rPr>
          <w:rFonts w:ascii="仿宋_GB2312"/>
          <w:szCs w:val="32"/>
        </w:rPr>
      </w:pPr>
      <w:r>
        <w:rPr>
          <w:rFonts w:hint="eastAsia" w:ascii="仿宋_GB2312"/>
          <w:szCs w:val="32"/>
        </w:rPr>
        <w:t>1．公务用车购置数量为0辆，公务用车保有量1辆；</w:t>
      </w:r>
    </w:p>
    <w:p>
      <w:pPr>
        <w:ind w:firstLine="640"/>
        <w:rPr>
          <w:rFonts w:ascii="仿宋_GB2312"/>
          <w:szCs w:val="32"/>
        </w:rPr>
      </w:pPr>
      <w:r>
        <w:rPr>
          <w:rFonts w:hint="eastAsia" w:ascii="仿宋_GB2312"/>
          <w:szCs w:val="32"/>
        </w:rPr>
        <w:t>2．因公出国（境）团组0个，0人次；</w:t>
      </w:r>
    </w:p>
    <w:p>
      <w:pPr>
        <w:ind w:firstLine="640"/>
        <w:rPr>
          <w:rFonts w:ascii="仿宋_GB2312"/>
          <w:szCs w:val="32"/>
        </w:rPr>
      </w:pPr>
      <w:r>
        <w:rPr>
          <w:rFonts w:hint="eastAsia" w:ascii="仿宋_GB2312"/>
          <w:szCs w:val="32"/>
        </w:rPr>
        <w:t>3．公务接待批次0批次，0人次。</w:t>
      </w:r>
    </w:p>
    <w:p>
      <w:pPr>
        <w:ind w:firstLine="643"/>
        <w:rPr>
          <w:rFonts w:ascii="楷体" w:hAnsi="楷体" w:eastAsia="楷体"/>
          <w:b/>
          <w:szCs w:val="32"/>
        </w:rPr>
      </w:pPr>
      <w:r>
        <w:rPr>
          <w:rFonts w:hint="eastAsia" w:ascii="楷体" w:hAnsi="楷体" w:eastAsia="楷体"/>
          <w:b/>
          <w:szCs w:val="32"/>
        </w:rPr>
        <w:t>六、绩效预算情况说明</w:t>
      </w:r>
    </w:p>
    <w:p>
      <w:pPr>
        <w:ind w:firstLine="640"/>
        <w:rPr>
          <w:rFonts w:ascii="仿宋" w:hAnsi="仿宋" w:eastAsia="仿宋" w:cs="仿宋_GB2312"/>
          <w:szCs w:val="32"/>
        </w:rPr>
      </w:pPr>
      <w:r>
        <w:rPr>
          <w:rFonts w:hint="eastAsia" w:ascii="仿宋_GB2312"/>
          <w:szCs w:val="32"/>
        </w:rPr>
        <w:t>部门决算量化评价说明。</w:t>
      </w:r>
      <w:r>
        <w:rPr>
          <w:rFonts w:hint="eastAsia" w:ascii="仿宋" w:hAnsi="仿宋" w:eastAsia="仿宋" w:cs="仿宋_GB2312"/>
          <w:szCs w:val="32"/>
        </w:rPr>
        <w:t>由于2017年的创城，旅发大会的进行，指标变动较大，所以绩效预算执行情况分数比较低。</w:t>
      </w:r>
    </w:p>
    <w:p>
      <w:pPr>
        <w:ind w:firstLine="640"/>
        <w:rPr>
          <w:rFonts w:ascii="仿宋" w:hAnsi="仿宋" w:eastAsia="仿宋"/>
        </w:rPr>
      </w:pPr>
      <w:r>
        <w:rPr>
          <w:rFonts w:hint="eastAsia" w:ascii="仿宋" w:hAnsi="仿宋" w:eastAsia="仿宋" w:cs="仿宋_GB2312"/>
          <w:szCs w:val="32"/>
        </w:rPr>
        <w:t>我部门绩效预算执行情况通过部门决算软件进行测评后得分为69.5分，主要扣分及原因为：1、财政拨款收入预决算差异率扣10分，原因为一是2017年预算执行中我部门收到上级专项资金771.55万元；二是当年基本工资标准进行调整人员性支出大幅增加等原因导致我部门本年实际收入大于年初预算。2、年初结转和结余预决算差异率扣5分，原因同一。3、人员经费预决算差异扣3分，这要原因是调资。4、公用经费预决算差异率扣1.5分，原因为本年实际收入增加导致支出增加，同比年初支出预算差异率增大。5、财政拨款结转和结余率扣0.5分，年末结转结余85.46万元。6、财政收回存量资金占上年财政拨款结转和结余比重扣3分，原因为财政收回存量资金104.12万元7、资产类往来款变动率扣3.5分，原因为往来款项数额大。7、在职人员控制率扣3分，在职人员比编制数多5人。8、一般公共预算财政拨款不（补助）人员增减率扣1分，原因从抚宁区划转来12个打击盗采人员。</w:t>
      </w:r>
    </w:p>
    <w:p>
      <w:pPr>
        <w:ind w:firstLine="643"/>
        <w:rPr>
          <w:rFonts w:ascii="楷体" w:hAnsi="楷体" w:eastAsia="楷体"/>
          <w:b/>
          <w:szCs w:val="32"/>
        </w:rPr>
      </w:pPr>
      <w:r>
        <w:rPr>
          <w:rFonts w:hint="eastAsia" w:ascii="楷体" w:hAnsi="楷体" w:eastAsia="楷体"/>
          <w:b/>
          <w:szCs w:val="32"/>
        </w:rPr>
        <w:t>七、其他重要事项的情况说明。</w:t>
      </w:r>
    </w:p>
    <w:p>
      <w:pPr>
        <w:ind w:firstLine="643"/>
        <w:rPr>
          <w:rFonts w:ascii="仿宋_GB2312"/>
          <w:szCs w:val="32"/>
        </w:rPr>
      </w:pPr>
      <w:r>
        <w:rPr>
          <w:rFonts w:hint="eastAsia" w:ascii="仿宋" w:hAnsi="仿宋" w:eastAsia="仿宋"/>
          <w:b/>
          <w:szCs w:val="32"/>
        </w:rPr>
        <w:t>1．机关运行经费支出情况的说明。</w:t>
      </w:r>
      <w:r>
        <w:rPr>
          <w:rFonts w:hint="eastAsia" w:ascii="仿宋_GB2312"/>
          <w:szCs w:val="32"/>
        </w:rPr>
        <w:t>201</w:t>
      </w:r>
      <w:r>
        <w:rPr>
          <w:rFonts w:ascii="仿宋_GB2312"/>
          <w:szCs w:val="32"/>
        </w:rPr>
        <w:t>7</w:t>
      </w:r>
      <w:r>
        <w:rPr>
          <w:rFonts w:hint="eastAsia" w:ascii="仿宋_GB2312"/>
          <w:szCs w:val="32"/>
        </w:rPr>
        <w:t>年度本部门机关运行经费支出86.98万元，比201</w:t>
      </w:r>
      <w:r>
        <w:rPr>
          <w:rFonts w:ascii="仿宋_GB2312"/>
          <w:szCs w:val="32"/>
        </w:rPr>
        <w:t>6</w:t>
      </w:r>
      <w:r>
        <w:rPr>
          <w:rFonts w:hint="eastAsia" w:ascii="仿宋_GB2312"/>
          <w:szCs w:val="32"/>
        </w:rPr>
        <w:t>年62.44万元度增加24.54万元，</w:t>
      </w:r>
      <w:bookmarkStart w:id="30" w:name="OLE_LINK6"/>
      <w:r>
        <w:rPr>
          <w:rFonts w:hint="eastAsia" w:ascii="仿宋_GB2312"/>
          <w:szCs w:val="32"/>
        </w:rPr>
        <w:t>增长39.30%</w:t>
      </w:r>
      <w:bookmarkEnd w:id="30"/>
      <w:r>
        <w:rPr>
          <w:rFonts w:hint="eastAsia" w:ascii="仿宋_GB2312"/>
          <w:szCs w:val="32"/>
        </w:rPr>
        <w:t>。主要原因是：2017年创城、旅发大会和拆违事项相应增加单位经费支出。</w:t>
      </w:r>
    </w:p>
    <w:p>
      <w:pPr>
        <w:ind w:firstLine="643"/>
        <w:rPr>
          <w:rFonts w:ascii="仿宋_GB2312"/>
          <w:szCs w:val="32"/>
        </w:rPr>
      </w:pPr>
      <w:r>
        <w:rPr>
          <w:rFonts w:hint="eastAsia" w:ascii="仿宋" w:hAnsi="仿宋" w:eastAsia="仿宋"/>
          <w:b/>
          <w:szCs w:val="32"/>
        </w:rPr>
        <w:t>2．政府采购情况的说明。</w:t>
      </w:r>
      <w:r>
        <w:rPr>
          <w:rFonts w:hint="eastAsia" w:ascii="仿宋_GB2312"/>
          <w:szCs w:val="32"/>
        </w:rPr>
        <w:t>201</w:t>
      </w:r>
      <w:r>
        <w:rPr>
          <w:rFonts w:ascii="仿宋_GB2312"/>
          <w:szCs w:val="32"/>
        </w:rPr>
        <w:t>7</w:t>
      </w:r>
      <w:r>
        <w:rPr>
          <w:rFonts w:hint="eastAsia" w:ascii="仿宋_GB2312"/>
          <w:szCs w:val="32"/>
        </w:rPr>
        <w:t>年度本部门政府采购支出总额590.73万元，其中：政府采购货物支出36.44万元、政府采购工程支出214.84万元、政府采购服务支出339.45万元。</w:t>
      </w:r>
    </w:p>
    <w:p>
      <w:pPr>
        <w:ind w:firstLine="643"/>
        <w:rPr>
          <w:rFonts w:ascii="仿宋" w:hAnsi="仿宋" w:eastAsia="仿宋"/>
          <w:b/>
          <w:szCs w:val="32"/>
        </w:rPr>
      </w:pPr>
      <w:r>
        <w:rPr>
          <w:rFonts w:hint="eastAsia" w:ascii="仿宋" w:hAnsi="仿宋" w:eastAsia="仿宋"/>
          <w:b/>
          <w:szCs w:val="32"/>
        </w:rPr>
        <w:t>3．国有资产占用情况。</w:t>
      </w:r>
    </w:p>
    <w:p>
      <w:pPr>
        <w:ind w:firstLine="643"/>
        <w:rPr>
          <w:rFonts w:ascii="仿宋" w:hAnsi="仿宋" w:eastAsia="仿宋"/>
          <w:b/>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985" w:right="1531" w:bottom="1701" w:left="1531" w:header="851" w:footer="992" w:gutter="0"/>
          <w:cols w:space="425" w:num="1"/>
          <w:docGrid w:type="lines" w:linePitch="312" w:charSpace="0"/>
        </w:sectPr>
      </w:pPr>
    </w:p>
    <w:tbl>
      <w:tblPr>
        <w:tblStyle w:val="4"/>
        <w:tblW w:w="15146" w:type="dxa"/>
        <w:jc w:val="center"/>
        <w:tblInd w:w="0" w:type="dxa"/>
        <w:tblLayout w:type="fixed"/>
        <w:tblCellMar>
          <w:top w:w="0" w:type="dxa"/>
          <w:left w:w="108" w:type="dxa"/>
          <w:bottom w:w="0" w:type="dxa"/>
          <w:right w:w="108" w:type="dxa"/>
        </w:tblCellMar>
      </w:tblPr>
      <w:tblGrid>
        <w:gridCol w:w="4586"/>
        <w:gridCol w:w="656"/>
        <w:gridCol w:w="876"/>
        <w:gridCol w:w="876"/>
        <w:gridCol w:w="986"/>
        <w:gridCol w:w="986"/>
        <w:gridCol w:w="4642"/>
        <w:gridCol w:w="656"/>
        <w:gridCol w:w="882"/>
      </w:tblGrid>
      <w:tr>
        <w:tblPrEx>
          <w:tblLayout w:type="fixed"/>
          <w:tblCellMar>
            <w:top w:w="0" w:type="dxa"/>
            <w:left w:w="108" w:type="dxa"/>
            <w:bottom w:w="0" w:type="dxa"/>
            <w:right w:w="108" w:type="dxa"/>
          </w:tblCellMar>
        </w:tblPrEx>
        <w:trPr>
          <w:trHeight w:val="402" w:hRule="atLeast"/>
          <w:jc w:val="center"/>
        </w:trPr>
        <w:tc>
          <w:tcPr>
            <w:tcW w:w="45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项　　目</w:t>
            </w:r>
          </w:p>
        </w:tc>
        <w:tc>
          <w:tcPr>
            <w:tcW w:w="656"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752"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数量</w:t>
            </w:r>
          </w:p>
        </w:tc>
        <w:tc>
          <w:tcPr>
            <w:tcW w:w="1972"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价值（万元）</w:t>
            </w:r>
          </w:p>
        </w:tc>
        <w:tc>
          <w:tcPr>
            <w:tcW w:w="6180" w:type="dxa"/>
            <w:gridSpan w:val="3"/>
            <w:tcBorders>
              <w:top w:val="single" w:color="000000" w:sz="4" w:space="0"/>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xml:space="preserve">补充资料 </w:t>
            </w:r>
          </w:p>
        </w:tc>
      </w:tr>
      <w:tr>
        <w:tblPrEx>
          <w:tblLayout w:type="fixed"/>
          <w:tblCellMar>
            <w:top w:w="0" w:type="dxa"/>
            <w:left w:w="108" w:type="dxa"/>
            <w:bottom w:w="0" w:type="dxa"/>
            <w:right w:w="108" w:type="dxa"/>
          </w:tblCellMar>
        </w:tblPrEx>
        <w:trPr>
          <w:trHeight w:val="308" w:hRule="atLeast"/>
          <w:jc w:val="center"/>
        </w:trPr>
        <w:tc>
          <w:tcPr>
            <w:tcW w:w="4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656"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6180" w:type="dxa"/>
            <w:gridSpan w:val="3"/>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8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464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882" w:type="dxa"/>
            <w:tcBorders>
              <w:top w:val="nil"/>
              <w:left w:val="nil"/>
              <w:bottom w:val="single" w:color="000000" w:sz="4" w:space="0"/>
              <w:right w:val="single" w:color="000000" w:sz="8" w:space="0"/>
            </w:tcBorders>
            <w:shd w:val="clear" w:color="FFFFFF" w:fill="C0C0C0"/>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r>
      <w:tr>
        <w:tblPrEx>
          <w:tblLayout w:type="fixed"/>
          <w:tblCellMar>
            <w:top w:w="0" w:type="dxa"/>
            <w:left w:w="108" w:type="dxa"/>
            <w:bottom w:w="0" w:type="dxa"/>
            <w:right w:w="108" w:type="dxa"/>
          </w:tblCellMar>
        </w:tblPrEx>
        <w:trPr>
          <w:trHeight w:val="308" w:hRule="atLeast"/>
          <w:jc w:val="center"/>
        </w:trPr>
        <w:tc>
          <w:tcPr>
            <w:tcW w:w="458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资产总额</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1652.02</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1340.22</w:t>
            </w:r>
          </w:p>
        </w:tc>
        <w:tc>
          <w:tcPr>
            <w:tcW w:w="464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一、本年坏账损失金额</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882"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8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一、流动资产</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1314.42</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1083.46</w:t>
            </w:r>
          </w:p>
        </w:tc>
        <w:tc>
          <w:tcPr>
            <w:tcW w:w="464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二、危房面积（平方米）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24</w:t>
            </w:r>
          </w:p>
        </w:tc>
        <w:tc>
          <w:tcPr>
            <w:tcW w:w="882"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8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二、固定资产</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247.60</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256.77</w:t>
            </w:r>
          </w:p>
        </w:tc>
        <w:tc>
          <w:tcPr>
            <w:tcW w:w="464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（一）上年年末数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25</w:t>
            </w:r>
          </w:p>
        </w:tc>
        <w:tc>
          <w:tcPr>
            <w:tcW w:w="882"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8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bookmarkStart w:id="31" w:name="_Hlk3187520"/>
            <w:r>
              <w:rPr>
                <w:rFonts w:hint="eastAsia" w:ascii="宋体" w:hAnsi="宋体" w:eastAsia="宋体" w:cs="Arial"/>
                <w:color w:val="000000"/>
                <w:kern w:val="0"/>
                <w:sz w:val="22"/>
              </w:rPr>
              <w:t xml:space="preserve">  （一）房屋（平方米）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14.83</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14.83</w:t>
            </w:r>
          </w:p>
        </w:tc>
        <w:tc>
          <w:tcPr>
            <w:tcW w:w="464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（二）本年增加数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26</w:t>
            </w:r>
          </w:p>
        </w:tc>
        <w:tc>
          <w:tcPr>
            <w:tcW w:w="882"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8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1.办公用房</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14.83</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14.83</w:t>
            </w:r>
          </w:p>
        </w:tc>
        <w:tc>
          <w:tcPr>
            <w:tcW w:w="464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（三）本年减少数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882"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8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2.业务用房</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4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其中：本年修复数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882"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8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3.其他（不含构筑物）</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4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（四）年末数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882"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8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（二）车辆（台、辆）</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5</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4</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157.73</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157.56</w:t>
            </w:r>
          </w:p>
        </w:tc>
        <w:tc>
          <w:tcPr>
            <w:tcW w:w="464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三、年末单位负担费用的供暖面积（平方米）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882"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2638</w:t>
            </w:r>
          </w:p>
        </w:tc>
      </w:tr>
      <w:tr>
        <w:tblPrEx>
          <w:tblLayout w:type="fixed"/>
          <w:tblCellMar>
            <w:top w:w="0" w:type="dxa"/>
            <w:left w:w="108" w:type="dxa"/>
            <w:bottom w:w="0" w:type="dxa"/>
            <w:right w:w="108" w:type="dxa"/>
          </w:tblCellMar>
        </w:tblPrEx>
        <w:trPr>
          <w:trHeight w:val="77" w:hRule="atLeast"/>
          <w:jc w:val="center"/>
        </w:trPr>
        <w:tc>
          <w:tcPr>
            <w:tcW w:w="458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1.轿车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16.56</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16.56</w:t>
            </w:r>
          </w:p>
        </w:tc>
        <w:tc>
          <w:tcPr>
            <w:tcW w:w="464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四、年末单位出租出借房屋面积（平方米）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882"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8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2.越野车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4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五、年末单位土地证证载面积（平方米）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882"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8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3.小型载客汽车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4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六、年末单位车辆工作用途情况（台、辆）</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882"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4</w:t>
            </w:r>
          </w:p>
        </w:tc>
      </w:tr>
      <w:tr>
        <w:tblPrEx>
          <w:tblLayout w:type="fixed"/>
          <w:tblCellMar>
            <w:top w:w="0" w:type="dxa"/>
            <w:left w:w="108" w:type="dxa"/>
            <w:bottom w:w="0" w:type="dxa"/>
            <w:right w:w="108" w:type="dxa"/>
          </w:tblCellMar>
        </w:tblPrEx>
        <w:trPr>
          <w:trHeight w:val="308" w:hRule="atLeast"/>
          <w:jc w:val="center"/>
        </w:trPr>
        <w:tc>
          <w:tcPr>
            <w:tcW w:w="458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4.大中型载客汽车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4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1.副部（省）级及以上领导用车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882"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8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5.其他车型</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4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3　</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4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2.一般公务用车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882"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w:t>
            </w:r>
          </w:p>
        </w:tc>
      </w:tr>
      <w:tr>
        <w:tblPrEx>
          <w:tblLayout w:type="fixed"/>
          <w:tblCellMar>
            <w:top w:w="0" w:type="dxa"/>
            <w:left w:w="108" w:type="dxa"/>
            <w:bottom w:w="0" w:type="dxa"/>
            <w:right w:w="108" w:type="dxa"/>
          </w:tblCellMar>
        </w:tblPrEx>
        <w:trPr>
          <w:trHeight w:val="308" w:hRule="atLeast"/>
          <w:jc w:val="center"/>
        </w:trPr>
        <w:tc>
          <w:tcPr>
            <w:tcW w:w="458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（三）单价50万元（含）以上的通用设备</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66</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4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3.一般执法执勤用车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882"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8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right="-10090" w:rightChars="-3153"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（四）单价100万元（含）以上的专用设备</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4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4.特种专业技术用车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882"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8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（五）其他固定资产</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9.03</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8.44</w:t>
            </w:r>
          </w:p>
        </w:tc>
        <w:tc>
          <w:tcPr>
            <w:tcW w:w="464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5.其他用车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882"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3　</w:t>
            </w:r>
          </w:p>
        </w:tc>
      </w:tr>
      <w:bookmarkEnd w:id="31"/>
      <w:tr>
        <w:tblPrEx>
          <w:tblLayout w:type="fixed"/>
          <w:tblCellMar>
            <w:top w:w="0" w:type="dxa"/>
            <w:left w:w="108" w:type="dxa"/>
            <w:bottom w:w="0" w:type="dxa"/>
            <w:right w:w="108" w:type="dxa"/>
          </w:tblCellMar>
        </w:tblPrEx>
        <w:trPr>
          <w:trHeight w:val="308" w:hRule="atLeast"/>
          <w:jc w:val="center"/>
        </w:trPr>
        <w:tc>
          <w:tcPr>
            <w:tcW w:w="458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减：累计折旧及减值准备</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4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882"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8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三、长期投资</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4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882"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8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四、在建工程</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4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882"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8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五、无形资产</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4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882"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8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减：累计摊销</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4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882"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86" w:type="dxa"/>
            <w:tcBorders>
              <w:top w:val="nil"/>
              <w:left w:val="single" w:color="000000" w:sz="4" w:space="0"/>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六、其他资产</w:t>
            </w:r>
          </w:p>
        </w:tc>
        <w:tc>
          <w:tcPr>
            <w:tcW w:w="65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87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8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8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42"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882" w:type="dxa"/>
            <w:tcBorders>
              <w:top w:val="nil"/>
              <w:left w:val="nil"/>
              <w:bottom w:val="single" w:color="000000" w:sz="8"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bl>
    <w:p>
      <w:pPr>
        <w:widowControl/>
        <w:spacing w:line="240" w:lineRule="auto"/>
        <w:ind w:firstLine="0" w:firstLineChars="0"/>
        <w:jc w:val="left"/>
        <w:rPr>
          <w:rFonts w:ascii="仿宋" w:hAnsi="仿宋" w:eastAsia="仿宋"/>
          <w:b/>
          <w:szCs w:val="32"/>
        </w:rPr>
        <w:sectPr>
          <w:pgSz w:w="16838" w:h="11906" w:orient="landscape"/>
          <w:pgMar w:top="1531" w:right="1985" w:bottom="1531" w:left="1985" w:header="851" w:footer="992" w:gutter="0"/>
          <w:cols w:space="425" w:num="1"/>
          <w:docGrid w:type="lines" w:linePitch="312" w:charSpace="0"/>
        </w:sectPr>
      </w:pPr>
      <w:r>
        <w:rPr>
          <w:rFonts w:ascii="仿宋" w:hAnsi="仿宋" w:eastAsia="仿宋"/>
          <w:b/>
          <w:szCs w:val="32"/>
        </w:rPr>
        <w:br w:type="page"/>
      </w:r>
    </w:p>
    <w:p>
      <w:pPr>
        <w:ind w:firstLine="640"/>
        <w:rPr>
          <w:rFonts w:hint="eastAsia" w:ascii="仿宋_GB2312" w:eastAsia="仿宋_GB2312"/>
          <w:color w:val="FF0000"/>
          <w:szCs w:val="32"/>
          <w:lang w:eastAsia="zh-CN"/>
        </w:rPr>
      </w:pPr>
      <w:r>
        <w:rPr>
          <w:rFonts w:hint="eastAsia" w:ascii="仿宋_GB2312"/>
          <w:color w:val="auto"/>
          <w:szCs w:val="32"/>
        </w:rPr>
        <w:t>截至201</w:t>
      </w:r>
      <w:r>
        <w:rPr>
          <w:rFonts w:ascii="仿宋_GB2312"/>
          <w:color w:val="auto"/>
          <w:szCs w:val="32"/>
        </w:rPr>
        <w:t>7</w:t>
      </w:r>
      <w:r>
        <w:rPr>
          <w:rFonts w:hint="eastAsia" w:ascii="仿宋_GB2312"/>
          <w:color w:val="auto"/>
          <w:szCs w:val="32"/>
        </w:rPr>
        <w:t>年12月31日，固定资产256.77万元，与2016年相比增加9.17万元，主要原因是：通用设备新增，划拨和新购增加</w:t>
      </w:r>
      <w:r>
        <w:rPr>
          <w:rFonts w:hint="eastAsia" w:ascii="仿宋_GB2312"/>
          <w:color w:val="auto"/>
          <w:szCs w:val="32"/>
          <w:lang w:eastAsia="zh-CN"/>
        </w:rPr>
        <w:t>。</w:t>
      </w:r>
    </w:p>
    <w:p>
      <w:pPr>
        <w:ind w:firstLine="640"/>
        <w:rPr>
          <w:rFonts w:ascii="仿宋" w:hAnsi="仿宋" w:eastAsia="仿宋" w:cs="仿宋_GB2312"/>
          <w:szCs w:val="32"/>
        </w:rPr>
      </w:pPr>
      <w:r>
        <w:rPr>
          <w:rFonts w:hint="eastAsia" w:ascii="仿宋_GB2312"/>
          <w:szCs w:val="32"/>
        </w:rPr>
        <w:t>本部门共有</w:t>
      </w:r>
      <w:r>
        <w:rPr>
          <w:rFonts w:hint="eastAsia" w:ascii="仿宋" w:hAnsi="仿宋" w:eastAsia="仿宋" w:cs="仿宋_GB2312"/>
          <w:szCs w:val="32"/>
        </w:rPr>
        <w:t>本部门共有车辆4辆，原值157.56万元，其中，一般公务用车1辆，其他车辆3辆，其他车辆是3辆清洁车辆；单位无价值200万元以上大型设备。</w:t>
      </w:r>
    </w:p>
    <w:p>
      <w:pPr>
        <w:widowControl/>
        <w:spacing w:line="580" w:lineRule="exact"/>
        <w:ind w:firstLine="643"/>
        <w:rPr>
          <w:rFonts w:ascii="仿宋" w:hAnsi="仿宋" w:eastAsia="仿宋"/>
          <w:b/>
          <w:szCs w:val="32"/>
        </w:rPr>
      </w:pPr>
      <w:r>
        <w:rPr>
          <w:rFonts w:ascii="仿宋" w:hAnsi="仿宋" w:eastAsia="仿宋"/>
          <w:b/>
          <w:szCs w:val="32"/>
        </w:rPr>
        <w:t>4</w:t>
      </w:r>
      <w:r>
        <w:rPr>
          <w:rFonts w:hint="eastAsia" w:ascii="仿宋" w:hAnsi="仿宋" w:eastAsia="仿宋"/>
          <w:b/>
          <w:szCs w:val="32"/>
        </w:rPr>
        <w:t>．</w:t>
      </w:r>
      <w:r>
        <w:rPr>
          <w:rFonts w:ascii="仿宋" w:hAnsi="仿宋" w:eastAsia="仿宋"/>
          <w:b/>
          <w:szCs w:val="32"/>
        </w:rPr>
        <w:t>其他需要说明的情况</w:t>
      </w:r>
      <w:r>
        <w:rPr>
          <w:rFonts w:hint="eastAsia" w:ascii="仿宋" w:hAnsi="仿宋" w:eastAsia="仿宋"/>
          <w:b/>
          <w:szCs w:val="32"/>
        </w:rPr>
        <w:t>。</w:t>
      </w:r>
    </w:p>
    <w:p>
      <w:pPr>
        <w:ind w:firstLine="640"/>
        <w:rPr>
          <w:rFonts w:ascii="仿宋" w:hAnsi="仿宋" w:eastAsia="仿宋"/>
          <w:szCs w:val="32"/>
        </w:rPr>
      </w:pPr>
      <w:r>
        <w:rPr>
          <w:rFonts w:hint="eastAsia" w:ascii="仿宋" w:hAnsi="仿宋" w:eastAsia="仿宋"/>
          <w:szCs w:val="32"/>
        </w:rPr>
        <w:t>会议费支出情况。</w:t>
      </w:r>
      <w:bookmarkStart w:id="32" w:name="OLE_LINK46"/>
      <w:bookmarkStart w:id="33" w:name="OLE_LINK47"/>
      <w:r>
        <w:rPr>
          <w:rFonts w:hint="eastAsia" w:ascii="仿宋" w:hAnsi="仿宋" w:eastAsia="仿宋"/>
          <w:szCs w:val="32"/>
        </w:rPr>
        <w:t>2017年会议费总计0万元，2016年支出为0万元，</w:t>
      </w:r>
      <w:r>
        <w:rPr>
          <w:rFonts w:hint="eastAsia" w:ascii="仿宋" w:hAnsi="仿宋" w:eastAsia="仿宋"/>
          <w:szCs w:val="32"/>
          <w:lang w:eastAsia="zh-CN"/>
        </w:rPr>
        <w:t>原因是</w:t>
      </w:r>
      <w:r>
        <w:rPr>
          <w:rFonts w:hint="eastAsia" w:ascii="仿宋" w:hAnsi="仿宋" w:eastAsia="仿宋"/>
          <w:szCs w:val="32"/>
        </w:rPr>
        <w:t>2017年未发生培训费支出，2016年也未发生培训费支出。</w:t>
      </w:r>
    </w:p>
    <w:bookmarkEnd w:id="32"/>
    <w:bookmarkEnd w:id="33"/>
    <w:p>
      <w:pPr>
        <w:ind w:firstLine="640"/>
        <w:rPr>
          <w:rFonts w:ascii="仿宋_GB2312"/>
          <w:szCs w:val="32"/>
        </w:rPr>
      </w:pPr>
      <w:r>
        <w:rPr>
          <w:rFonts w:hint="eastAsia" w:ascii="仿宋" w:hAnsi="仿宋" w:eastAsia="仿宋"/>
          <w:szCs w:val="32"/>
        </w:rPr>
        <w:t>培训费支出情况。2017年培训费总计0万元，2016年支出为0万元，</w:t>
      </w:r>
      <w:r>
        <w:rPr>
          <w:rFonts w:hint="eastAsia" w:ascii="仿宋_GB2312"/>
          <w:color w:val="000000" w:themeColor="text1"/>
          <w:szCs w:val="32"/>
          <w14:textFill>
            <w14:solidFill>
              <w14:schemeClr w14:val="tx1"/>
            </w14:solidFill>
          </w14:textFill>
        </w:rPr>
        <w:t>原因是：</w:t>
      </w:r>
      <w:r>
        <w:rPr>
          <w:rFonts w:hint="eastAsia" w:ascii="仿宋_GB2312"/>
          <w:color w:val="000000" w:themeColor="text1"/>
          <w:szCs w:val="32"/>
          <w:lang w:val="en-US" w:eastAsia="zh-CN"/>
          <w14:textFill>
            <w14:solidFill>
              <w14:schemeClr w14:val="tx1"/>
            </w14:solidFill>
          </w14:textFill>
        </w:rPr>
        <w:t>2017年度未发生公务用车购置费，2016年也未发生公务用车购置费用</w:t>
      </w:r>
      <w:r>
        <w:rPr>
          <w:rFonts w:hint="eastAsia" w:ascii="仿宋_GB2312"/>
          <w:color w:val="000000" w:themeColor="text1"/>
          <w:szCs w:val="32"/>
          <w14:textFill>
            <w14:solidFill>
              <w14:schemeClr w14:val="tx1"/>
            </w14:solidFill>
          </w14:textFill>
        </w:rPr>
        <w:t>。</w:t>
      </w:r>
    </w:p>
    <w:p>
      <w:pPr>
        <w:widowControl/>
        <w:spacing w:line="580" w:lineRule="exact"/>
        <w:ind w:firstLine="643"/>
        <w:rPr>
          <w:rFonts w:ascii="仿宋_GB2312"/>
          <w:b/>
          <w:szCs w:val="32"/>
        </w:rPr>
      </w:pP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r>
        <w:rPr>
          <w:rFonts w:hint="eastAsia" w:ascii="黑体" w:hAnsi="黑体" w:eastAsia="黑体"/>
          <w:sz w:val="72"/>
          <w:szCs w:val="72"/>
        </w:rPr>
        <w:t>第四部分  名词解释</w:t>
      </w:r>
    </w:p>
    <w:p>
      <w:pPr>
        <w:widowControl/>
        <w:spacing w:line="240" w:lineRule="auto"/>
        <w:ind w:firstLine="0" w:firstLineChars="0"/>
        <w:jc w:val="left"/>
        <w:rPr>
          <w:rFonts w:ascii="黑体" w:hAnsi="黑体" w:eastAsia="黑体"/>
          <w:sz w:val="72"/>
          <w:szCs w:val="72"/>
        </w:rPr>
      </w:pPr>
      <w:r>
        <w:rPr>
          <w:rFonts w:ascii="黑体" w:hAnsi="黑体" w:eastAsia="黑体"/>
          <w:sz w:val="72"/>
          <w:szCs w:val="72"/>
        </w:rPr>
        <w:br w:type="page"/>
      </w:r>
    </w:p>
    <w:p>
      <w:pPr>
        <w:widowControl/>
        <w:spacing w:line="580" w:lineRule="exact"/>
        <w:ind w:firstLine="640"/>
        <w:rPr>
          <w:color w:val="000000"/>
          <w:kern w:val="0"/>
          <w:szCs w:val="32"/>
        </w:rPr>
      </w:pPr>
      <w:r>
        <w:rPr>
          <w:color w:val="000000"/>
          <w:kern w:val="0"/>
          <w:szCs w:val="32"/>
        </w:rPr>
        <w:t>（一）财政拨款收入：本年度从本级财政部门取得的财政拨款，包括一般公共预算财政拨款和政府性基金预算财政拨款。</w:t>
      </w:r>
    </w:p>
    <w:p>
      <w:pPr>
        <w:widowControl/>
        <w:spacing w:line="580" w:lineRule="exact"/>
        <w:ind w:firstLine="640"/>
        <w:rPr>
          <w:color w:val="000000"/>
          <w:kern w:val="0"/>
          <w:szCs w:val="32"/>
        </w:rPr>
      </w:pPr>
      <w:r>
        <w:rPr>
          <w:color w:val="000000"/>
          <w:kern w:val="0"/>
          <w:szCs w:val="32"/>
        </w:rPr>
        <w:t>（二）事业收入：指事业单位开展专业业务活动及辅助活动所取得的收入。</w:t>
      </w:r>
    </w:p>
    <w:p>
      <w:pPr>
        <w:widowControl/>
        <w:spacing w:line="580" w:lineRule="exact"/>
        <w:ind w:firstLine="640"/>
        <w:rPr>
          <w:color w:val="000000"/>
          <w:kern w:val="0"/>
          <w:szCs w:val="32"/>
        </w:rPr>
      </w:pPr>
      <w:r>
        <w:rPr>
          <w:color w:val="000000"/>
          <w:kern w:val="0"/>
          <w:szCs w:val="32"/>
        </w:rPr>
        <w:t>（三）其他收入：指除上述“财政拨款收入”、“事业收入”、“经营收入”等以外的收入。</w:t>
      </w:r>
    </w:p>
    <w:p>
      <w:pPr>
        <w:widowControl/>
        <w:spacing w:line="580" w:lineRule="exact"/>
        <w:ind w:firstLine="640"/>
        <w:rPr>
          <w:color w:val="000000"/>
          <w:kern w:val="0"/>
          <w:szCs w:val="32"/>
        </w:rPr>
      </w:pPr>
      <w:r>
        <w:rPr>
          <w:color w:val="000000"/>
          <w:kern w:val="0"/>
          <w:szCs w:val="32"/>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80" w:lineRule="exact"/>
        <w:ind w:firstLine="640"/>
        <w:rPr>
          <w:color w:val="000000"/>
          <w:kern w:val="0"/>
          <w:szCs w:val="32"/>
        </w:rPr>
      </w:pPr>
      <w:r>
        <w:rPr>
          <w:color w:val="000000"/>
          <w:kern w:val="0"/>
          <w:szCs w:val="32"/>
        </w:rPr>
        <w:t>（五）年初结转和结余：指以前年度尚未完成、结转到本年仍按原规定用途继续使用的资金，或项目已完成等产生的结余资金。</w:t>
      </w:r>
    </w:p>
    <w:p>
      <w:pPr>
        <w:widowControl/>
        <w:spacing w:line="580" w:lineRule="exact"/>
        <w:ind w:firstLine="640"/>
        <w:rPr>
          <w:color w:val="000000"/>
          <w:kern w:val="0"/>
          <w:szCs w:val="32"/>
        </w:rPr>
      </w:pPr>
      <w:r>
        <w:rPr>
          <w:color w:val="000000"/>
          <w:kern w:val="0"/>
          <w:szCs w:val="32"/>
        </w:rPr>
        <w:t>（六）结余分配：指事业单位按照事业单位会计制度的规定从非财政补助结余中分配的事业基金和职工福利基金等。</w:t>
      </w:r>
    </w:p>
    <w:p>
      <w:pPr>
        <w:widowControl/>
        <w:spacing w:line="580" w:lineRule="exact"/>
        <w:ind w:firstLine="640"/>
        <w:rPr>
          <w:color w:val="000000"/>
          <w:kern w:val="0"/>
          <w:szCs w:val="32"/>
        </w:rPr>
      </w:pPr>
      <w:r>
        <w:rPr>
          <w:color w:val="000000"/>
          <w:kern w:val="0"/>
          <w:szCs w:val="32"/>
        </w:rPr>
        <w:t>（七）年末结转和结余：指单位按有关规定结转到下年或以后年度继续使用的资金，或项目已完成等产生的结余资金。</w:t>
      </w:r>
    </w:p>
    <w:p>
      <w:pPr>
        <w:widowControl/>
        <w:spacing w:line="580" w:lineRule="exact"/>
        <w:ind w:firstLine="640"/>
        <w:rPr>
          <w:color w:val="000000"/>
          <w:kern w:val="0"/>
          <w:szCs w:val="32"/>
        </w:rPr>
      </w:pPr>
      <w:r>
        <w:rPr>
          <w:color w:val="000000"/>
          <w:kern w:val="0"/>
          <w:szCs w:val="32"/>
        </w:rPr>
        <w:t>（八）基本支出：填列单位为保障机构正常运转、完成日常工作任务而发生的各项支出。</w:t>
      </w:r>
    </w:p>
    <w:p>
      <w:pPr>
        <w:widowControl/>
        <w:spacing w:line="580" w:lineRule="exact"/>
        <w:ind w:firstLine="640"/>
        <w:rPr>
          <w:color w:val="000000"/>
          <w:kern w:val="0"/>
          <w:szCs w:val="32"/>
        </w:rPr>
      </w:pPr>
      <w:r>
        <w:rPr>
          <w:color w:val="000000"/>
          <w:kern w:val="0"/>
          <w:szCs w:val="32"/>
        </w:rPr>
        <w:t>（九）项目支出：填列单位为完成特定的行政工作任务或事业发展目标，在基本支出之外发生的各项支出</w:t>
      </w:r>
    </w:p>
    <w:p>
      <w:pPr>
        <w:widowControl/>
        <w:spacing w:line="580" w:lineRule="exact"/>
        <w:ind w:firstLine="640"/>
        <w:rPr>
          <w:color w:val="000000"/>
          <w:kern w:val="0"/>
          <w:szCs w:val="32"/>
        </w:rPr>
      </w:pPr>
      <w:r>
        <w:rPr>
          <w:color w:val="000000"/>
          <w:kern w:val="0"/>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80" w:lineRule="exact"/>
        <w:ind w:firstLine="640"/>
        <w:rPr>
          <w:color w:val="000000"/>
          <w:kern w:val="0"/>
          <w:szCs w:val="32"/>
        </w:rPr>
      </w:pPr>
      <w:r>
        <w:rPr>
          <w:color w:val="000000"/>
          <w:kern w:val="0"/>
          <w:szCs w:val="32"/>
        </w:rPr>
        <w:t>（十一）其他资本性支出：填列由各级非发展与改革部门集中安排的用于购置固定资产、战备性和应急性储备、土地和无形资产，以及购建基础设施、大型修缮和财政支持企业更新改造所发生的支出。</w:t>
      </w:r>
    </w:p>
    <w:p>
      <w:pPr>
        <w:widowControl/>
        <w:spacing w:line="580" w:lineRule="exact"/>
        <w:ind w:firstLine="640"/>
        <w:rPr>
          <w:color w:val="000000"/>
          <w:kern w:val="0"/>
          <w:szCs w:val="32"/>
        </w:rPr>
      </w:pPr>
      <w:r>
        <w:rPr>
          <w:color w:val="000000"/>
          <w:kern w:val="0"/>
          <w:szCs w:val="32"/>
        </w:rPr>
        <w:t>（十二）“三公”经费：指部门用</w:t>
      </w:r>
      <w:r>
        <w:rPr>
          <w:rFonts w:hint="eastAsia"/>
          <w:color w:val="000000"/>
          <w:kern w:val="0"/>
          <w:szCs w:val="32"/>
        </w:rPr>
        <w:t>一般公共预算拨款</w:t>
      </w:r>
      <w:r>
        <w:rPr>
          <w:color w:val="000000"/>
          <w:kern w:val="0"/>
          <w:szCs w:val="32"/>
        </w:rPr>
        <w:t>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line="580" w:lineRule="exact"/>
        <w:ind w:firstLine="640"/>
        <w:rPr>
          <w:color w:val="000000"/>
          <w:kern w:val="0"/>
          <w:szCs w:val="32"/>
        </w:rPr>
      </w:pPr>
      <w:r>
        <w:rPr>
          <w:color w:val="000000"/>
          <w:kern w:val="0"/>
          <w:szCs w:val="32"/>
        </w:rPr>
        <w:t>（十三）其他交通费用：填列单位除公务用车运行维护费以外的其他交通费用。如飞机、船舶等的燃料费、维修费、过桥过路费、保险费、出租车费用、公务交通补贴等。</w:t>
      </w:r>
    </w:p>
    <w:p>
      <w:pPr>
        <w:widowControl/>
        <w:spacing w:line="580" w:lineRule="exact"/>
        <w:ind w:firstLine="640"/>
        <w:rPr>
          <w:color w:val="000000"/>
          <w:kern w:val="0"/>
          <w:szCs w:val="32"/>
        </w:rPr>
      </w:pPr>
      <w:r>
        <w:rPr>
          <w:color w:val="000000"/>
          <w:kern w:val="0"/>
          <w:szCs w:val="32"/>
        </w:rPr>
        <w:t>（十四）公务用车购置：填列单位公务用车车辆购置支出（含车辆购置税）。</w:t>
      </w:r>
    </w:p>
    <w:p>
      <w:pPr>
        <w:widowControl/>
        <w:spacing w:line="580" w:lineRule="exact"/>
        <w:ind w:firstLine="640"/>
        <w:rPr>
          <w:color w:val="000000"/>
          <w:kern w:val="0"/>
          <w:szCs w:val="32"/>
        </w:rPr>
      </w:pPr>
      <w:r>
        <w:rPr>
          <w:color w:val="000000"/>
          <w:kern w:val="0"/>
          <w:szCs w:val="32"/>
        </w:rPr>
        <w:t>（十五）其他交通工具购置：填列单位除公务用车外的其他各类交通工具（如船舶、飞机）购置支出（含车辆购置税）。</w:t>
      </w:r>
    </w:p>
    <w:p>
      <w:pPr>
        <w:widowControl/>
        <w:spacing w:line="580" w:lineRule="exact"/>
        <w:ind w:firstLine="640"/>
        <w:rPr>
          <w:color w:val="000000"/>
          <w:kern w:val="0"/>
          <w:szCs w:val="32"/>
        </w:rPr>
      </w:pPr>
      <w:r>
        <w:rPr>
          <w:color w:val="000000"/>
          <w:kern w:val="0"/>
          <w:szCs w:val="32"/>
        </w:rPr>
        <w:t>（十六）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ind w:left="640" w:firstLine="640"/>
        <w:rPr>
          <w:rFonts w:ascii="仿宋_GB2312"/>
          <w:szCs w:val="32"/>
        </w:rPr>
      </w:pPr>
    </w:p>
    <w:p>
      <w:pPr>
        <w:ind w:left="640" w:firstLine="640"/>
        <w:rPr>
          <w:rFonts w:ascii="仿宋_GB2312"/>
          <w:szCs w:val="32"/>
        </w:rPr>
      </w:pPr>
    </w:p>
    <w:p>
      <w:pPr>
        <w:ind w:left="640" w:firstLine="640"/>
        <w:rPr>
          <w:rFonts w:ascii="仿宋_GB2312"/>
          <w:szCs w:val="32"/>
        </w:rPr>
      </w:pPr>
    </w:p>
    <w:sectPr>
      <w:pgSz w:w="11906" w:h="16838"/>
      <w:pgMar w:top="1985"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10</w:t>
    </w:r>
    <w:r>
      <w:rPr>
        <w:rFonts w:ascii="Arial" w:hAnsi="Arial" w:cs="Arial"/>
        <w:b/>
        <w:sz w:val="21"/>
        <w:szCs w:val="21"/>
      </w:rPr>
      <w:fldChar w:fldCharType="end"/>
    </w:r>
    <w:r>
      <w:rPr>
        <w:rFonts w:hint="eastAsia"/>
        <w:b/>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16</w:t>
    </w:r>
    <w:r>
      <w:rPr>
        <w:rFonts w:ascii="Arial" w:hAnsi="Arial" w:cs="Arial"/>
        <w:b/>
        <w:sz w:val="21"/>
        <w:szCs w:val="21"/>
      </w:rPr>
      <w:fldChar w:fldCharType="end"/>
    </w:r>
    <w:r>
      <w:rPr>
        <w:rFonts w:hint="eastAsia"/>
        <w:b/>
        <w:sz w:val="24"/>
        <w:szCs w:val="24"/>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07433"/>
    <w:multiLevelType w:val="multilevel"/>
    <w:tmpl w:val="12C07433"/>
    <w:lvl w:ilvl="0" w:tentative="0">
      <w:start w:val="1"/>
      <w:numFmt w:val="none"/>
      <w:lvlText w:val="一、"/>
      <w:lvlJc w:val="left"/>
      <w:pPr>
        <w:ind w:left="1994" w:hanging="720"/>
      </w:pPr>
      <w:rPr>
        <w:rFonts w:hint="default"/>
        <w:lang w:val="en-US"/>
      </w:rPr>
    </w:lvl>
    <w:lvl w:ilvl="1" w:tentative="0">
      <w:start w:val="1"/>
      <w:numFmt w:val="lowerLetter"/>
      <w:lvlText w:val="%2)"/>
      <w:lvlJc w:val="left"/>
      <w:pPr>
        <w:ind w:left="2114" w:hanging="420"/>
      </w:pPr>
    </w:lvl>
    <w:lvl w:ilvl="2" w:tentative="0">
      <w:start w:val="1"/>
      <w:numFmt w:val="lowerRoman"/>
      <w:lvlText w:val="%3."/>
      <w:lvlJc w:val="right"/>
      <w:pPr>
        <w:ind w:left="2534" w:hanging="420"/>
      </w:pPr>
    </w:lvl>
    <w:lvl w:ilvl="3" w:tentative="0">
      <w:start w:val="1"/>
      <w:numFmt w:val="decimal"/>
      <w:lvlText w:val="%4."/>
      <w:lvlJc w:val="left"/>
      <w:pPr>
        <w:ind w:left="2954" w:hanging="420"/>
      </w:pPr>
    </w:lvl>
    <w:lvl w:ilvl="4" w:tentative="0">
      <w:start w:val="1"/>
      <w:numFmt w:val="lowerLetter"/>
      <w:lvlText w:val="%5)"/>
      <w:lvlJc w:val="left"/>
      <w:pPr>
        <w:ind w:left="3374" w:hanging="420"/>
      </w:pPr>
    </w:lvl>
    <w:lvl w:ilvl="5" w:tentative="0">
      <w:start w:val="1"/>
      <w:numFmt w:val="lowerRoman"/>
      <w:lvlText w:val="%6."/>
      <w:lvlJc w:val="right"/>
      <w:pPr>
        <w:ind w:left="3794" w:hanging="420"/>
      </w:pPr>
    </w:lvl>
    <w:lvl w:ilvl="6" w:tentative="0">
      <w:start w:val="1"/>
      <w:numFmt w:val="decimal"/>
      <w:lvlText w:val="%7."/>
      <w:lvlJc w:val="left"/>
      <w:pPr>
        <w:ind w:left="4214" w:hanging="420"/>
      </w:pPr>
    </w:lvl>
    <w:lvl w:ilvl="7" w:tentative="0">
      <w:start w:val="1"/>
      <w:numFmt w:val="lowerLetter"/>
      <w:lvlText w:val="%8)"/>
      <w:lvlJc w:val="left"/>
      <w:pPr>
        <w:ind w:left="4634" w:hanging="420"/>
      </w:pPr>
    </w:lvl>
    <w:lvl w:ilvl="8" w:tentative="0">
      <w:start w:val="1"/>
      <w:numFmt w:val="lowerRoman"/>
      <w:lvlText w:val="%9."/>
      <w:lvlJc w:val="right"/>
      <w:pPr>
        <w:ind w:left="505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ED9"/>
    <w:rsid w:val="00005A31"/>
    <w:rsid w:val="000244B1"/>
    <w:rsid w:val="00054C53"/>
    <w:rsid w:val="0007561C"/>
    <w:rsid w:val="000F00FD"/>
    <w:rsid w:val="00103253"/>
    <w:rsid w:val="0011224D"/>
    <w:rsid w:val="00127C8F"/>
    <w:rsid w:val="00152D40"/>
    <w:rsid w:val="00155A0C"/>
    <w:rsid w:val="00172A9E"/>
    <w:rsid w:val="00175A3A"/>
    <w:rsid w:val="0017741E"/>
    <w:rsid w:val="0019263B"/>
    <w:rsid w:val="001F41FA"/>
    <w:rsid w:val="00204503"/>
    <w:rsid w:val="00231700"/>
    <w:rsid w:val="00271D6D"/>
    <w:rsid w:val="0027309A"/>
    <w:rsid w:val="00273E03"/>
    <w:rsid w:val="0029596B"/>
    <w:rsid w:val="002A3356"/>
    <w:rsid w:val="002D1C92"/>
    <w:rsid w:val="00305FCB"/>
    <w:rsid w:val="00310A7C"/>
    <w:rsid w:val="00312F9F"/>
    <w:rsid w:val="003155B1"/>
    <w:rsid w:val="003209A7"/>
    <w:rsid w:val="003D144F"/>
    <w:rsid w:val="003D3668"/>
    <w:rsid w:val="003F6043"/>
    <w:rsid w:val="00404BA5"/>
    <w:rsid w:val="00405DD5"/>
    <w:rsid w:val="00416E60"/>
    <w:rsid w:val="00443128"/>
    <w:rsid w:val="00450D4D"/>
    <w:rsid w:val="004E7B5F"/>
    <w:rsid w:val="004F1F8E"/>
    <w:rsid w:val="00502034"/>
    <w:rsid w:val="005046AD"/>
    <w:rsid w:val="0053567A"/>
    <w:rsid w:val="005462E5"/>
    <w:rsid w:val="00562ED9"/>
    <w:rsid w:val="00593550"/>
    <w:rsid w:val="00594763"/>
    <w:rsid w:val="005C39CD"/>
    <w:rsid w:val="005C5A21"/>
    <w:rsid w:val="005C7CFB"/>
    <w:rsid w:val="005E2EB4"/>
    <w:rsid w:val="005E382E"/>
    <w:rsid w:val="00630D6A"/>
    <w:rsid w:val="00632195"/>
    <w:rsid w:val="006508EE"/>
    <w:rsid w:val="00661402"/>
    <w:rsid w:val="00661FC6"/>
    <w:rsid w:val="00682F9B"/>
    <w:rsid w:val="006A1D43"/>
    <w:rsid w:val="006B012E"/>
    <w:rsid w:val="006C00CA"/>
    <w:rsid w:val="006D6A17"/>
    <w:rsid w:val="006F5699"/>
    <w:rsid w:val="006F7A05"/>
    <w:rsid w:val="00712D5F"/>
    <w:rsid w:val="00744B46"/>
    <w:rsid w:val="00746674"/>
    <w:rsid w:val="007C4984"/>
    <w:rsid w:val="007D592B"/>
    <w:rsid w:val="0080381A"/>
    <w:rsid w:val="008248C5"/>
    <w:rsid w:val="00830C9C"/>
    <w:rsid w:val="008529DA"/>
    <w:rsid w:val="008716D0"/>
    <w:rsid w:val="008928BC"/>
    <w:rsid w:val="008951B5"/>
    <w:rsid w:val="008C78C5"/>
    <w:rsid w:val="008F3A14"/>
    <w:rsid w:val="0092275C"/>
    <w:rsid w:val="00937A08"/>
    <w:rsid w:val="00945029"/>
    <w:rsid w:val="00951BE2"/>
    <w:rsid w:val="00952574"/>
    <w:rsid w:val="00954847"/>
    <w:rsid w:val="00965AC4"/>
    <w:rsid w:val="009A2241"/>
    <w:rsid w:val="009D3E47"/>
    <w:rsid w:val="009F4499"/>
    <w:rsid w:val="00A05198"/>
    <w:rsid w:val="00A13A55"/>
    <w:rsid w:val="00A266EB"/>
    <w:rsid w:val="00A4272B"/>
    <w:rsid w:val="00A513A6"/>
    <w:rsid w:val="00A93803"/>
    <w:rsid w:val="00AA33A5"/>
    <w:rsid w:val="00AB34E3"/>
    <w:rsid w:val="00AC76D6"/>
    <w:rsid w:val="00AF2C1C"/>
    <w:rsid w:val="00B42B02"/>
    <w:rsid w:val="00B701EF"/>
    <w:rsid w:val="00B72BF5"/>
    <w:rsid w:val="00B86180"/>
    <w:rsid w:val="00B96A7F"/>
    <w:rsid w:val="00BA26B2"/>
    <w:rsid w:val="00BB55D2"/>
    <w:rsid w:val="00BC4069"/>
    <w:rsid w:val="00BC625F"/>
    <w:rsid w:val="00BF1C0F"/>
    <w:rsid w:val="00C36EFE"/>
    <w:rsid w:val="00CE7AA1"/>
    <w:rsid w:val="00CF1175"/>
    <w:rsid w:val="00CF7D21"/>
    <w:rsid w:val="00D2211A"/>
    <w:rsid w:val="00D2301D"/>
    <w:rsid w:val="00D33EE7"/>
    <w:rsid w:val="00D34D1F"/>
    <w:rsid w:val="00D4698B"/>
    <w:rsid w:val="00D51081"/>
    <w:rsid w:val="00D82AF5"/>
    <w:rsid w:val="00D87BD4"/>
    <w:rsid w:val="00DD4A85"/>
    <w:rsid w:val="00DE515A"/>
    <w:rsid w:val="00DF5D38"/>
    <w:rsid w:val="00E02F95"/>
    <w:rsid w:val="00E03175"/>
    <w:rsid w:val="00E5216F"/>
    <w:rsid w:val="00E7487B"/>
    <w:rsid w:val="00EA5972"/>
    <w:rsid w:val="00EB45A9"/>
    <w:rsid w:val="00EB63A9"/>
    <w:rsid w:val="00EC62AA"/>
    <w:rsid w:val="00ED09E5"/>
    <w:rsid w:val="00ED2A81"/>
    <w:rsid w:val="00ED6876"/>
    <w:rsid w:val="00ED6B4C"/>
    <w:rsid w:val="00EF493B"/>
    <w:rsid w:val="00F01B00"/>
    <w:rsid w:val="00F0518B"/>
    <w:rsid w:val="00F05F78"/>
    <w:rsid w:val="00F06F8D"/>
    <w:rsid w:val="00F7462B"/>
    <w:rsid w:val="00F9758A"/>
    <w:rsid w:val="00FC3BAC"/>
    <w:rsid w:val="00FD5BCA"/>
    <w:rsid w:val="00FF65FE"/>
    <w:rsid w:val="0D541271"/>
    <w:rsid w:val="11323AD2"/>
    <w:rsid w:val="37D952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Calibri" w:hAnsi="Calibri" w:eastAsia="宋体"/>
      <w:kern w:val="0"/>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table" w:styleId="5">
    <w:name w:val="Table Grid"/>
    <w:basedOn w:val="4"/>
    <w:unhideWhenUs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6"/>
    <w:link w:val="3"/>
    <w:uiPriority w:val="99"/>
    <w:rPr>
      <w:rFonts w:ascii="Calibri" w:hAnsi="Calibri" w:eastAsia="宋体" w:cs="Times New Roman"/>
      <w:kern w:val="0"/>
      <w:sz w:val="18"/>
      <w:szCs w:val="18"/>
    </w:rPr>
  </w:style>
  <w:style w:type="character" w:customStyle="1" w:styleId="8">
    <w:name w:val="页脚 Char"/>
    <w:basedOn w:val="6"/>
    <w:link w:val="2"/>
    <w:uiPriority w:val="99"/>
    <w:rPr>
      <w:rFonts w:ascii="Calibri" w:hAnsi="Calibri" w:eastAsia="宋体" w:cs="Times New Roman"/>
      <w:kern w:val="0"/>
      <w:sz w:val="18"/>
      <w:szCs w:val="18"/>
    </w:rPr>
  </w:style>
  <w:style w:type="paragraph" w:styleId="9">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963CD9-87AD-4661-ADF7-2C8AE7F5F869}">
  <ds:schemaRefs/>
</ds:datastoreItem>
</file>

<file path=docProps/app.xml><?xml version="1.0" encoding="utf-8"?>
<Properties xmlns="http://schemas.openxmlformats.org/officeDocument/2006/extended-properties" xmlns:vt="http://schemas.openxmlformats.org/officeDocument/2006/docPropsVTypes">
  <Template>Normal</Template>
  <Company>gkk</Company>
  <Pages>22</Pages>
  <Words>1103</Words>
  <Characters>6289</Characters>
  <Lines>52</Lines>
  <Paragraphs>14</Paragraphs>
  <TotalTime>1</TotalTime>
  <ScaleCrop>false</ScaleCrop>
  <LinksUpToDate>false</LinksUpToDate>
  <CharactersWithSpaces>7378</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2019-03-11T02:14:00Z</dcterms:created>
  <dc:creator>jia</dc:creator>
  <cp:lastModifiedBy>Lenovo</cp:lastModifiedBy>
  <cp:lastPrinted>2019-03-11T07:11:00Z</cp:lastPrinted>
  <dcterms:modified xsi:type="dcterms:W3CDTF">2019-03-14T07:43:53Z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