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秦皇岛市海港区石门寨镇人民政府</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石门寨镇人民政府</w:t>
      </w:r>
      <w:r>
        <w:rPr>
          <w:rFonts w:eastAsia="黑体"/>
          <w:szCs w:val="32"/>
        </w:rPr>
        <w:t>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石门寨镇人民政府</w:t>
      </w:r>
      <w:r>
        <w:rPr>
          <w:rFonts w:eastAsia="黑体"/>
          <w:szCs w:val="32"/>
        </w:rPr>
        <w:t>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石门寨镇人民政府</w:t>
      </w:r>
      <w:r>
        <w:rPr>
          <w:rFonts w:eastAsia="黑体"/>
          <w:szCs w:val="32"/>
        </w:rPr>
        <w:t>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6"/>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秦皇岛市海港区石门寨镇人民政府概况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pStyle w:val="9"/>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spacing w:before="100" w:beforeAutospacing="1" w:after="100" w:afterAutospacing="1" w:line="480" w:lineRule="auto"/>
        <w:ind w:firstLine="640"/>
        <w:rPr>
          <w:rFonts w:ascii="仿宋_GB2312" w:hAnsi="宋体"/>
          <w:szCs w:val="32"/>
        </w:rPr>
      </w:pPr>
      <w:r>
        <w:rPr>
          <w:rFonts w:hint="eastAsia" w:ascii="仿宋_GB2312" w:hAnsi="宋体"/>
          <w:szCs w:val="32"/>
        </w:rPr>
        <w:t>石门寨镇政府的主要职能是：宣传、贯彻和执行党的路线、方针、政策和国家法律法规，执行本级人民代表大会决议和国家行政机关的决定和命令，把主要精力放在促进经济发展、加强社会管理、提供公共服务和维护农村稳定四项职能上来。</w:t>
      </w:r>
    </w:p>
    <w:p>
      <w:pPr>
        <w:spacing w:line="480" w:lineRule="auto"/>
        <w:ind w:firstLine="640"/>
        <w:rPr>
          <w:rFonts w:ascii="仿宋_GB2312" w:hAnsi="宋体"/>
          <w:szCs w:val="32"/>
        </w:rPr>
      </w:pPr>
      <w:r>
        <w:rPr>
          <w:rFonts w:hint="eastAsia" w:ascii="仿宋_GB2312" w:hAnsi="宋体"/>
          <w:szCs w:val="32"/>
        </w:rPr>
        <w:t>促进经济发展：研究制定本镇国民经济和社会发展的中、长期规划和年度计划，并组织实施。科学制定本镇产业发展规划、谋划适应本镇实际的经济发展模式；指导产业结构调整，根据本镇的特点和实际，重点扶持好种植业、养殖业、建筑业、食品加工业、乡村旅游业、采矿业等产业，积极发展其它新产业，形成地域产业特色；营造良好的政策、硬件、社会等投资环境，促进招商引资和项目建设；健全农业社会化服务体系，完善农业支持保护体系，加强农业新技术的示范和推广，促进农业生产稳定发展，农民持续增收；大力发展民营经济，推动和引导农村经济合作组织、经济实体、行业协商引资和项目建设；促进农业生产稳定发展，农民持续增收；壮大第二、第三产业。</w:t>
      </w:r>
    </w:p>
    <w:p>
      <w:pPr>
        <w:spacing w:line="500" w:lineRule="exact"/>
        <w:ind w:firstLine="640" w:firstLineChars="0"/>
        <w:rPr>
          <w:rFonts w:ascii="仿宋_GB2312" w:hAnsi="宋体"/>
          <w:szCs w:val="32"/>
        </w:rPr>
      </w:pPr>
      <w:r>
        <w:rPr>
          <w:rFonts w:hint="eastAsia" w:ascii="仿宋_GB2312" w:hAnsi="宋体"/>
          <w:szCs w:val="32"/>
        </w:rPr>
        <w:t>加强社会管理：组织、监督国家基本公共政策的实施，加强义务教育、公共卫生、计划生育、文化科技、乡村建设等社会事务的行政管理；依法行政，保障公民享有宪法规定的政治、经济、文化等各项权利；抓好自身和所属党组织的思想、组织和作风建设；抓好镇党委自身建设和以党支部为核心的村级组织建设，做好党员的教育、发展和管理工作，加强党员干部队伍思想作风建设；抓好党风廉政建设，加强对党员干部的监督；抓好武装、共青团、工会、妇联等群众性组织工作；抓好农村基层民主政治建设、促进村民自治，落实公民在选举、决策、管理和监督等方面的民主权利；抓好农村思抓好计划生育工作；美丽乡村建设；抓好镇党委自身建设和农村基层民主政治建设；抓好党风廉政建设；抓好农村思想政治工作；抓好武装、共青团、工会、妇联等群众性组织工作；加强安全生产和公共安全管理。</w:t>
      </w:r>
    </w:p>
    <w:p>
      <w:pPr>
        <w:spacing w:line="500" w:lineRule="exact"/>
        <w:ind w:firstLine="640" w:firstLineChars="0"/>
        <w:rPr>
          <w:rFonts w:ascii="仿宋_GB2312" w:hAnsi="宋体"/>
          <w:szCs w:val="32"/>
        </w:rPr>
      </w:pPr>
      <w:r>
        <w:rPr>
          <w:rFonts w:hint="eastAsia" w:ascii="仿宋_GB2312" w:hAnsi="宋体"/>
          <w:szCs w:val="32"/>
        </w:rPr>
        <w:t>提供公共服务：生产保障。提供水利灌溉、道路运输、电力供应、农技推广、病虫害防治等生产性公共产品；教育保障。协助教育部门普及九年义务教育，加强对农村劳动力的职业培训，提高农民的科学文化素质和就业本领；医疗保障。农村医疗设施、医疗手段的完善和提高，农村医疗保险制度的建立和落实；养老保障。福利院、敬老院的建设，农村养老保险制度的推行；生活保障。建设乡村社会各种生活基础设施，建立农村特困户的救助制度和救助体系；生育保障。为控制人口数量、提高人口素质和生殖健康提供各种优质服务。协助教育部门普及九年义务制教育工作；加强对农村劳动力的职业培训；农村医疗设施、农村医疗保险制度的建立和落实；建立农村特困户的救助制度和救助体系。</w:t>
      </w:r>
    </w:p>
    <w:p>
      <w:pPr>
        <w:spacing w:line="500" w:lineRule="exact"/>
        <w:ind w:firstLine="640" w:firstLineChars="0"/>
        <w:rPr>
          <w:rFonts w:ascii="仿宋_GB2312" w:hAnsi="宋体"/>
          <w:szCs w:val="32"/>
        </w:rPr>
      </w:pPr>
      <w:r>
        <w:rPr>
          <w:rFonts w:hint="eastAsia" w:ascii="仿宋_GB2312" w:hAnsi="宋体"/>
          <w:szCs w:val="32"/>
        </w:rPr>
        <w:t>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社会治安综合治理、人民调解、法律服务工作。向上级人民政府反映居民群众的意见和要求</w:t>
      </w:r>
    </w:p>
    <w:p>
      <w:pPr>
        <w:ind w:left="1274" w:firstLine="0" w:firstLineChars="0"/>
        <w:rPr>
          <w:rFonts w:ascii="仿宋_GB2312" w:hAnsi="黑体"/>
          <w:szCs w:val="32"/>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24" w:name="_GoBack" w:colFirst="1" w:colLast="3"/>
            <w:r>
              <w:rPr>
                <w:rFonts w:hint="eastAsia" w:ascii="仿宋_GB2312" w:hAnsi="黑体"/>
                <w:sz w:val="28"/>
                <w:szCs w:val="28"/>
              </w:rPr>
              <w:t>秦皇岛市海港区石门寨镇机关</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r>
              <w:rPr>
                <w:rFonts w:hint="eastAsia" w:ascii="仿宋_GB2312" w:hAnsi="黑体"/>
                <w:sz w:val="28"/>
                <w:szCs w:val="28"/>
              </w:rPr>
              <w:t>秦皇岛市海港区石门寨镇党政办公室</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r>
              <w:rPr>
                <w:rFonts w:hint="eastAsia" w:ascii="仿宋_GB2312" w:hAnsi="黑体"/>
                <w:sz w:val="28"/>
                <w:szCs w:val="28"/>
              </w:rPr>
              <w:t>秦皇岛市海港区石门寨镇人口和计划生育办公室</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单位</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r>
              <w:rPr>
                <w:rFonts w:hint="eastAsia" w:ascii="仿宋_GB2312" w:hAnsi="黑体"/>
                <w:sz w:val="28"/>
                <w:szCs w:val="28"/>
              </w:rPr>
              <w:t>秦皇岛市海港区石门寨镇农村经济管理站</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单位</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24"/>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秦皇岛市海港区石门寨镇人民政府201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黑体" w:hAnsi="黑体" w:eastAsia="黑体"/>
          <w:szCs w:val="32"/>
        </w:rPr>
        <w:sectPr>
          <w:headerReference r:id="rId3" w:type="default"/>
          <w:footerReference r:id="rId4" w:type="default"/>
          <w:pgSz w:w="11906" w:h="16838"/>
          <w:pgMar w:top="1984" w:right="1531" w:bottom="1984" w:left="1531" w:header="851" w:footer="992" w:gutter="0"/>
          <w:cols w:space="0" w:num="1"/>
          <w:rtlGutter w:val="0"/>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秦皇岛市海港区石门寨镇人民政府201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2017年度决算收入合计 3697.71万元，决算支出合计3857.57万元，</w:t>
      </w:r>
      <w:bookmarkStart w:id="13" w:name="OLE_LINK37"/>
      <w:r>
        <w:rPr>
          <w:rFonts w:hint="eastAsia" w:ascii="仿宋_GB2312"/>
          <w:szCs w:val="32"/>
        </w:rPr>
        <w:t>年初结转和结余486.53万元，年末结转和结余326.67万元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年度收入与年初预算对比增加2660.80万元，原因是：各项经费及节能环保减排资金增加；与2</w:t>
      </w:r>
      <w:r>
        <w:rPr>
          <w:rFonts w:ascii="仿宋_GB2312"/>
          <w:szCs w:val="32"/>
        </w:rPr>
        <w:t>016</w:t>
      </w:r>
      <w:r>
        <w:rPr>
          <w:rFonts w:hint="eastAsia" w:ascii="仿宋_GB2312"/>
          <w:szCs w:val="32"/>
        </w:rPr>
        <w:t>年度收入相比，增加1323.27万元，原因是：节能减排资金增加。</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年度支出与年初预算对比增加2820.66万元，原因是：各项经费及节能环保减排资金增加；与2</w:t>
      </w:r>
      <w:r>
        <w:rPr>
          <w:rFonts w:ascii="仿宋_GB2312"/>
          <w:szCs w:val="32"/>
        </w:rPr>
        <w:t>016</w:t>
      </w:r>
      <w:r>
        <w:rPr>
          <w:rFonts w:hint="eastAsia" w:ascii="仿宋_GB2312"/>
          <w:szCs w:val="32"/>
        </w:rPr>
        <w:t>年度支出相比，增加2112.61万元，原因是：环境保护资金增加。</w:t>
      </w:r>
    </w:p>
    <w:bookmarkEnd w:id="10"/>
    <w:bookmarkEnd w:id="11"/>
    <w:bookmarkEnd w:id="12"/>
    <w:p>
      <w:pPr>
        <w:ind w:firstLine="643"/>
        <w:rPr>
          <w:rFonts w:ascii="楷体" w:hAnsi="楷体" w:eastAsia="楷体"/>
          <w:b/>
          <w:szCs w:val="32"/>
        </w:rPr>
      </w:pPr>
      <w:bookmarkStart w:id="14" w:name="OLE_LINK3"/>
      <w:bookmarkStart w:id="15"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3697.71万元，其中：财政拨款收入3697.71万元，占总收入 100</w:t>
      </w:r>
      <w:r>
        <w:rPr>
          <w:rFonts w:ascii="仿宋" w:hAnsi="仿宋" w:eastAsia="仿宋"/>
          <w:szCs w:val="32"/>
        </w:rPr>
        <w:t>%</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年度支出合计3857.57万元，其中：</w:t>
      </w:r>
      <w:bookmarkStart w:id="18" w:name="OLE_LINK35"/>
      <w:r>
        <w:rPr>
          <w:rFonts w:hint="eastAsia" w:ascii="仿宋" w:hAnsi="仿宋" w:eastAsia="仿宋"/>
          <w:szCs w:val="32"/>
        </w:rPr>
        <w:t>基本支出 2134.66万元，占总支出 55.34%；</w:t>
      </w:r>
      <w:bookmarkEnd w:id="18"/>
      <w:r>
        <w:rPr>
          <w:rFonts w:hint="eastAsia" w:ascii="仿宋" w:hAnsi="仿宋" w:eastAsia="仿宋"/>
          <w:szCs w:val="32"/>
        </w:rPr>
        <w:t>项目支出 1722.91万元，占总支出 44.66%。</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2017年度财政拨款收入决算合计</w:t>
      </w:r>
      <w:r>
        <w:rPr>
          <w:rFonts w:hint="eastAsia" w:ascii="仿宋" w:hAnsi="仿宋" w:eastAsia="仿宋"/>
          <w:szCs w:val="32"/>
        </w:rPr>
        <w:t>3697.71</w:t>
      </w:r>
      <w:r>
        <w:rPr>
          <w:rFonts w:hint="eastAsia" w:ascii="仿宋_GB2312"/>
          <w:szCs w:val="32"/>
        </w:rPr>
        <w:t>万元，财政拨款支出决算合计</w:t>
      </w:r>
      <w:r>
        <w:rPr>
          <w:rFonts w:hint="eastAsia" w:ascii="仿宋" w:hAnsi="仿宋" w:eastAsia="仿宋"/>
          <w:szCs w:val="32"/>
        </w:rPr>
        <w:t>3857.57</w:t>
      </w:r>
      <w:r>
        <w:rPr>
          <w:rFonts w:hint="eastAsia" w:ascii="仿宋_GB2312"/>
          <w:szCs w:val="32"/>
        </w:rPr>
        <w:t>万元，年初结转和结余486.53万元，年末结转和结余326.67万元。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年度财政拨款收入与年初预算对比增加2660.8万元，原因是：各项经费及节能环保减排资金增加；与2</w:t>
      </w:r>
      <w:r>
        <w:rPr>
          <w:rFonts w:ascii="仿宋_GB2312"/>
          <w:szCs w:val="32"/>
        </w:rPr>
        <w:t>016</w:t>
      </w:r>
      <w:r>
        <w:rPr>
          <w:rFonts w:hint="eastAsia" w:ascii="仿宋_GB2312"/>
          <w:szCs w:val="32"/>
        </w:rPr>
        <w:t>年度相比，增加1323.27万元，原因是：节能减排资金增加。</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年度财政拨款支出与年初预算对比增加2820.66万元，原因是：节能环保减排资金增加；与2</w:t>
      </w:r>
      <w:r>
        <w:rPr>
          <w:rFonts w:ascii="仿宋_GB2312"/>
          <w:szCs w:val="32"/>
        </w:rPr>
        <w:t>016</w:t>
      </w:r>
      <w:r>
        <w:rPr>
          <w:rFonts w:hint="eastAsia" w:ascii="仿宋_GB2312"/>
          <w:szCs w:val="32"/>
        </w:rPr>
        <w:t>年度支出相比，增加2112.61万元，原因是：节能减排资金增加。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3</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-1.08</w:t>
            </w:r>
          </w:p>
        </w:tc>
        <w:tc>
          <w:tcPr>
            <w:tcW w:w="1417" w:type="dxa"/>
          </w:tcPr>
          <w:p>
            <w:pPr>
              <w:ind w:firstLine="0" w:firstLineChars="0"/>
              <w:jc w:val="center"/>
              <w:rPr>
                <w:rFonts w:ascii="仿宋_GB2312"/>
                <w:sz w:val="24"/>
                <w:szCs w:val="24"/>
              </w:rPr>
            </w:pPr>
            <w:r>
              <w:rPr>
                <w:rFonts w:hint="eastAsia" w:ascii="仿宋_GB2312"/>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20"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1.92</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1.92</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1.08</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-1.08</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p>
    <w:p>
      <w:pPr>
        <w:ind w:firstLine="643"/>
        <w:rPr>
          <w:rFonts w:ascii="仿宋_GB2312"/>
          <w:b/>
          <w:szCs w:val="32"/>
        </w:rPr>
      </w:pPr>
    </w:p>
    <w:p>
      <w:pPr>
        <w:ind w:firstLine="643"/>
        <w:rPr>
          <w:rFonts w:ascii="仿宋_GB2312"/>
          <w:b/>
          <w:szCs w:val="32"/>
        </w:rPr>
      </w:pPr>
    </w:p>
    <w:p>
      <w:pPr>
        <w:ind w:firstLine="0" w:firstLineChars="0"/>
        <w:rPr>
          <w:rFonts w:ascii="仿宋_GB2312"/>
          <w:b/>
          <w:szCs w:val="32"/>
        </w:rPr>
      </w:pPr>
    </w:p>
    <w:p>
      <w:pPr>
        <w:ind w:firstLine="643"/>
        <w:rPr>
          <w:rFonts w:ascii="仿宋_GB2312"/>
          <w:b/>
          <w:szCs w:val="32"/>
        </w:rPr>
      </w:pPr>
    </w:p>
    <w:p>
      <w:pPr>
        <w:ind w:firstLine="643"/>
        <w:rPr>
          <w:rFonts w:ascii="仿宋_GB2312"/>
          <w:b/>
          <w:szCs w:val="32"/>
        </w:rPr>
      </w:pPr>
      <w:r>
        <w:rPr>
          <w:rFonts w:hint="eastAsia" w:ascii="仿宋_GB2312"/>
          <w:b/>
          <w:szCs w:val="32"/>
        </w:rPr>
        <w:t>（一）对比增减原因分析</w:t>
      </w:r>
    </w:p>
    <w:p>
      <w:pPr>
        <w:ind w:firstLine="643"/>
        <w:rPr>
          <w:rFonts w:ascii="仿宋_GB2312"/>
          <w:b/>
          <w:szCs w:val="32"/>
        </w:rPr>
      </w:pP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年度“三公经费”支出总额1.92万元，与年初预算相比增加1.08万元，降低36%，原因是：减少了公务接待费用</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年度决算数相比增加1.92万元，增长100%，原因是：增加了公车运行维护费。</w:t>
      </w:r>
    </w:p>
    <w:p>
      <w:pPr>
        <w:ind w:firstLine="643"/>
        <w:rPr>
          <w:rFonts w:ascii="仿宋_GB2312"/>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年度因公出国（境）费0万元，与年初预算相比增加0万元，增长0%，原因是：没有领导参加单位组织的活动(事务)，与2</w:t>
      </w:r>
      <w:r>
        <w:rPr>
          <w:rFonts w:ascii="仿宋_GB2312"/>
          <w:szCs w:val="32"/>
        </w:rPr>
        <w:t>016</w:t>
      </w:r>
      <w:r>
        <w:rPr>
          <w:rFonts w:hint="eastAsia" w:ascii="仿宋_GB2312"/>
          <w:szCs w:val="32"/>
        </w:rPr>
        <w:t>年度决算数相比增加0万元，原因是：没有领导参加单位组织的活动(事务)。</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年度公务用车购置及运行维护费1.92万元，与年初预算相比增加0万元，增长0%，原因是：年初预算也是1.92，与2</w:t>
      </w:r>
      <w:r>
        <w:rPr>
          <w:rFonts w:ascii="仿宋_GB2312"/>
          <w:szCs w:val="32"/>
        </w:rPr>
        <w:t>016</w:t>
      </w:r>
      <w:r>
        <w:rPr>
          <w:rFonts w:hint="eastAsia" w:ascii="仿宋_GB2312"/>
          <w:szCs w:val="32"/>
        </w:rPr>
        <w:t>年度决算数相比增加1.92，原因是：增加了公车运行维护费。</w:t>
      </w:r>
    </w:p>
    <w:p>
      <w:pPr>
        <w:ind w:firstLine="640"/>
        <w:rPr>
          <w:rFonts w:ascii="仿宋_GB2312"/>
          <w:szCs w:val="32"/>
        </w:rPr>
      </w:pPr>
      <w:r>
        <w:rPr>
          <w:rFonts w:hint="eastAsia" w:ascii="仿宋_GB2312"/>
          <w:szCs w:val="32"/>
        </w:rPr>
        <w:t>其中：公务用车购置费,</w:t>
      </w:r>
      <w:r>
        <w:rPr>
          <w:rFonts w:hint="eastAsia"/>
        </w:rPr>
        <w:t xml:space="preserve"> </w:t>
      </w:r>
      <w:r>
        <w:rPr>
          <w:rFonts w:hint="eastAsia" w:ascii="仿宋_GB2312"/>
          <w:szCs w:val="32"/>
        </w:rPr>
        <w:t>与年初预算相比增加0万元，增长0%，原因是：我单位无公务车购置费，与2016年度决算数相比增加0万元，原因是：我单位无公务车购置费。</w:t>
      </w:r>
    </w:p>
    <w:p>
      <w:pPr>
        <w:ind w:firstLine="640"/>
        <w:rPr>
          <w:rFonts w:ascii="仿宋_GB2312"/>
          <w:szCs w:val="32"/>
        </w:rPr>
      </w:pPr>
      <w:r>
        <w:rPr>
          <w:rFonts w:hint="eastAsia" w:ascii="仿宋_GB2312"/>
          <w:szCs w:val="32"/>
        </w:rPr>
        <w:t>其中：公务用车维护费,</w:t>
      </w:r>
      <w:r>
        <w:rPr>
          <w:rFonts w:hint="eastAsia"/>
        </w:rPr>
        <w:t xml:space="preserve"> </w:t>
      </w:r>
      <w:r>
        <w:rPr>
          <w:rFonts w:hint="eastAsia" w:ascii="仿宋_GB2312"/>
          <w:szCs w:val="32"/>
        </w:rPr>
        <w:t>与年初预算相比增加0万元，增长0%，原因是：年初预算数也是1.92万元，与2016年度决算数相比增加1.92万元，原因是：增加了公车运行维护费。</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年度公务接待费0万元，与年初预算相比</w:t>
      </w:r>
      <w:r>
        <w:rPr>
          <w:rFonts w:hint="eastAsia" w:ascii="仿宋_GB2312"/>
          <w:szCs w:val="32"/>
          <w:lang w:eastAsia="zh-CN"/>
        </w:rPr>
        <w:t>减少</w:t>
      </w:r>
      <w:r>
        <w:rPr>
          <w:rFonts w:hint="eastAsia" w:ascii="仿宋_GB2312"/>
          <w:szCs w:val="32"/>
          <w:lang w:val="en-US" w:eastAsia="zh-CN"/>
        </w:rPr>
        <w:t>1.08</w:t>
      </w:r>
      <w:r>
        <w:rPr>
          <w:rFonts w:hint="eastAsia" w:ascii="仿宋_GB2312"/>
          <w:szCs w:val="32"/>
        </w:rPr>
        <w:t>万元，</w:t>
      </w:r>
      <w:r>
        <w:rPr>
          <w:rFonts w:hint="eastAsia" w:ascii="仿宋_GB2312"/>
          <w:szCs w:val="32"/>
          <w:lang w:eastAsia="zh-CN"/>
        </w:rPr>
        <w:t>减少</w:t>
      </w:r>
      <w:r>
        <w:rPr>
          <w:rFonts w:hint="eastAsia" w:ascii="仿宋_GB2312"/>
          <w:szCs w:val="32"/>
          <w:lang w:val="en-US" w:eastAsia="zh-CN"/>
        </w:rPr>
        <w:t>100</w:t>
      </w:r>
      <w:r>
        <w:rPr>
          <w:rFonts w:hint="eastAsia" w:ascii="仿宋_GB2312"/>
          <w:szCs w:val="32"/>
        </w:rPr>
        <w:t>%，原因是：未发生公务接待费用，与2</w:t>
      </w:r>
      <w:r>
        <w:rPr>
          <w:rFonts w:ascii="仿宋_GB2312"/>
          <w:szCs w:val="32"/>
        </w:rPr>
        <w:t>016</w:t>
      </w:r>
      <w:r>
        <w:rPr>
          <w:rFonts w:hint="eastAsia" w:ascii="仿宋_GB2312"/>
          <w:szCs w:val="32"/>
        </w:rPr>
        <w:t>年度决算数相比增加0，原因是：2016年也未发生公务接待费用。</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我部门绩效预算执行情况通过部门决算软件进行测评后得分为</w:t>
      </w:r>
      <w:r>
        <w:rPr>
          <w:rFonts w:ascii="仿宋_GB2312"/>
          <w:szCs w:val="32"/>
        </w:rPr>
        <w:t>56.5</w:t>
      </w:r>
      <w:r>
        <w:rPr>
          <w:rFonts w:hint="eastAsia" w:ascii="仿宋_GB2312"/>
          <w:szCs w:val="32"/>
        </w:rPr>
        <w:t>分，主要扣分及原因为：</w:t>
      </w:r>
    </w:p>
    <w:p>
      <w:pPr>
        <w:ind w:firstLine="640"/>
        <w:rPr>
          <w:rFonts w:ascii="仿宋_GB2312"/>
          <w:szCs w:val="32"/>
        </w:rPr>
      </w:pPr>
      <w:r>
        <w:rPr>
          <w:rFonts w:ascii="仿宋_GB2312"/>
          <w:szCs w:val="32"/>
        </w:rPr>
        <w:t>1</w:t>
      </w:r>
      <w:r>
        <w:rPr>
          <w:rFonts w:hint="eastAsia" w:ascii="仿宋_GB2312"/>
          <w:szCs w:val="32"/>
        </w:rPr>
        <w:t>、财政拨款收入预决算差异率扣</w:t>
      </w:r>
      <w:r>
        <w:rPr>
          <w:rFonts w:ascii="仿宋_GB2312"/>
          <w:szCs w:val="32"/>
        </w:rPr>
        <w:t>15</w:t>
      </w:r>
      <w:r>
        <w:rPr>
          <w:rFonts w:hint="eastAsia" w:ascii="仿宋_GB2312"/>
          <w:szCs w:val="32"/>
        </w:rPr>
        <w:t>分，原因为各部门与区级部门业务往来增加费用导致我部门本年实际收入大于年初预算；</w:t>
      </w:r>
    </w:p>
    <w:p>
      <w:pPr>
        <w:ind w:firstLine="640"/>
        <w:rPr>
          <w:rFonts w:ascii="仿宋_GB2312"/>
          <w:szCs w:val="32"/>
        </w:rPr>
      </w:pPr>
      <w:r>
        <w:rPr>
          <w:rFonts w:ascii="仿宋_GB2312"/>
          <w:szCs w:val="32"/>
        </w:rPr>
        <w:t>2</w:t>
      </w:r>
      <w:r>
        <w:rPr>
          <w:rFonts w:hint="eastAsia" w:ascii="仿宋_GB2312"/>
          <w:szCs w:val="32"/>
        </w:rPr>
        <w:t>、基本支出预决算差异率扣</w:t>
      </w:r>
      <w:r>
        <w:rPr>
          <w:rFonts w:ascii="仿宋_GB2312"/>
          <w:szCs w:val="32"/>
        </w:rPr>
        <w:t>5</w:t>
      </w:r>
      <w:r>
        <w:rPr>
          <w:rFonts w:hint="eastAsia" w:ascii="仿宋_GB2312"/>
          <w:szCs w:val="32"/>
        </w:rPr>
        <w:t>分，原因为本年实际收入增加导致支出增加，同比年初支出预算差异率增大；</w:t>
      </w:r>
    </w:p>
    <w:p>
      <w:pPr>
        <w:ind w:firstLine="640"/>
        <w:rPr>
          <w:rFonts w:ascii="仿宋_GB2312"/>
          <w:szCs w:val="32"/>
        </w:rPr>
      </w:pPr>
      <w:r>
        <w:rPr>
          <w:rFonts w:ascii="仿宋_GB2312"/>
          <w:szCs w:val="32"/>
        </w:rPr>
        <w:t>3</w:t>
      </w:r>
      <w:r>
        <w:rPr>
          <w:rFonts w:hint="eastAsia" w:ascii="仿宋_GB2312"/>
          <w:szCs w:val="32"/>
        </w:rPr>
        <w:t>、财政拨款结转和结余上下年变动率扣</w:t>
      </w:r>
      <w:r>
        <w:rPr>
          <w:rFonts w:ascii="仿宋_GB2312"/>
          <w:szCs w:val="32"/>
        </w:rPr>
        <w:t>9.5</w:t>
      </w:r>
      <w:r>
        <w:rPr>
          <w:rFonts w:hint="eastAsia" w:ascii="仿宋_GB2312"/>
          <w:szCs w:val="32"/>
        </w:rPr>
        <w:t>分，原因为本年财政拨款结转同比上年增加，原因为一些工程没有完成投资评审，未支付工程款，造成本年财政拨款结转增加；</w:t>
      </w:r>
      <w:r>
        <w:rPr>
          <w:rFonts w:ascii="仿宋_GB2312"/>
          <w:szCs w:val="32"/>
        </w:rPr>
        <w:t xml:space="preserve"> </w:t>
      </w:r>
    </w:p>
    <w:p>
      <w:pPr>
        <w:ind w:firstLine="640"/>
        <w:rPr>
          <w:rFonts w:ascii="仿宋_GB2312"/>
          <w:szCs w:val="32"/>
        </w:rPr>
      </w:pPr>
      <w:r>
        <w:rPr>
          <w:rFonts w:ascii="仿宋_GB2312"/>
          <w:szCs w:val="32"/>
        </w:rPr>
        <w:t>4</w:t>
      </w:r>
      <w:r>
        <w:rPr>
          <w:rFonts w:hint="eastAsia" w:ascii="仿宋_GB2312"/>
          <w:szCs w:val="32"/>
        </w:rPr>
        <w:t>、负债类往来款变动率扣</w:t>
      </w:r>
      <w:r>
        <w:rPr>
          <w:rFonts w:ascii="仿宋_GB2312"/>
          <w:szCs w:val="32"/>
        </w:rPr>
        <w:t>13</w:t>
      </w:r>
      <w:r>
        <w:rPr>
          <w:rFonts w:hint="eastAsia" w:ascii="仿宋_GB2312"/>
          <w:szCs w:val="32"/>
        </w:rPr>
        <w:t>分，原因为其他应付款数额巨大，资金往来未发放到位。</w:t>
      </w:r>
    </w:p>
    <w:p>
      <w:pPr>
        <w:ind w:firstLine="640"/>
        <w:rPr>
          <w:rFonts w:ascii="仿宋_GB2312"/>
          <w:szCs w:val="32"/>
        </w:rPr>
      </w:pPr>
      <w:r>
        <w:rPr>
          <w:rFonts w:ascii="仿宋_GB2312"/>
          <w:szCs w:val="32"/>
        </w:rPr>
        <w:t>5</w:t>
      </w:r>
      <w:r>
        <w:rPr>
          <w:rFonts w:hint="eastAsia" w:ascii="仿宋_GB2312"/>
          <w:szCs w:val="32"/>
        </w:rPr>
        <w:t>、在职人员控制率扣</w:t>
      </w:r>
      <w:r>
        <w:rPr>
          <w:rFonts w:ascii="仿宋_GB2312"/>
          <w:szCs w:val="32"/>
        </w:rPr>
        <w:t>1</w:t>
      </w:r>
      <w:r>
        <w:rPr>
          <w:rFonts w:hint="eastAsia" w:ascii="仿宋_GB2312"/>
          <w:szCs w:val="32"/>
        </w:rPr>
        <w:t>分，原因为我单位在职人数远大于编制人数。</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年度本部门机关运行经费支出2077.05万元，比201</w:t>
      </w:r>
      <w:r>
        <w:rPr>
          <w:rFonts w:ascii="仿宋_GB2312"/>
          <w:szCs w:val="32"/>
        </w:rPr>
        <w:t>6</w:t>
      </w:r>
      <w:r>
        <w:rPr>
          <w:rFonts w:hint="eastAsia" w:ascii="仿宋_GB2312"/>
          <w:szCs w:val="32"/>
        </w:rPr>
        <w:t>年度增加893.18万元，增长43%。主要原因是：我单位在职人员费用支出增加，自筹人员经费增加。</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年度本部门政府采购支出总额415.27万元，其中：政府采购货物支出13.77万元、政府采购工程支出398.46万元、政府采购服务支出3.04万元。</w:t>
      </w:r>
    </w:p>
    <w:p>
      <w:pPr>
        <w:ind w:firstLine="643"/>
        <w:rPr>
          <w:rFonts w:hint="eastAsia" w:ascii="仿宋" w:hAnsi="仿宋" w:eastAsia="仿宋"/>
          <w:b/>
          <w:szCs w:val="32"/>
        </w:rPr>
      </w:pPr>
      <w:r>
        <w:rPr>
          <w:rFonts w:hint="eastAsia" w:ascii="仿宋" w:hAnsi="仿宋" w:eastAsia="仿宋"/>
          <w:b/>
          <w:szCs w:val="32"/>
        </w:rPr>
        <w:t>3．国有资产占用情况。</w:t>
      </w:r>
    </w:p>
    <w:p>
      <w:pPr>
        <w:ind w:firstLine="643"/>
        <w:rPr>
          <w:rFonts w:hint="eastAsia" w:ascii="仿宋" w:hAnsi="仿宋" w:eastAsia="仿宋"/>
          <w:b/>
          <w:szCs w:val="32"/>
        </w:rPr>
      </w:pPr>
    </w:p>
    <w:p>
      <w:pPr>
        <w:ind w:firstLine="643"/>
        <w:rPr>
          <w:rFonts w:hint="eastAsia" w:ascii="仿宋" w:hAnsi="仿宋" w:eastAsia="仿宋"/>
          <w:b/>
          <w:szCs w:val="32"/>
        </w:rPr>
      </w:pPr>
    </w:p>
    <w:p>
      <w:pPr>
        <w:ind w:firstLine="643"/>
        <w:rPr>
          <w:rFonts w:hint="eastAsia" w:ascii="仿宋" w:hAnsi="仿宋" w:eastAsia="仿宋"/>
          <w:b/>
          <w:szCs w:val="32"/>
        </w:rPr>
      </w:pPr>
    </w:p>
    <w:p>
      <w:pPr>
        <w:ind w:firstLine="643"/>
        <w:rPr>
          <w:rFonts w:hint="eastAsia" w:ascii="仿宋" w:hAnsi="仿宋" w:eastAsia="仿宋"/>
          <w:b/>
          <w:szCs w:val="32"/>
        </w:rPr>
      </w:pPr>
    </w:p>
    <w:p>
      <w:pPr>
        <w:ind w:firstLine="643"/>
        <w:rPr>
          <w:rFonts w:hint="eastAsia" w:ascii="仿宋" w:hAnsi="仿宋" w:eastAsia="仿宋"/>
          <w:b/>
          <w:szCs w:val="32"/>
        </w:rPr>
      </w:pPr>
    </w:p>
    <w:p>
      <w:pPr>
        <w:ind w:firstLine="643"/>
        <w:rPr>
          <w:rFonts w:hint="eastAsia" w:ascii="仿宋" w:hAnsi="仿宋" w:eastAsia="仿宋"/>
          <w:b/>
          <w:szCs w:val="32"/>
        </w:rPr>
      </w:pPr>
    </w:p>
    <w:p>
      <w:pPr>
        <w:ind w:firstLine="643"/>
        <w:rPr>
          <w:rFonts w:hint="eastAsia" w:ascii="仿宋" w:hAnsi="仿宋" w:eastAsia="仿宋"/>
          <w:b/>
          <w:szCs w:val="32"/>
        </w:rPr>
      </w:pPr>
    </w:p>
    <w:p>
      <w:pPr>
        <w:ind w:firstLine="643"/>
        <w:rPr>
          <w:rFonts w:hint="eastAsia" w:ascii="仿宋" w:hAnsi="仿宋" w:eastAsia="仿宋"/>
          <w:b/>
          <w:szCs w:val="32"/>
        </w:rPr>
      </w:pPr>
    </w:p>
    <w:p>
      <w:pPr>
        <w:ind w:firstLine="643"/>
        <w:rPr>
          <w:rFonts w:hint="eastAsia" w:ascii="仿宋" w:hAnsi="仿宋" w:eastAsia="仿宋"/>
          <w:b/>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4" w:right="1531" w:bottom="1984" w:left="1531" w:header="851" w:footer="992" w:gutter="0"/>
          <w:cols w:space="0" w:num="1"/>
          <w:rtlGutter w:val="0"/>
          <w:docGrid w:type="lines" w:linePitch="312" w:charSpace="0"/>
        </w:sectPr>
      </w:pPr>
    </w:p>
    <w:p>
      <w:pPr>
        <w:ind w:firstLine="643"/>
        <w:rPr>
          <w:rFonts w:hint="eastAsia" w:ascii="仿宋" w:hAnsi="仿宋" w:eastAsia="仿宋"/>
          <w:b/>
          <w:szCs w:val="32"/>
        </w:rPr>
      </w:pPr>
    </w:p>
    <w:tbl>
      <w:tblPr>
        <w:tblStyle w:val="4"/>
        <w:tblW w:w="15146" w:type="dxa"/>
        <w:jc w:val="center"/>
        <w:tblInd w:w="0" w:type="dxa"/>
        <w:tblLayout w:type="fixed"/>
        <w:tblCellMar>
          <w:top w:w="0" w:type="dxa"/>
          <w:left w:w="108" w:type="dxa"/>
          <w:bottom w:w="0" w:type="dxa"/>
          <w:right w:w="108" w:type="dxa"/>
        </w:tblCellMar>
      </w:tblPr>
      <w:tblGrid>
        <w:gridCol w:w="4586"/>
        <w:gridCol w:w="656"/>
        <w:gridCol w:w="876"/>
        <w:gridCol w:w="876"/>
        <w:gridCol w:w="986"/>
        <w:gridCol w:w="986"/>
        <w:gridCol w:w="4642"/>
        <w:gridCol w:w="656"/>
        <w:gridCol w:w="882"/>
      </w:tblGrid>
      <w:tr>
        <w:tblPrEx>
          <w:tblLayout w:type="fixed"/>
          <w:tblCellMar>
            <w:top w:w="0" w:type="dxa"/>
            <w:left w:w="108" w:type="dxa"/>
            <w:bottom w:w="0" w:type="dxa"/>
            <w:right w:w="108" w:type="dxa"/>
          </w:tblCellMar>
        </w:tblPrEx>
        <w:trPr>
          <w:trHeight w:val="402" w:hRule="atLeast"/>
          <w:jc w:val="center"/>
        </w:trPr>
        <w:tc>
          <w:tcPr>
            <w:tcW w:w="4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97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0"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0"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82"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1185.18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1824.85</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598.36</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653.62</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2050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2050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2792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2792</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2050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2050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2792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2792</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207.22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207.22</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2050</w:t>
            </w:r>
          </w:p>
        </w:tc>
      </w:tr>
      <w:tr>
        <w:tblPrEx>
          <w:tblLayout w:type="fixed"/>
          <w:tblCellMar>
            <w:top w:w="0" w:type="dxa"/>
            <w:left w:w="108" w:type="dxa"/>
            <w:bottom w:w="0" w:type="dxa"/>
            <w:right w:w="108" w:type="dxa"/>
          </w:tblCellMar>
        </w:tblPrEx>
        <w:trPr>
          <w:trHeight w:val="77"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207.22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207.22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111.94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167.2</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　</w:t>
            </w:r>
          </w:p>
        </w:tc>
      </w:tr>
      <w:bookmarkEnd w:id="21"/>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82"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4" w:bottom="1531" w:left="1984" w:header="851" w:footer="992" w:gutter="0"/>
          <w:cols w:space="0" w:num="1"/>
          <w:rtlGutter w:val="0"/>
          <w:docGrid w:type="lines" w:linePitch="442" w:charSpace="0"/>
        </w:sectPr>
      </w:pP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年12月31日，固定资产653.62万元，与2016年相比增加55.26万元，主要原因是：我单位2017年度采购了电脑、打印机及空调等设备。</w:t>
      </w:r>
    </w:p>
    <w:p>
      <w:pPr>
        <w:ind w:firstLine="640"/>
        <w:rPr>
          <w:rFonts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日，本部门共有车辆</w:t>
      </w:r>
      <w:r>
        <w:rPr>
          <w:rFonts w:ascii="仿宋_GB2312"/>
          <w:szCs w:val="32"/>
        </w:rPr>
        <w:t>12</w:t>
      </w:r>
      <w:r>
        <w:rPr>
          <w:rFonts w:hint="eastAsia" w:ascii="仿宋_GB2312"/>
          <w:szCs w:val="32"/>
        </w:rPr>
        <w:t>辆，其中，一般公务用车</w:t>
      </w:r>
      <w:r>
        <w:rPr>
          <w:rFonts w:ascii="仿宋_GB2312"/>
          <w:szCs w:val="32"/>
        </w:rPr>
        <w:t>1</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11</w:t>
      </w:r>
      <w:r>
        <w:rPr>
          <w:rFonts w:hint="eastAsia" w:ascii="仿宋_GB2312"/>
          <w:szCs w:val="32"/>
        </w:rPr>
        <w:t>辆，其他用车主要是城管、打非、农办及环保用车；单位价值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会议费支出情况。</w:t>
      </w:r>
      <w:bookmarkStart w:id="22" w:name="OLE_LINK47"/>
      <w:bookmarkStart w:id="23" w:name="OLE_LINK46"/>
      <w:r>
        <w:rPr>
          <w:rFonts w:hint="eastAsia" w:ascii="仿宋_GB2312"/>
          <w:color w:val="000000" w:themeColor="text1"/>
          <w:szCs w:val="32"/>
          <w14:textFill>
            <w14:solidFill>
              <w14:schemeClr w14:val="tx1"/>
            </w14:solidFill>
          </w14:textFill>
        </w:rPr>
        <w:t>2017年会议费总计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万元，原因是：</w:t>
      </w:r>
      <w:r>
        <w:rPr>
          <w:rFonts w:hint="eastAsia" w:ascii="仿宋_GB2312"/>
          <w:color w:val="000000" w:themeColor="text1"/>
          <w:szCs w:val="32"/>
          <w:lang w:val="en-US" w:eastAsia="zh-CN"/>
          <w14:textFill>
            <w14:solidFill>
              <w14:schemeClr w14:val="tx1"/>
            </w14:solidFill>
          </w14:textFill>
        </w:rPr>
        <w:t>2017年度未发生会议费支出，2016年也未发生会议费支出</w:t>
      </w:r>
      <w:r>
        <w:rPr>
          <w:rFonts w:hint="eastAsia" w:ascii="仿宋_GB2312"/>
          <w:color w:val="000000" w:themeColor="text1"/>
          <w:szCs w:val="32"/>
          <w14:textFill>
            <w14:solidFill>
              <w14:schemeClr w14:val="tx1"/>
            </w14:solidFill>
          </w14:textFill>
        </w:rPr>
        <w:t>。</w:t>
      </w:r>
    </w:p>
    <w:bookmarkEnd w:id="22"/>
    <w:bookmarkEnd w:id="23"/>
    <w:p>
      <w:pPr>
        <w:ind w:firstLine="640"/>
        <w:rPr>
          <w:rFonts w:hint="eastAsia" w:ascii="仿宋_GB2312"/>
          <w:color w:val="000000" w:themeColor="text1"/>
          <w:szCs w:val="32"/>
          <w:lang w:val="en-US"/>
          <w14:textFill>
            <w14:solidFill>
              <w14:schemeClr w14:val="tx1"/>
            </w14:solidFill>
          </w14:textFill>
        </w:rPr>
      </w:pPr>
      <w:r>
        <w:rPr>
          <w:rFonts w:hint="eastAsia" w:ascii="仿宋_GB2312"/>
          <w:color w:val="000000" w:themeColor="text1"/>
          <w:szCs w:val="32"/>
          <w14:textFill>
            <w14:solidFill>
              <w14:schemeClr w14:val="tx1"/>
            </w14:solidFill>
          </w14:textFill>
        </w:rPr>
        <w:t>培训费支出情况。2017年培训费总计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2017年度未发生培训费支出，2016年也未发生培训费支出。</w:t>
      </w:r>
    </w:p>
    <w:p>
      <w:pPr>
        <w:spacing w:line="240" w:lineRule="auto"/>
        <w:ind w:firstLine="1440"/>
        <w:rPr>
          <w:rFonts w:ascii="黑体" w:hAnsi="黑体" w:eastAsia="黑体"/>
          <w:sz w:val="72"/>
          <w:szCs w:val="7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984" w:right="1531" w:bottom="1984" w:left="1531"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9</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15</w:t>
    </w:r>
    <w:r>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22</w:t>
    </w:r>
    <w:r>
      <w:rPr>
        <w:rFonts w:ascii="Arial" w:hAnsi="Arial" w:cs="Arial"/>
        <w:b/>
        <w:sz w:val="21"/>
        <w:szCs w:val="21"/>
      </w:rPr>
      <w:fldChar w:fldCharType="end"/>
    </w:r>
    <w:r>
      <w:rPr>
        <w:rFonts w:hint="eastAsia"/>
        <w:b/>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49A8"/>
    <w:multiLevelType w:val="multilevel"/>
    <w:tmpl w:val="5AC449A8"/>
    <w:lvl w:ilvl="0" w:tentative="0">
      <w:start w:val="1"/>
      <w:numFmt w:val="japaneseCounting"/>
      <w:lvlText w:val="%1、"/>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12028"/>
    <w:rsid w:val="00015FE1"/>
    <w:rsid w:val="000244B1"/>
    <w:rsid w:val="0002619F"/>
    <w:rsid w:val="000444A1"/>
    <w:rsid w:val="00054C53"/>
    <w:rsid w:val="0007561C"/>
    <w:rsid w:val="00092424"/>
    <w:rsid w:val="000932B4"/>
    <w:rsid w:val="000A6AE7"/>
    <w:rsid w:val="000B565C"/>
    <w:rsid w:val="000D34CD"/>
    <w:rsid w:val="000F00FD"/>
    <w:rsid w:val="000F1EBE"/>
    <w:rsid w:val="00103253"/>
    <w:rsid w:val="0011224D"/>
    <w:rsid w:val="00127C8F"/>
    <w:rsid w:val="0014243E"/>
    <w:rsid w:val="00150F70"/>
    <w:rsid w:val="00155A0C"/>
    <w:rsid w:val="00172A9E"/>
    <w:rsid w:val="00175A3A"/>
    <w:rsid w:val="0017741E"/>
    <w:rsid w:val="0019263B"/>
    <w:rsid w:val="001C62EA"/>
    <w:rsid w:val="001D4B6C"/>
    <w:rsid w:val="001E398D"/>
    <w:rsid w:val="001F41FA"/>
    <w:rsid w:val="00204503"/>
    <w:rsid w:val="00231700"/>
    <w:rsid w:val="00261106"/>
    <w:rsid w:val="00271D6D"/>
    <w:rsid w:val="0027309A"/>
    <w:rsid w:val="00273E03"/>
    <w:rsid w:val="0029596B"/>
    <w:rsid w:val="002963AF"/>
    <w:rsid w:val="002A3356"/>
    <w:rsid w:val="002C0202"/>
    <w:rsid w:val="002C13B4"/>
    <w:rsid w:val="002D1C92"/>
    <w:rsid w:val="002F30E3"/>
    <w:rsid w:val="00305FCB"/>
    <w:rsid w:val="00310A7C"/>
    <w:rsid w:val="00312F9F"/>
    <w:rsid w:val="003155B1"/>
    <w:rsid w:val="003209A7"/>
    <w:rsid w:val="00376853"/>
    <w:rsid w:val="00397009"/>
    <w:rsid w:val="003A7302"/>
    <w:rsid w:val="003B5523"/>
    <w:rsid w:val="003D144F"/>
    <w:rsid w:val="003E60BD"/>
    <w:rsid w:val="003F6043"/>
    <w:rsid w:val="00404BA5"/>
    <w:rsid w:val="00405DD5"/>
    <w:rsid w:val="00443128"/>
    <w:rsid w:val="00450D4D"/>
    <w:rsid w:val="004A4947"/>
    <w:rsid w:val="004C5CFD"/>
    <w:rsid w:val="004E7B5F"/>
    <w:rsid w:val="004F1F8E"/>
    <w:rsid w:val="00502034"/>
    <w:rsid w:val="005046AD"/>
    <w:rsid w:val="005462E5"/>
    <w:rsid w:val="00562ED9"/>
    <w:rsid w:val="00587761"/>
    <w:rsid w:val="00593550"/>
    <w:rsid w:val="00594763"/>
    <w:rsid w:val="005C39CD"/>
    <w:rsid w:val="005C5A21"/>
    <w:rsid w:val="005C7CFB"/>
    <w:rsid w:val="005D4EF5"/>
    <w:rsid w:val="005E2EB4"/>
    <w:rsid w:val="005E382E"/>
    <w:rsid w:val="00610C61"/>
    <w:rsid w:val="00613250"/>
    <w:rsid w:val="00630D6A"/>
    <w:rsid w:val="00632195"/>
    <w:rsid w:val="006508EE"/>
    <w:rsid w:val="00661402"/>
    <w:rsid w:val="00661FC6"/>
    <w:rsid w:val="006742C9"/>
    <w:rsid w:val="00674F90"/>
    <w:rsid w:val="00682F9B"/>
    <w:rsid w:val="006A1D43"/>
    <w:rsid w:val="006B012E"/>
    <w:rsid w:val="006C00CA"/>
    <w:rsid w:val="006D30D5"/>
    <w:rsid w:val="006D6A17"/>
    <w:rsid w:val="006E09C2"/>
    <w:rsid w:val="006F2903"/>
    <w:rsid w:val="006F5699"/>
    <w:rsid w:val="006F59DB"/>
    <w:rsid w:val="006F7A05"/>
    <w:rsid w:val="00712D5F"/>
    <w:rsid w:val="007152E1"/>
    <w:rsid w:val="00744B46"/>
    <w:rsid w:val="00746674"/>
    <w:rsid w:val="00783FCB"/>
    <w:rsid w:val="0079593D"/>
    <w:rsid w:val="007C4984"/>
    <w:rsid w:val="007D592B"/>
    <w:rsid w:val="007E24BA"/>
    <w:rsid w:val="007F0D04"/>
    <w:rsid w:val="008029DA"/>
    <w:rsid w:val="0080381A"/>
    <w:rsid w:val="0080733F"/>
    <w:rsid w:val="008248C5"/>
    <w:rsid w:val="00830C9C"/>
    <w:rsid w:val="008468F5"/>
    <w:rsid w:val="008529DA"/>
    <w:rsid w:val="008716D0"/>
    <w:rsid w:val="00880E28"/>
    <w:rsid w:val="008951B5"/>
    <w:rsid w:val="008B58C8"/>
    <w:rsid w:val="008C78C5"/>
    <w:rsid w:val="008E1C86"/>
    <w:rsid w:val="008F3A14"/>
    <w:rsid w:val="008F3FDB"/>
    <w:rsid w:val="0092275C"/>
    <w:rsid w:val="00930827"/>
    <w:rsid w:val="00937A08"/>
    <w:rsid w:val="00945029"/>
    <w:rsid w:val="00952574"/>
    <w:rsid w:val="009552B9"/>
    <w:rsid w:val="00965AC4"/>
    <w:rsid w:val="009A2241"/>
    <w:rsid w:val="009A30D9"/>
    <w:rsid w:val="009D3E47"/>
    <w:rsid w:val="009F4499"/>
    <w:rsid w:val="00A05198"/>
    <w:rsid w:val="00A13A55"/>
    <w:rsid w:val="00A231D5"/>
    <w:rsid w:val="00A266EB"/>
    <w:rsid w:val="00A4272B"/>
    <w:rsid w:val="00A513A6"/>
    <w:rsid w:val="00A74948"/>
    <w:rsid w:val="00A93803"/>
    <w:rsid w:val="00AA33A5"/>
    <w:rsid w:val="00AB34E3"/>
    <w:rsid w:val="00AB6E9C"/>
    <w:rsid w:val="00AC5258"/>
    <w:rsid w:val="00AC76D6"/>
    <w:rsid w:val="00AF2C1C"/>
    <w:rsid w:val="00B42B02"/>
    <w:rsid w:val="00B44106"/>
    <w:rsid w:val="00B50C1A"/>
    <w:rsid w:val="00B701EF"/>
    <w:rsid w:val="00B72BF5"/>
    <w:rsid w:val="00B73075"/>
    <w:rsid w:val="00B86180"/>
    <w:rsid w:val="00B94752"/>
    <w:rsid w:val="00B96A7F"/>
    <w:rsid w:val="00BA26B2"/>
    <w:rsid w:val="00BB55D2"/>
    <w:rsid w:val="00BC27C2"/>
    <w:rsid w:val="00BC4069"/>
    <w:rsid w:val="00BC45FD"/>
    <w:rsid w:val="00BC625F"/>
    <w:rsid w:val="00BD0561"/>
    <w:rsid w:val="00BD0D49"/>
    <w:rsid w:val="00BE146F"/>
    <w:rsid w:val="00BE4E6C"/>
    <w:rsid w:val="00BF0965"/>
    <w:rsid w:val="00BF0B55"/>
    <w:rsid w:val="00BF1C0F"/>
    <w:rsid w:val="00C36EFE"/>
    <w:rsid w:val="00C4624F"/>
    <w:rsid w:val="00C55579"/>
    <w:rsid w:val="00C662ED"/>
    <w:rsid w:val="00C90C6E"/>
    <w:rsid w:val="00CC10BC"/>
    <w:rsid w:val="00CE7AA1"/>
    <w:rsid w:val="00CF1175"/>
    <w:rsid w:val="00CF7D21"/>
    <w:rsid w:val="00D0680E"/>
    <w:rsid w:val="00D2211A"/>
    <w:rsid w:val="00D2301D"/>
    <w:rsid w:val="00D34D1F"/>
    <w:rsid w:val="00D4698B"/>
    <w:rsid w:val="00D51081"/>
    <w:rsid w:val="00D54ECC"/>
    <w:rsid w:val="00D82AF5"/>
    <w:rsid w:val="00D82B95"/>
    <w:rsid w:val="00D847D0"/>
    <w:rsid w:val="00D870C2"/>
    <w:rsid w:val="00D87BD4"/>
    <w:rsid w:val="00DA3074"/>
    <w:rsid w:val="00DA409A"/>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419AF"/>
    <w:rsid w:val="00F71B7D"/>
    <w:rsid w:val="00F7462B"/>
    <w:rsid w:val="00F76952"/>
    <w:rsid w:val="00F9758A"/>
    <w:rsid w:val="00FA31F0"/>
    <w:rsid w:val="00FA7D53"/>
    <w:rsid w:val="00FC3BAC"/>
    <w:rsid w:val="00FD5BCA"/>
    <w:rsid w:val="00FE4210"/>
    <w:rsid w:val="00FF65FE"/>
    <w:rsid w:val="01337899"/>
    <w:rsid w:val="29C77A0D"/>
    <w:rsid w:val="707E12BD"/>
    <w:rsid w:val="7A46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0FAC1-A929-4D63-9558-CB9A4E46301F}">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22</Pages>
  <Words>1022</Words>
  <Characters>5830</Characters>
  <Lines>48</Lines>
  <Paragraphs>13</Paragraphs>
  <TotalTime>0</TotalTime>
  <ScaleCrop>false</ScaleCrop>
  <LinksUpToDate>false</LinksUpToDate>
  <CharactersWithSpaces>6839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2019-03-14T07:44:19Z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