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秦皇岛杜庄工业聚集区管理委员会</w:t>
      </w:r>
    </w:p>
    <w:p>
      <w:pPr>
        <w:widowControl/>
        <w:spacing w:line="580" w:lineRule="exact"/>
        <w:ind w:firstLine="0" w:firstLineChars="0"/>
        <w:jc w:val="center"/>
        <w:rPr>
          <w:rFonts w:ascii="黑体" w:hAnsi="黑体" w:eastAsia="黑体"/>
          <w:color w:val="FF0000"/>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lang w:eastAsia="zh-CN"/>
        </w:rPr>
        <w:t>秦皇岛杜庄工业集聚区管理委员会</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lang w:eastAsia="zh-CN"/>
        </w:rPr>
        <w:t>秦皇岛杜庄工业集聚区管理委员会</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lang w:eastAsia="zh-CN"/>
        </w:rPr>
        <w:t>秦皇岛杜庄工业集聚区管理委员会</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6"/>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秦皇岛杜庄工业集聚区管理委员会</w:t>
      </w:r>
      <w:r>
        <w:rPr>
          <w:rFonts w:hint="eastAsia" w:ascii="黑体" w:hAnsi="黑体" w:eastAsia="黑体"/>
          <w:sz w:val="72"/>
          <w:szCs w:val="72"/>
        </w:rPr>
        <w:t>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numPr>
          <w:ilvl w:val="0"/>
          <w:numId w:val="1"/>
        </w:numPr>
        <w:ind w:firstLine="1273" w:firstLineChars="398"/>
        <w:rPr>
          <w:rFonts w:hint="eastAsia" w:ascii="仿宋_GB2312" w:hAnsi="黑体"/>
          <w:szCs w:val="32"/>
        </w:rPr>
      </w:pPr>
      <w:bookmarkStart w:id="8" w:name="OLE_LINK14"/>
      <w:r>
        <w:rPr>
          <w:rFonts w:hint="eastAsia" w:ascii="仿宋_GB2312" w:hAnsi="黑体"/>
          <w:szCs w:val="32"/>
        </w:rPr>
        <w:t>部门职责</w:t>
      </w:r>
    </w:p>
    <w:p>
      <w:pPr>
        <w:numPr>
          <w:ilvl w:val="0"/>
          <w:numId w:val="0"/>
        </w:numPr>
        <w:rPr>
          <w:rFonts w:hint="eastAsia" w:ascii="仿宋_GB2312" w:hAnsi="黑体"/>
          <w:szCs w:val="32"/>
          <w:lang w:val="en-US" w:eastAsia="zh-CN"/>
        </w:rPr>
      </w:pPr>
      <w:r>
        <w:rPr>
          <w:rFonts w:hint="eastAsia" w:ascii="仿宋_GB2312" w:hAnsi="黑体"/>
          <w:szCs w:val="32"/>
          <w:lang w:val="en-US" w:eastAsia="zh-CN"/>
        </w:rPr>
        <w:t xml:space="preserve">    1、宣传贯彻党的路线、方针、政策和国家的法律法规，执行上级组织的决议、决定，协调辖区单位，保证党和政府各项任务顺利完成。</w:t>
      </w:r>
    </w:p>
    <w:p>
      <w:pPr>
        <w:numPr>
          <w:ilvl w:val="0"/>
          <w:numId w:val="0"/>
        </w:numPr>
        <w:ind w:firstLine="640" w:firstLineChars="200"/>
        <w:rPr>
          <w:rFonts w:hint="eastAsia" w:ascii="仿宋_GB2312" w:hAnsi="黑体"/>
          <w:szCs w:val="32"/>
          <w:lang w:val="en-US" w:eastAsia="zh-CN"/>
        </w:rPr>
      </w:pPr>
      <w:r>
        <w:rPr>
          <w:rFonts w:hint="eastAsia" w:ascii="仿宋_GB2312" w:hAnsi="黑体"/>
          <w:szCs w:val="32"/>
          <w:lang w:val="en-US" w:eastAsia="zh-CN"/>
        </w:rPr>
        <w:t>2、组织协调辖区内社会管理综合治理和维护稳定工作。</w:t>
      </w:r>
    </w:p>
    <w:p>
      <w:pPr>
        <w:numPr>
          <w:ilvl w:val="0"/>
          <w:numId w:val="0"/>
        </w:numPr>
        <w:ind w:firstLine="640" w:firstLineChars="200"/>
        <w:rPr>
          <w:rFonts w:hint="eastAsia" w:ascii="仿宋_GB2312" w:hAnsi="黑体"/>
          <w:szCs w:val="32"/>
          <w:lang w:val="en-US" w:eastAsia="zh-CN"/>
        </w:rPr>
      </w:pPr>
      <w:r>
        <w:rPr>
          <w:rFonts w:hint="eastAsia" w:ascii="仿宋_GB2312" w:hAnsi="黑体"/>
          <w:szCs w:val="32"/>
          <w:lang w:val="en-US" w:eastAsia="zh-CN"/>
        </w:rPr>
        <w:t>3、编制辖区的总体规划和辖区区域性城市发展规划、国土利用规划，经批准后组织实施。</w:t>
      </w:r>
    </w:p>
    <w:p>
      <w:pPr>
        <w:numPr>
          <w:ilvl w:val="0"/>
          <w:numId w:val="0"/>
        </w:numPr>
        <w:ind w:firstLine="640" w:firstLineChars="200"/>
        <w:rPr>
          <w:rFonts w:hint="eastAsia" w:ascii="仿宋_GB2312" w:hAnsi="黑体"/>
          <w:szCs w:val="32"/>
          <w:lang w:val="en-US" w:eastAsia="zh-CN"/>
        </w:rPr>
      </w:pPr>
      <w:r>
        <w:rPr>
          <w:rFonts w:hint="eastAsia" w:ascii="仿宋_GB2312" w:hAnsi="黑体"/>
          <w:szCs w:val="32"/>
          <w:lang w:val="en-US" w:eastAsia="zh-CN"/>
        </w:rPr>
        <w:t>4、负责辖区基础设施、公用设施的建设和管理;辖区范围内征地拆迁、补偿安置工作。</w:t>
      </w:r>
    </w:p>
    <w:p>
      <w:pPr>
        <w:numPr>
          <w:ilvl w:val="0"/>
          <w:numId w:val="0"/>
        </w:numPr>
        <w:ind w:firstLine="640" w:firstLineChars="200"/>
        <w:rPr>
          <w:rFonts w:hint="eastAsia" w:ascii="仿宋_GB2312" w:hAnsi="黑体"/>
          <w:szCs w:val="32"/>
          <w:lang w:val="en-US" w:eastAsia="zh-CN"/>
        </w:rPr>
      </w:pPr>
      <w:r>
        <w:rPr>
          <w:rFonts w:hint="eastAsia" w:ascii="仿宋_GB2312" w:hAnsi="黑体"/>
          <w:szCs w:val="32"/>
          <w:lang w:val="en-US" w:eastAsia="zh-CN"/>
        </w:rPr>
        <w:t>5、负责园区招商引资、项目建设工作、负责园区固定资产投资项目的组织。</w:t>
      </w:r>
    </w:p>
    <w:p>
      <w:pPr>
        <w:numPr>
          <w:ilvl w:val="0"/>
          <w:numId w:val="0"/>
        </w:numPr>
        <w:ind w:firstLine="640" w:firstLineChars="200"/>
        <w:rPr>
          <w:rFonts w:hint="eastAsia" w:ascii="仿宋_GB2312" w:hAnsi="黑体"/>
          <w:szCs w:val="32"/>
          <w:lang w:val="en-US" w:eastAsia="zh-CN"/>
        </w:rPr>
      </w:pPr>
      <w:r>
        <w:rPr>
          <w:rFonts w:hint="eastAsia" w:ascii="仿宋_GB2312" w:hAnsi="黑体"/>
          <w:szCs w:val="32"/>
          <w:lang w:val="en-US" w:eastAsia="zh-CN"/>
        </w:rPr>
        <w:t>6、负责辖区环境保护和安全生产监督管理工作；食品药品安监工作；人力资源社会保障工作；教育、文化、人口与计划生育工作等。</w:t>
      </w:r>
    </w:p>
    <w:p>
      <w:pPr>
        <w:numPr>
          <w:ilvl w:val="0"/>
          <w:numId w:val="0"/>
        </w:numPr>
        <w:rPr>
          <w:rFonts w:hint="eastAsia" w:ascii="仿宋_GB2312" w:hAnsi="黑体" w:eastAsia="仿宋_GB2312"/>
          <w:szCs w:val="32"/>
          <w:lang w:val="en-US" w:eastAsia="zh-CN"/>
        </w:rPr>
      </w:pP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hint="eastAsia"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1881"/>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5" w:type="dxa"/>
          </w:tcPr>
          <w:p>
            <w:pPr>
              <w:ind w:firstLine="0" w:firstLineChars="0"/>
              <w:jc w:val="center"/>
              <w:rPr>
                <w:rFonts w:hint="eastAsia" w:ascii="仿宋_GB2312" w:hAnsi="黑体"/>
                <w:sz w:val="28"/>
                <w:szCs w:val="28"/>
              </w:rPr>
            </w:pPr>
            <w:r>
              <w:rPr>
                <w:rFonts w:hint="eastAsia" w:ascii="仿宋_GB2312" w:hAnsi="黑体"/>
                <w:sz w:val="28"/>
                <w:szCs w:val="28"/>
              </w:rPr>
              <w:t>单位名称</w:t>
            </w:r>
          </w:p>
        </w:tc>
        <w:tc>
          <w:tcPr>
            <w:tcW w:w="1881" w:type="dxa"/>
          </w:tcPr>
          <w:p>
            <w:pPr>
              <w:ind w:firstLine="0" w:firstLineChars="0"/>
              <w:jc w:val="center"/>
              <w:rPr>
                <w:rFonts w:hint="eastAsia"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5" w:type="dxa"/>
          </w:tcPr>
          <w:p>
            <w:pPr>
              <w:ind w:firstLine="0" w:firstLineChars="0"/>
              <w:rPr>
                <w:rFonts w:hint="eastAsia" w:ascii="仿宋_GB2312" w:hAnsi="黑体" w:eastAsia="仿宋_GB2312"/>
                <w:sz w:val="28"/>
                <w:szCs w:val="28"/>
                <w:lang w:eastAsia="zh-CN"/>
              </w:rPr>
            </w:pPr>
            <w:bookmarkStart w:id="33" w:name="_GoBack" w:colFirst="1" w:colLast="3"/>
            <w:r>
              <w:rPr>
                <w:rFonts w:hint="eastAsia" w:ascii="仿宋_GB2312" w:hAnsi="黑体"/>
                <w:sz w:val="28"/>
                <w:szCs w:val="28"/>
                <w:lang w:eastAsia="zh-CN"/>
              </w:rPr>
              <w:t>秦皇岛杜庄工业集聚区管理委员会</w:t>
            </w:r>
          </w:p>
        </w:tc>
        <w:tc>
          <w:tcPr>
            <w:tcW w:w="1881"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行政机关</w:t>
            </w:r>
          </w:p>
        </w:tc>
        <w:tc>
          <w:tcPr>
            <w:tcW w:w="2209"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副处级</w:t>
            </w:r>
          </w:p>
        </w:tc>
        <w:tc>
          <w:tcPr>
            <w:tcW w:w="2209"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财政拨款</w:t>
            </w:r>
          </w:p>
        </w:tc>
      </w:tr>
      <w:bookmarkEnd w:id="33"/>
      <w:bookmarkEnd w:id="8"/>
    </w:tbl>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秦皇岛杜庄工业集聚区管理委员会</w:t>
      </w: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3" w:type="default"/>
          <w:footerReference r:id="rId4" w:type="default"/>
          <w:pgSz w:w="11906" w:h="16838"/>
          <w:pgMar w:top="1984" w:right="1531" w:bottom="1984" w:left="1531" w:header="851" w:footer="992" w:gutter="0"/>
          <w:cols w:space="0" w:num="1"/>
          <w:rtlGutter w:val="0"/>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w:t>
      </w:r>
      <w:r>
        <w:rPr>
          <w:rFonts w:hint="eastAsia" w:ascii="黑体" w:hAnsi="黑体" w:eastAsia="黑体"/>
          <w:sz w:val="72"/>
          <w:szCs w:val="72"/>
          <w:lang w:eastAsia="zh-CN"/>
        </w:rPr>
        <w:t>秦皇岛杜庄工业集聚区管理委员会</w:t>
      </w: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640"/>
        <w:rPr>
          <w:rFonts w:hint="eastAsia" w:ascii="仿宋" w:hAnsi="仿宋" w:eastAsia="仿宋" w:cs="仿宋"/>
          <w:szCs w:val="32"/>
        </w:rPr>
      </w:pPr>
      <w:bookmarkStart w:id="12" w:name="OLE_LINK23"/>
      <w:r>
        <w:rPr>
          <w:rFonts w:hint="eastAsia" w:ascii="仿宋" w:hAnsi="仿宋" w:eastAsia="仿宋" w:cs="仿宋"/>
          <w:szCs w:val="32"/>
        </w:rPr>
        <w:t>2017年度决算收入总计182.92万元，决算支出总计177.25万元，年初结转和结余0.25万元，年末结转和结余5.92万元。</w:t>
      </w:r>
    </w:p>
    <w:p>
      <w:pPr>
        <w:ind w:firstLine="640"/>
        <w:rPr>
          <w:rFonts w:hint="eastAsia" w:ascii="仿宋" w:hAnsi="仿宋" w:eastAsia="仿宋" w:cs="仿宋"/>
          <w:szCs w:val="32"/>
        </w:rPr>
      </w:pPr>
      <w:r>
        <w:rPr>
          <w:rFonts w:hint="eastAsia" w:ascii="仿宋" w:hAnsi="仿宋" w:eastAsia="仿宋" w:cs="仿宋"/>
          <w:szCs w:val="32"/>
        </w:rPr>
        <w:t>2017年度收入与年初预算对比增加36.03万元，原因是：2017年工资调标及增加取暖补贴、车补等人员支出；与2016年度收入相比，增加24.64万元，原因是：2017年工资调标及增加精神文明奖等人员支出。</w:t>
      </w:r>
    </w:p>
    <w:p>
      <w:pPr>
        <w:ind w:firstLine="640"/>
        <w:rPr>
          <w:rFonts w:hint="eastAsia" w:ascii="仿宋" w:hAnsi="仿宋" w:eastAsia="仿宋" w:cs="仿宋"/>
          <w:szCs w:val="32"/>
        </w:rPr>
      </w:pPr>
      <w:r>
        <w:rPr>
          <w:rFonts w:hint="eastAsia" w:ascii="仿宋" w:hAnsi="仿宋" w:eastAsia="仿宋" w:cs="仿宋"/>
          <w:szCs w:val="32"/>
        </w:rPr>
        <w:t>2017年度支出与年初预算对比增加30.36万元，原因是：2017年工资调标及增加取暖补贴、车补等人员支出；与2016年度支出相比，增加31.09万元，原因是：2017年工资调标及增加精神文明奖等人员支出。</w:t>
      </w:r>
    </w:p>
    <w:bookmarkEnd w:id="10"/>
    <w:bookmarkEnd w:id="11"/>
    <w:bookmarkEnd w:id="12"/>
    <w:p>
      <w:pPr>
        <w:ind w:firstLine="643"/>
        <w:rPr>
          <w:rFonts w:ascii="楷体" w:hAnsi="楷体" w:eastAsia="楷体"/>
          <w:b/>
          <w:szCs w:val="32"/>
        </w:rPr>
      </w:pPr>
      <w:bookmarkStart w:id="13" w:name="OLE_LINK4"/>
      <w:bookmarkStart w:id="14" w:name="OLE_LINK3"/>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ascii="仿宋" w:hAnsi="仿宋" w:eastAsia="仿宋"/>
          <w:szCs w:val="32"/>
        </w:rPr>
        <w:t>2017</w:t>
      </w:r>
      <w:r>
        <w:rPr>
          <w:rFonts w:hint="eastAsia" w:ascii="仿宋" w:hAnsi="仿宋" w:eastAsia="仿宋"/>
          <w:szCs w:val="32"/>
        </w:rPr>
        <w:t>年度收入合计</w:t>
      </w:r>
      <w:r>
        <w:rPr>
          <w:rFonts w:ascii="仿宋" w:hAnsi="仿宋" w:eastAsia="仿宋"/>
          <w:szCs w:val="32"/>
        </w:rPr>
        <w:t xml:space="preserve"> 182.92</w:t>
      </w:r>
      <w:r>
        <w:rPr>
          <w:rFonts w:hint="eastAsia" w:ascii="仿宋" w:hAnsi="仿宋" w:eastAsia="仿宋"/>
          <w:szCs w:val="32"/>
        </w:rPr>
        <w:t>万元，其中：财政拨款收入</w:t>
      </w:r>
      <w:r>
        <w:rPr>
          <w:rFonts w:ascii="仿宋" w:hAnsi="仿宋" w:eastAsia="仿宋"/>
          <w:szCs w:val="32"/>
        </w:rPr>
        <w:t>182.92</w:t>
      </w:r>
      <w:r>
        <w:rPr>
          <w:rFonts w:hint="eastAsia" w:ascii="仿宋" w:hAnsi="仿宋" w:eastAsia="仿宋"/>
          <w:szCs w:val="32"/>
        </w:rPr>
        <w:t>万元，占总收入</w:t>
      </w:r>
      <w:r>
        <w:rPr>
          <w:rFonts w:ascii="仿宋" w:hAnsi="仿宋" w:eastAsia="仿宋"/>
          <w:szCs w:val="32"/>
        </w:rPr>
        <w:t>100%</w:t>
      </w:r>
      <w:r>
        <w:rPr>
          <w:rFonts w:hint="eastAsia" w:ascii="仿宋" w:hAnsi="仿宋" w:eastAsia="仿宋"/>
          <w:szCs w:val="32"/>
        </w:rPr>
        <w:t>；事业收入</w:t>
      </w:r>
      <w:r>
        <w:rPr>
          <w:rFonts w:ascii="仿宋" w:hAnsi="仿宋" w:eastAsia="仿宋"/>
          <w:szCs w:val="32"/>
        </w:rPr>
        <w:t>0</w:t>
      </w:r>
      <w:r>
        <w:rPr>
          <w:rFonts w:hint="eastAsia" w:ascii="仿宋" w:hAnsi="仿宋" w:eastAsia="仿宋"/>
          <w:szCs w:val="32"/>
        </w:rPr>
        <w:t>万元；上级补助收入</w:t>
      </w:r>
      <w:r>
        <w:rPr>
          <w:rFonts w:ascii="仿宋" w:hAnsi="仿宋" w:eastAsia="仿宋"/>
          <w:szCs w:val="32"/>
        </w:rPr>
        <w:t>0</w:t>
      </w:r>
      <w:r>
        <w:rPr>
          <w:rFonts w:hint="eastAsia" w:ascii="仿宋" w:hAnsi="仿宋" w:eastAsia="仿宋"/>
          <w:szCs w:val="32"/>
        </w:rPr>
        <w:t>万元；经营收入</w:t>
      </w:r>
      <w:r>
        <w:rPr>
          <w:rFonts w:ascii="仿宋" w:hAnsi="仿宋" w:eastAsia="仿宋"/>
          <w:szCs w:val="32"/>
        </w:rPr>
        <w:t>0</w:t>
      </w:r>
      <w:r>
        <w:rPr>
          <w:rFonts w:hint="eastAsia" w:ascii="仿宋" w:hAnsi="仿宋" w:eastAsia="仿宋"/>
          <w:szCs w:val="32"/>
        </w:rPr>
        <w:t>万元；其它收入</w:t>
      </w:r>
      <w:r>
        <w:rPr>
          <w:rFonts w:ascii="仿宋" w:hAnsi="仿宋" w:eastAsia="仿宋"/>
          <w:szCs w:val="32"/>
        </w:rPr>
        <w:t>0</w:t>
      </w:r>
      <w:r>
        <w:rPr>
          <w:rFonts w:hint="eastAsia" w:ascii="仿宋" w:hAnsi="仿宋" w:eastAsia="仿宋"/>
          <w:szCs w:val="32"/>
        </w:rPr>
        <w:t>万元。</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ascii="仿宋" w:hAnsi="仿宋" w:eastAsia="仿宋"/>
          <w:szCs w:val="32"/>
        </w:rPr>
        <w:t>2017</w:t>
      </w:r>
      <w:r>
        <w:rPr>
          <w:rFonts w:hint="eastAsia" w:ascii="仿宋" w:hAnsi="仿宋" w:eastAsia="仿宋"/>
          <w:szCs w:val="32"/>
        </w:rPr>
        <w:t>年度支出合计</w:t>
      </w:r>
      <w:r>
        <w:rPr>
          <w:rFonts w:ascii="仿宋" w:hAnsi="仿宋" w:eastAsia="仿宋"/>
          <w:szCs w:val="32"/>
        </w:rPr>
        <w:t>177.25</w:t>
      </w:r>
      <w:r>
        <w:rPr>
          <w:rFonts w:hint="eastAsia" w:ascii="仿宋" w:hAnsi="仿宋" w:eastAsia="仿宋"/>
          <w:szCs w:val="32"/>
        </w:rPr>
        <w:t>万元，其中：</w:t>
      </w:r>
      <w:bookmarkStart w:id="15" w:name="OLE_LINK35"/>
      <w:r>
        <w:rPr>
          <w:rFonts w:hint="eastAsia" w:ascii="仿宋" w:hAnsi="仿宋" w:eastAsia="仿宋"/>
          <w:szCs w:val="32"/>
        </w:rPr>
        <w:t>基本支出</w:t>
      </w:r>
      <w:r>
        <w:rPr>
          <w:rFonts w:ascii="仿宋" w:hAnsi="仿宋" w:eastAsia="仿宋"/>
          <w:szCs w:val="32"/>
        </w:rPr>
        <w:t xml:space="preserve"> 173.58</w:t>
      </w:r>
      <w:r>
        <w:rPr>
          <w:rFonts w:hint="eastAsia" w:ascii="仿宋" w:hAnsi="仿宋" w:eastAsia="仿宋"/>
          <w:szCs w:val="32"/>
        </w:rPr>
        <w:t>万元，占总支出</w:t>
      </w:r>
      <w:r>
        <w:rPr>
          <w:rFonts w:ascii="仿宋" w:hAnsi="仿宋" w:eastAsia="仿宋"/>
          <w:szCs w:val="32"/>
        </w:rPr>
        <w:t>97.93%</w:t>
      </w:r>
      <w:r>
        <w:rPr>
          <w:rFonts w:hint="eastAsia" w:ascii="仿宋" w:hAnsi="仿宋" w:eastAsia="仿宋"/>
          <w:szCs w:val="32"/>
        </w:rPr>
        <w:t>；</w:t>
      </w:r>
      <w:bookmarkEnd w:id="15"/>
      <w:r>
        <w:rPr>
          <w:rFonts w:hint="eastAsia" w:ascii="仿宋" w:hAnsi="仿宋" w:eastAsia="仿宋"/>
          <w:szCs w:val="32"/>
        </w:rPr>
        <w:t>项目支出</w:t>
      </w:r>
      <w:r>
        <w:rPr>
          <w:rFonts w:ascii="仿宋" w:hAnsi="仿宋" w:eastAsia="仿宋"/>
          <w:szCs w:val="32"/>
        </w:rPr>
        <w:t xml:space="preserve"> 3.67</w:t>
      </w:r>
      <w:r>
        <w:rPr>
          <w:rFonts w:hint="eastAsia" w:ascii="仿宋" w:hAnsi="仿宋" w:eastAsia="仿宋"/>
          <w:szCs w:val="32"/>
        </w:rPr>
        <w:t>万元，占总支出</w:t>
      </w:r>
      <w:r>
        <w:rPr>
          <w:rFonts w:ascii="仿宋" w:hAnsi="仿宋" w:eastAsia="仿宋"/>
          <w:szCs w:val="32"/>
        </w:rPr>
        <w:t xml:space="preserve"> 2.07%</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3"/>
      <w:bookmarkEnd w:id="14"/>
      <w:r>
        <w:rPr>
          <w:rFonts w:hint="eastAsia" w:ascii="楷体" w:hAnsi="楷体" w:eastAsia="楷体"/>
          <w:b/>
          <w:szCs w:val="32"/>
        </w:rPr>
        <w:t>收入支出决算总体情况说明</w:t>
      </w:r>
    </w:p>
    <w:p>
      <w:pPr>
        <w:ind w:firstLine="640"/>
        <w:rPr>
          <w:rFonts w:hint="eastAsia" w:ascii="仿宋_GB2312"/>
          <w:szCs w:val="32"/>
        </w:rPr>
      </w:pPr>
      <w:bookmarkStart w:id="16" w:name="OLE_LINK29"/>
      <w:r>
        <w:rPr>
          <w:rFonts w:hint="eastAsia" w:ascii="仿宋_GB2312"/>
          <w:szCs w:val="32"/>
        </w:rPr>
        <w:t>2017年度财政拨款收入决算总计182.92万元，财政拨款支出决算总计177.25万元，年初结转和结余0.25万元，年末结转和结余5.92万元。</w:t>
      </w:r>
    </w:p>
    <w:p>
      <w:pPr>
        <w:ind w:firstLine="640"/>
        <w:rPr>
          <w:rFonts w:hint="eastAsia" w:ascii="仿宋_GB2312"/>
          <w:szCs w:val="32"/>
        </w:rPr>
      </w:pPr>
      <w:r>
        <w:rPr>
          <w:rFonts w:hint="eastAsia" w:ascii="仿宋_GB2312"/>
          <w:szCs w:val="32"/>
        </w:rPr>
        <w:t>2017年度财政拨款收入与年初预算对比增加36.03万元，原因是2017年工资调标及增加取暖补贴、车补等人员支出；与2016年度相比，增加24.64万元，原因是：2017年工资调标及增加精神文明奖等人员支出。</w:t>
      </w:r>
    </w:p>
    <w:p>
      <w:pPr>
        <w:ind w:firstLine="640"/>
        <w:rPr>
          <w:rFonts w:hint="eastAsia" w:ascii="仿宋_GB2312"/>
          <w:szCs w:val="32"/>
        </w:rPr>
      </w:pPr>
      <w:r>
        <w:rPr>
          <w:rFonts w:hint="eastAsia" w:ascii="仿宋_GB2312"/>
          <w:szCs w:val="32"/>
        </w:rPr>
        <w:t>2017年度财政拨款支出与年初预算对比增加30.36万元，原因是：2017年工资调标及增加取暖补贴、车补等人员支出；与2016年度支出相比，增加31.09万元，原因是：2017年工资调标及增加精神文明奖等人员支出。</w:t>
      </w:r>
    </w:p>
    <w:bookmarkEnd w:id="16"/>
    <w:p>
      <w:pPr>
        <w:numPr>
          <w:ilvl w:val="0"/>
          <w:numId w:val="2"/>
        </w:numPr>
        <w:ind w:firstLine="643"/>
        <w:rPr>
          <w:rFonts w:hint="eastAsia" w:ascii="楷体" w:hAnsi="楷体" w:eastAsia="楷体"/>
          <w:b/>
          <w:szCs w:val="32"/>
        </w:rPr>
      </w:pPr>
      <w:r>
        <w:rPr>
          <w:rFonts w:hint="eastAsia" w:ascii="楷体" w:hAnsi="楷体" w:eastAsia="楷体"/>
          <w:b/>
          <w:szCs w:val="32"/>
        </w:rPr>
        <w:t>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17"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r>
              <w:rPr>
                <w:rFonts w:hint="eastAsia" w:ascii="仿宋_GB2312"/>
                <w:color w:val="auto"/>
                <w:sz w:val="24"/>
                <w:szCs w:val="24"/>
              </w:rPr>
              <w:t>其中：公务用车维护费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rPr>
              <w:t>0</w:t>
            </w:r>
            <w:r>
              <w:rPr>
                <w:rFonts w:hint="eastAsia" w:ascii="仿宋_GB2312"/>
                <w:sz w:val="24"/>
                <w:szCs w:val="24"/>
                <w:lang w:val="en-US" w:eastAsia="zh-CN"/>
              </w:rPr>
              <w:t>.18</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rPr>
              <w:t>0</w:t>
            </w:r>
            <w:r>
              <w:rPr>
                <w:rFonts w:hint="eastAsia" w:ascii="仿宋_GB2312"/>
                <w:sz w:val="24"/>
                <w:szCs w:val="24"/>
                <w:lang w:val="en-US" w:eastAsia="zh-CN"/>
              </w:rPr>
              <w:t>.18</w:t>
            </w:r>
          </w:p>
        </w:tc>
        <w:tc>
          <w:tcPr>
            <w:tcW w:w="1474"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-0.18</w:t>
            </w:r>
          </w:p>
        </w:tc>
        <w:tc>
          <w:tcPr>
            <w:tcW w:w="1417"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-0.18</w:t>
            </w:r>
          </w:p>
        </w:tc>
      </w:tr>
    </w:tbl>
    <w:p>
      <w:pPr>
        <w:ind w:firstLine="643"/>
        <w:rPr>
          <w:rFonts w:hint="eastAsia" w:ascii="仿宋_GB2312"/>
          <w:b/>
          <w:szCs w:val="32"/>
        </w:rPr>
      </w:pPr>
    </w:p>
    <w:p>
      <w:pPr>
        <w:ind w:firstLine="643"/>
        <w:rPr>
          <w:rFonts w:hint="eastAsia" w:ascii="仿宋_GB2312"/>
          <w:b w:val="0"/>
          <w:bCs/>
          <w:szCs w:val="32"/>
        </w:rPr>
      </w:pPr>
      <w:r>
        <w:rPr>
          <w:rFonts w:hint="eastAsia" w:ascii="仿宋_GB2312"/>
          <w:b/>
          <w:szCs w:val="32"/>
        </w:rPr>
        <w:t>（一）对比增减原因分析</w:t>
      </w:r>
    </w:p>
    <w:p>
      <w:pPr>
        <w:ind w:firstLine="643"/>
        <w:rPr>
          <w:rFonts w:hint="eastAsia" w:ascii="仿宋_GB2312"/>
          <w:b w:val="0"/>
          <w:bCs/>
          <w:szCs w:val="32"/>
        </w:rPr>
      </w:pPr>
      <w:r>
        <w:rPr>
          <w:rFonts w:hint="eastAsia" w:ascii="仿宋_GB2312"/>
          <w:b w:val="0"/>
          <w:bCs/>
          <w:szCs w:val="32"/>
        </w:rPr>
        <w:t>1</w:t>
      </w:r>
      <w:r>
        <w:rPr>
          <w:rFonts w:hint="eastAsia" w:ascii="仿宋_GB2312"/>
          <w:b w:val="0"/>
          <w:bCs/>
          <w:szCs w:val="32"/>
          <w:lang w:val="en-US" w:eastAsia="zh-CN"/>
        </w:rPr>
        <w:t>.</w:t>
      </w:r>
      <w:r>
        <w:rPr>
          <w:rFonts w:hint="eastAsia" w:ascii="仿宋_GB2312"/>
          <w:b w:val="0"/>
          <w:bCs/>
          <w:szCs w:val="32"/>
        </w:rPr>
        <w:t>2017年度“三公经费”支出总额0万元，</w:t>
      </w:r>
      <w:r>
        <w:rPr>
          <w:rFonts w:hint="eastAsia" w:ascii="仿宋_GB2312"/>
          <w:b w:val="0"/>
          <w:bCs/>
          <w:szCs w:val="32"/>
          <w:lang w:eastAsia="zh-CN"/>
        </w:rPr>
        <w:t>年初预算数为</w:t>
      </w:r>
      <w:r>
        <w:rPr>
          <w:rFonts w:hint="eastAsia" w:ascii="仿宋_GB2312"/>
          <w:b w:val="0"/>
          <w:bCs/>
          <w:szCs w:val="32"/>
          <w:lang w:val="en-US" w:eastAsia="zh-CN"/>
        </w:rPr>
        <w:t>0万元，</w:t>
      </w:r>
      <w:r>
        <w:rPr>
          <w:rFonts w:hint="eastAsia" w:ascii="仿宋_GB2312"/>
          <w:b w:val="0"/>
          <w:bCs/>
          <w:szCs w:val="32"/>
        </w:rPr>
        <w:t>与年初预算相比减少0.18万元，</w:t>
      </w:r>
      <w:bookmarkStart w:id="18" w:name="OLE_LINK39"/>
      <w:bookmarkStart w:id="19" w:name="OLE_LINK38"/>
      <w:bookmarkStart w:id="20" w:name="OLE_LINK10"/>
      <w:bookmarkStart w:id="21" w:name="OLE_LINK8"/>
      <w:r>
        <w:rPr>
          <w:rFonts w:hint="eastAsia" w:ascii="仿宋_GB2312"/>
          <w:b w:val="0"/>
          <w:bCs/>
          <w:szCs w:val="32"/>
        </w:rPr>
        <w:t>降低100%</w:t>
      </w:r>
      <w:bookmarkEnd w:id="18"/>
      <w:bookmarkEnd w:id="19"/>
      <w:r>
        <w:rPr>
          <w:rFonts w:hint="eastAsia" w:ascii="仿宋_GB2312"/>
          <w:b w:val="0"/>
          <w:bCs/>
          <w:szCs w:val="32"/>
        </w:rPr>
        <w:t>，</w:t>
      </w:r>
      <w:bookmarkEnd w:id="20"/>
      <w:bookmarkEnd w:id="21"/>
      <w:r>
        <w:rPr>
          <w:rFonts w:hint="eastAsia" w:ascii="仿宋_GB2312"/>
          <w:b w:val="0"/>
          <w:bCs/>
          <w:szCs w:val="32"/>
        </w:rPr>
        <w:t>原因是：没有</w:t>
      </w:r>
      <w:r>
        <w:rPr>
          <w:rFonts w:hint="eastAsia" w:ascii="仿宋_GB2312"/>
          <w:b w:val="0"/>
          <w:bCs/>
          <w:szCs w:val="32"/>
          <w:lang w:eastAsia="zh-CN"/>
        </w:rPr>
        <w:t>支出</w:t>
      </w:r>
      <w:r>
        <w:rPr>
          <w:rFonts w:hint="eastAsia" w:ascii="仿宋_GB2312"/>
          <w:b w:val="0"/>
          <w:bCs/>
          <w:szCs w:val="32"/>
        </w:rPr>
        <w:t>公务招待费；与2016年度决算数相比减少0.18万元，降低100%，原因是：没有</w:t>
      </w:r>
      <w:r>
        <w:rPr>
          <w:rFonts w:hint="eastAsia" w:ascii="仿宋_GB2312"/>
          <w:b w:val="0"/>
          <w:bCs/>
          <w:szCs w:val="32"/>
          <w:lang w:eastAsia="zh-CN"/>
        </w:rPr>
        <w:t>支出</w:t>
      </w:r>
      <w:r>
        <w:rPr>
          <w:rFonts w:hint="eastAsia" w:ascii="仿宋_GB2312"/>
          <w:b w:val="0"/>
          <w:bCs/>
          <w:szCs w:val="32"/>
        </w:rPr>
        <w:t>公务招待费。</w:t>
      </w:r>
    </w:p>
    <w:p>
      <w:pPr>
        <w:ind w:firstLine="643"/>
        <w:rPr>
          <w:rFonts w:hint="eastAsia" w:ascii="仿宋_GB2312"/>
          <w:b w:val="0"/>
          <w:bCs/>
          <w:szCs w:val="32"/>
        </w:rPr>
      </w:pPr>
      <w:bookmarkStart w:id="22" w:name="OLE_LINK9"/>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年度因公出国（境）费</w:t>
      </w:r>
      <w:r>
        <w:rPr>
          <w:rFonts w:hint="eastAsia" w:ascii="仿宋_GB2312"/>
          <w:szCs w:val="32"/>
          <w:lang w:val="en-US" w:eastAsia="zh-CN"/>
        </w:rPr>
        <w:t>0</w:t>
      </w:r>
      <w:r>
        <w:rPr>
          <w:rFonts w:hint="eastAsia" w:ascii="仿宋_GB2312"/>
          <w:szCs w:val="32"/>
        </w:rPr>
        <w:t>万元，年初预算</w:t>
      </w:r>
      <w:r>
        <w:rPr>
          <w:rFonts w:hint="eastAsia" w:ascii="仿宋_GB2312"/>
          <w:szCs w:val="32"/>
          <w:lang w:eastAsia="zh-CN"/>
        </w:rPr>
        <w:t>为</w:t>
      </w:r>
      <w:r>
        <w:rPr>
          <w:rFonts w:hint="eastAsia" w:ascii="仿宋_GB2312"/>
          <w:szCs w:val="32"/>
          <w:lang w:val="en-US" w:eastAsia="zh-CN"/>
        </w:rPr>
        <w:t>0</w:t>
      </w:r>
      <w:r>
        <w:rPr>
          <w:rFonts w:hint="eastAsia" w:ascii="仿宋_GB2312"/>
          <w:szCs w:val="32"/>
        </w:rPr>
        <w:t>万元，</w:t>
      </w:r>
      <w:r>
        <w:rPr>
          <w:rFonts w:hint="eastAsia" w:ascii="仿宋_GB2312"/>
          <w:szCs w:val="32"/>
          <w:lang w:val="en-US" w:eastAsia="zh-CN"/>
        </w:rPr>
        <w:t>2016年度决算数为0万元，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2017年未发生因公出国费用</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年初预算未安排，</w:t>
      </w:r>
      <w:r>
        <w:rPr>
          <w:rFonts w:hint="eastAsia" w:ascii="仿宋_GB2312"/>
          <w:color w:val="000000" w:themeColor="text1"/>
          <w:szCs w:val="32"/>
          <w14:textFill>
            <w14:solidFill>
              <w14:schemeClr w14:val="tx1"/>
            </w14:solidFill>
          </w14:textFill>
        </w:rPr>
        <w:t>2</w:t>
      </w:r>
      <w:r>
        <w:rPr>
          <w:rFonts w:ascii="仿宋_GB2312"/>
          <w:color w:val="000000" w:themeColor="text1"/>
          <w:szCs w:val="32"/>
          <w14:textFill>
            <w14:solidFill>
              <w14:schemeClr w14:val="tx1"/>
            </w14:solidFill>
          </w14:textFill>
        </w:rPr>
        <w:t>016</w:t>
      </w:r>
      <w:r>
        <w:rPr>
          <w:rFonts w:hint="eastAsia" w:ascii="仿宋_GB2312"/>
          <w:color w:val="000000" w:themeColor="text1"/>
          <w:szCs w:val="32"/>
          <w14:textFill>
            <w14:solidFill>
              <w14:schemeClr w14:val="tx1"/>
            </w14:solidFill>
          </w14:textFill>
        </w:rPr>
        <w:t>年</w:t>
      </w:r>
      <w:r>
        <w:rPr>
          <w:rFonts w:hint="eastAsia" w:ascii="仿宋_GB2312"/>
          <w:color w:val="000000" w:themeColor="text1"/>
          <w:szCs w:val="32"/>
          <w:lang w:eastAsia="zh-CN"/>
          <w14:textFill>
            <w14:solidFill>
              <w14:schemeClr w14:val="tx1"/>
            </w14:solidFill>
          </w14:textFill>
        </w:rPr>
        <w:t>也未发生因公出国费用。</w:t>
      </w:r>
    </w:p>
    <w:p>
      <w:pPr>
        <w:ind w:firstLine="643"/>
        <w:rPr>
          <w:rFonts w:hint="eastAsia" w:ascii="仿宋_GB2312"/>
          <w:b w:val="0"/>
          <w:bCs/>
          <w:szCs w:val="32"/>
          <w:lang w:val="en-US" w:eastAsia="zh-CN"/>
        </w:rPr>
      </w:pPr>
      <w:r>
        <w:rPr>
          <w:rFonts w:hint="eastAsia" w:ascii="仿宋_GB2312"/>
          <w:b w:val="0"/>
          <w:bCs/>
          <w:szCs w:val="32"/>
        </w:rPr>
        <w:t>3．2017年</w:t>
      </w:r>
      <w:bookmarkStart w:id="23" w:name="OLE_LINK18"/>
      <w:bookmarkStart w:id="24" w:name="OLE_LINK19"/>
      <w:r>
        <w:rPr>
          <w:rFonts w:hint="eastAsia" w:ascii="仿宋_GB2312"/>
          <w:b w:val="0"/>
          <w:bCs/>
          <w:szCs w:val="32"/>
        </w:rPr>
        <w:t>度公务用车购置及运行维护费</w:t>
      </w:r>
      <w:bookmarkEnd w:id="23"/>
      <w:bookmarkEnd w:id="24"/>
      <w:r>
        <w:rPr>
          <w:rFonts w:hint="eastAsia" w:ascii="仿宋_GB2312"/>
          <w:b w:val="0"/>
          <w:bCs/>
          <w:szCs w:val="32"/>
        </w:rPr>
        <w:t>0万元，与年初预算相同；与2016年度决算数相同</w:t>
      </w:r>
      <w:r>
        <w:rPr>
          <w:rFonts w:hint="eastAsia" w:ascii="仿宋_GB2312"/>
          <w:b w:val="0"/>
          <w:bCs/>
          <w:szCs w:val="32"/>
          <w:lang w:eastAsia="zh-CN"/>
        </w:rPr>
        <w:t>，原因为</w:t>
      </w:r>
      <w:r>
        <w:rPr>
          <w:rFonts w:hint="eastAsia" w:ascii="仿宋_GB2312"/>
          <w:b w:val="0"/>
          <w:bCs/>
          <w:szCs w:val="32"/>
          <w:lang w:val="en-US" w:eastAsia="zh-CN"/>
        </w:rPr>
        <w:t>2016年和2017年均没有预算和支出。</w:t>
      </w:r>
    </w:p>
    <w:p>
      <w:pPr>
        <w:ind w:firstLine="64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其中：公务用车购置费,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年初预算</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val="en-US" w:eastAsia="zh-CN"/>
          <w14:textFill>
            <w14:solidFill>
              <w14:schemeClr w14:val="tx1"/>
            </w14:solidFill>
          </w14:textFill>
        </w:rPr>
        <w:t>2016</w:t>
      </w:r>
      <w:r>
        <w:rPr>
          <w:rFonts w:hint="eastAsia" w:ascii="仿宋_GB2312"/>
          <w:color w:val="000000" w:themeColor="text1"/>
          <w:szCs w:val="32"/>
          <w14:textFill>
            <w14:solidFill>
              <w14:schemeClr w14:val="tx1"/>
            </w14:solidFill>
          </w14:textFill>
        </w:rPr>
        <w:t>年度决算数</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2017年度未发生公务用车购置费，年初预算未安排，2016年也未发生公务用车购置费用</w:t>
      </w:r>
      <w:r>
        <w:rPr>
          <w:rFonts w:hint="eastAsia" w:ascii="仿宋_GB2312"/>
          <w:color w:val="000000" w:themeColor="text1"/>
          <w:szCs w:val="32"/>
          <w14:textFill>
            <w14:solidFill>
              <w14:schemeClr w14:val="tx1"/>
            </w14:solidFill>
          </w14:textFill>
        </w:rPr>
        <w:t>。</w:t>
      </w:r>
    </w:p>
    <w:p>
      <w:pPr>
        <w:ind w:firstLine="64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w:t>
      </w:r>
      <w:r>
        <w:rPr>
          <w:rFonts w:hint="eastAsia" w:ascii="仿宋_GB2312"/>
          <w:color w:val="000000" w:themeColor="text1"/>
          <w:szCs w:val="32"/>
          <w:lang w:eastAsia="zh-CN"/>
          <w14:textFill>
            <w14:solidFill>
              <w14:schemeClr w14:val="tx1"/>
            </w14:solidFill>
          </w14:textFill>
        </w:rPr>
        <w:t>运行维护</w:t>
      </w:r>
      <w:r>
        <w:rPr>
          <w:rFonts w:hint="eastAsia" w:ascii="仿宋_GB2312"/>
          <w:color w:val="000000" w:themeColor="text1"/>
          <w:szCs w:val="32"/>
          <w14:textFill>
            <w14:solidFill>
              <w14:schemeClr w14:val="tx1"/>
            </w14:solidFill>
          </w14:textFill>
        </w:rPr>
        <w:t>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年初预算</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val="en-US" w:eastAsia="zh-CN"/>
          <w14:textFill>
            <w14:solidFill>
              <w14:schemeClr w14:val="tx1"/>
            </w14:solidFill>
          </w14:textFill>
        </w:rPr>
        <w:t>2016</w:t>
      </w:r>
      <w:r>
        <w:rPr>
          <w:rFonts w:hint="eastAsia" w:ascii="仿宋_GB2312"/>
          <w:color w:val="000000" w:themeColor="text1"/>
          <w:szCs w:val="32"/>
          <w14:textFill>
            <w14:solidFill>
              <w14:schemeClr w14:val="tx1"/>
            </w14:solidFill>
          </w14:textFill>
        </w:rPr>
        <w:t>年度决算数</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2017年度未发生公务用车</w:t>
      </w:r>
      <w:r>
        <w:rPr>
          <w:rFonts w:hint="eastAsia" w:ascii="仿宋_GB2312"/>
          <w:color w:val="000000" w:themeColor="text1"/>
          <w:szCs w:val="32"/>
          <w:lang w:eastAsia="zh-CN"/>
          <w14:textFill>
            <w14:solidFill>
              <w14:schemeClr w14:val="tx1"/>
            </w14:solidFill>
          </w14:textFill>
        </w:rPr>
        <w:t>运行维护</w:t>
      </w:r>
      <w:r>
        <w:rPr>
          <w:rFonts w:hint="eastAsia" w:ascii="仿宋_GB2312"/>
          <w:color w:val="000000" w:themeColor="text1"/>
          <w:szCs w:val="32"/>
          <w:lang w:val="en-US" w:eastAsia="zh-CN"/>
          <w14:textFill>
            <w14:solidFill>
              <w14:schemeClr w14:val="tx1"/>
            </w14:solidFill>
          </w14:textFill>
        </w:rPr>
        <w:t>费，年初预算未安排，2016年也未发生公务用车</w:t>
      </w:r>
      <w:r>
        <w:rPr>
          <w:rFonts w:hint="eastAsia" w:ascii="仿宋_GB2312"/>
          <w:color w:val="000000" w:themeColor="text1"/>
          <w:szCs w:val="32"/>
          <w:lang w:eastAsia="zh-CN"/>
          <w14:textFill>
            <w14:solidFill>
              <w14:schemeClr w14:val="tx1"/>
            </w14:solidFill>
          </w14:textFill>
        </w:rPr>
        <w:t>运行维护</w:t>
      </w:r>
      <w:r>
        <w:rPr>
          <w:rFonts w:hint="eastAsia" w:ascii="仿宋_GB2312"/>
          <w:color w:val="000000" w:themeColor="text1"/>
          <w:szCs w:val="32"/>
          <w:lang w:val="en-US" w:eastAsia="zh-CN"/>
          <w14:textFill>
            <w14:solidFill>
              <w14:schemeClr w14:val="tx1"/>
            </w14:solidFill>
          </w14:textFill>
        </w:rPr>
        <w:t>费用</w:t>
      </w:r>
      <w:r>
        <w:rPr>
          <w:rFonts w:hint="eastAsia" w:ascii="仿宋_GB2312"/>
          <w:color w:val="000000" w:themeColor="text1"/>
          <w:szCs w:val="32"/>
          <w14:textFill>
            <w14:solidFill>
              <w14:schemeClr w14:val="tx1"/>
            </w14:solidFill>
          </w14:textFill>
        </w:rPr>
        <w:t>。</w:t>
      </w:r>
    </w:p>
    <w:bookmarkEnd w:id="22"/>
    <w:p>
      <w:pPr>
        <w:ind w:firstLine="643"/>
        <w:rPr>
          <w:rFonts w:hint="eastAsia" w:ascii="仿宋_GB2312"/>
          <w:b w:val="0"/>
          <w:bCs/>
          <w:szCs w:val="32"/>
        </w:rPr>
      </w:pPr>
      <w:r>
        <w:rPr>
          <w:rFonts w:hint="eastAsia" w:ascii="仿宋_GB2312"/>
          <w:b w:val="0"/>
          <w:bCs/>
          <w:szCs w:val="32"/>
        </w:rPr>
        <w:t>4．2017年</w:t>
      </w:r>
      <w:bookmarkStart w:id="25" w:name="OLE_LINK20"/>
      <w:r>
        <w:rPr>
          <w:rFonts w:hint="eastAsia" w:ascii="仿宋_GB2312"/>
          <w:b w:val="0"/>
          <w:bCs/>
          <w:szCs w:val="32"/>
        </w:rPr>
        <w:t>度公务接待费</w:t>
      </w:r>
      <w:bookmarkEnd w:id="25"/>
      <w:r>
        <w:rPr>
          <w:rFonts w:hint="eastAsia" w:ascii="仿宋_GB2312"/>
          <w:b w:val="0"/>
          <w:bCs/>
          <w:szCs w:val="32"/>
        </w:rPr>
        <w:t>0万元，</w:t>
      </w:r>
      <w:r>
        <w:rPr>
          <w:rFonts w:hint="eastAsia" w:ascii="仿宋_GB2312"/>
          <w:b w:val="0"/>
          <w:bCs/>
          <w:szCs w:val="32"/>
          <w:lang w:eastAsia="zh-CN"/>
        </w:rPr>
        <w:t>年初预算数为</w:t>
      </w:r>
      <w:r>
        <w:rPr>
          <w:rFonts w:hint="eastAsia" w:ascii="仿宋_GB2312"/>
          <w:b w:val="0"/>
          <w:bCs/>
          <w:szCs w:val="32"/>
          <w:lang w:val="en-US" w:eastAsia="zh-CN"/>
        </w:rPr>
        <w:t>0万元，</w:t>
      </w:r>
      <w:r>
        <w:rPr>
          <w:rFonts w:hint="eastAsia" w:ascii="仿宋_GB2312"/>
          <w:b w:val="0"/>
          <w:bCs/>
          <w:szCs w:val="32"/>
        </w:rPr>
        <w:t>与年初预算相比减少0.18万元，降低100%，原因是：没有</w:t>
      </w:r>
      <w:r>
        <w:rPr>
          <w:rFonts w:hint="eastAsia" w:ascii="仿宋_GB2312"/>
          <w:b w:val="0"/>
          <w:bCs/>
          <w:szCs w:val="32"/>
          <w:lang w:eastAsia="zh-CN"/>
        </w:rPr>
        <w:t>发生</w:t>
      </w:r>
      <w:r>
        <w:rPr>
          <w:rFonts w:hint="eastAsia" w:ascii="仿宋_GB2312"/>
          <w:b w:val="0"/>
          <w:bCs/>
          <w:szCs w:val="32"/>
        </w:rPr>
        <w:t>公务招待费；与2016年度决算数相比减少0.18万元，降低100%，原因是：没有</w:t>
      </w:r>
      <w:r>
        <w:rPr>
          <w:rFonts w:hint="eastAsia" w:ascii="仿宋_GB2312"/>
          <w:b w:val="0"/>
          <w:bCs/>
          <w:szCs w:val="32"/>
          <w:lang w:eastAsia="zh-CN"/>
        </w:rPr>
        <w:t>发生</w:t>
      </w:r>
      <w:r>
        <w:rPr>
          <w:rFonts w:hint="eastAsia" w:ascii="仿宋_GB2312"/>
          <w:b w:val="0"/>
          <w:bCs/>
          <w:szCs w:val="32"/>
        </w:rPr>
        <w:t>公务招待费。</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hint="eastAsia" w:ascii="仿宋" w:hAnsi="仿宋" w:eastAsia="仿宋" w:cs="仿宋"/>
          <w:szCs w:val="32"/>
        </w:rPr>
      </w:pPr>
      <w:r>
        <w:rPr>
          <w:rFonts w:hint="eastAsia" w:ascii="仿宋" w:hAnsi="仿宋" w:eastAsia="仿宋" w:cs="仿宋"/>
          <w:szCs w:val="32"/>
        </w:rPr>
        <w:t>1．公务用车购置数量为0辆，公务用车保有量0辆；</w:t>
      </w:r>
    </w:p>
    <w:p>
      <w:pPr>
        <w:ind w:firstLine="640"/>
        <w:rPr>
          <w:rFonts w:hint="eastAsia" w:ascii="仿宋" w:hAnsi="仿宋" w:eastAsia="仿宋" w:cs="仿宋"/>
          <w:szCs w:val="32"/>
        </w:rPr>
      </w:pPr>
      <w:r>
        <w:rPr>
          <w:rFonts w:hint="eastAsia" w:ascii="仿宋" w:hAnsi="仿宋" w:eastAsia="仿宋" w:cs="仿宋"/>
          <w:szCs w:val="32"/>
        </w:rPr>
        <w:t>2．因公出国（境）团组个数为0个， 0人次；</w:t>
      </w:r>
    </w:p>
    <w:p>
      <w:pPr>
        <w:ind w:firstLine="640"/>
        <w:rPr>
          <w:rFonts w:hint="eastAsia" w:ascii="仿宋" w:hAnsi="仿宋" w:eastAsia="仿宋" w:cs="仿宋"/>
          <w:szCs w:val="32"/>
        </w:rPr>
      </w:pPr>
      <w:r>
        <w:rPr>
          <w:rFonts w:hint="eastAsia" w:ascii="仿宋" w:hAnsi="仿宋" w:eastAsia="仿宋" w:cs="仿宋"/>
          <w:szCs w:val="32"/>
        </w:rPr>
        <w:t>3．公务接待批次0批次，0人次。</w:t>
      </w:r>
    </w:p>
    <w:p>
      <w:pPr>
        <w:ind w:firstLine="643"/>
        <w:rPr>
          <w:rFonts w:ascii="楷体" w:hAnsi="楷体" w:eastAsia="楷体"/>
          <w:b/>
          <w:szCs w:val="32"/>
        </w:rPr>
      </w:pPr>
      <w:r>
        <w:rPr>
          <w:rFonts w:hint="eastAsia" w:ascii="楷体" w:hAnsi="楷体" w:eastAsia="楷体"/>
          <w:b/>
          <w:szCs w:val="32"/>
        </w:rPr>
        <w:t>六、绩效预算情况说明</w:t>
      </w:r>
    </w:p>
    <w:p>
      <w:pPr>
        <w:ind w:firstLine="358" w:firstLineChars="112"/>
        <w:rPr>
          <w:rFonts w:hint="eastAsia" w:ascii="仿宋_GB2312"/>
          <w:szCs w:val="32"/>
        </w:rPr>
      </w:pPr>
      <w:r>
        <w:rPr>
          <w:rFonts w:hint="eastAsia" w:ascii="仿宋_GB2312"/>
          <w:szCs w:val="32"/>
        </w:rPr>
        <w:t>（一）预算绩效管理工作开展情况</w:t>
      </w:r>
    </w:p>
    <w:p>
      <w:pPr>
        <w:ind w:firstLine="640"/>
        <w:rPr>
          <w:rFonts w:ascii="仿宋_GB2312"/>
          <w:szCs w:val="32"/>
        </w:rPr>
      </w:pPr>
      <w:r>
        <w:rPr>
          <w:rFonts w:hint="eastAsia" w:ascii="仿宋_GB2312"/>
          <w:szCs w:val="32"/>
        </w:rPr>
        <w:t>启动规划编制、稳步推进，参加国内重点招商会和行业年会，主动拜访目标企业，确保省市重点项目如期开工，确保园区保持安全稳定美观的环境，基础设施能够满足企业和群众需求，保障金、奖金按时发放到位，促进农民就业。</w:t>
      </w:r>
    </w:p>
    <w:p>
      <w:pPr>
        <w:ind w:firstLine="480" w:firstLineChars="150"/>
        <w:rPr>
          <w:rFonts w:hint="eastAsia" w:ascii="仿宋_GB2312"/>
          <w:szCs w:val="32"/>
        </w:rPr>
      </w:pPr>
      <w:r>
        <w:rPr>
          <w:rFonts w:hint="eastAsia" w:ascii="仿宋_GB2312"/>
          <w:szCs w:val="32"/>
        </w:rPr>
        <w:t>（二）预算项目绩效评价开展情况</w:t>
      </w:r>
    </w:p>
    <w:p>
      <w:pPr>
        <w:ind w:firstLine="640"/>
        <w:rPr>
          <w:rFonts w:ascii="仿宋_GB2312"/>
          <w:szCs w:val="32"/>
        </w:rPr>
      </w:pPr>
      <w:r>
        <w:rPr>
          <w:rFonts w:hint="eastAsia" w:ascii="仿宋_GB2312"/>
          <w:szCs w:val="32"/>
        </w:rPr>
        <w:t>我单位严格按照既定目标开展各项工作，加大投入力度，严把各项规章制度，狠抓项目建设，为入园企业提供一站式跑办服务，让企业感受到园区的投资优势；为辖区村民做好各项服务工作，争取按时保质的完成既定目标任务。</w:t>
      </w:r>
    </w:p>
    <w:p>
      <w:pPr>
        <w:ind w:firstLine="640"/>
        <w:rPr>
          <w:rFonts w:hint="eastAsia" w:ascii="仿宋_GB2312"/>
          <w:szCs w:val="32"/>
        </w:rPr>
      </w:pPr>
      <w:r>
        <w:rPr>
          <w:rFonts w:hint="eastAsia" w:ascii="仿宋_GB2312"/>
          <w:szCs w:val="32"/>
        </w:rPr>
        <w:t>（三）预算项目绩效自评选例</w:t>
      </w:r>
    </w:p>
    <w:p>
      <w:pPr>
        <w:ind w:firstLine="640"/>
        <w:rPr>
          <w:rFonts w:ascii="仿宋_GB2312"/>
          <w:szCs w:val="32"/>
        </w:rPr>
      </w:pPr>
      <w:r>
        <w:rPr>
          <w:rFonts w:hint="eastAsia" w:ascii="仿宋_GB2312"/>
          <w:szCs w:val="32"/>
        </w:rPr>
        <w:t>为辖区村民及项目单位做好服务工作，为园区的基础设施建设及项目建设做好一站式服务。</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hint="eastAsia" w:ascii="仿宋" w:hAnsi="仿宋" w:eastAsia="仿宋" w:cs="仿宋"/>
          <w:szCs w:val="32"/>
        </w:rPr>
      </w:pPr>
      <w:r>
        <w:rPr>
          <w:rFonts w:hint="eastAsia" w:ascii="仿宋" w:hAnsi="仿宋" w:eastAsia="仿宋" w:cs="仿宋"/>
          <w:b/>
          <w:szCs w:val="32"/>
        </w:rPr>
        <w:t>1．机关运行经费支出情况的说明。</w:t>
      </w:r>
      <w:r>
        <w:rPr>
          <w:rFonts w:hint="eastAsia" w:ascii="仿宋" w:hAnsi="仿宋" w:eastAsia="仿宋" w:cs="仿宋"/>
          <w:szCs w:val="32"/>
        </w:rPr>
        <w:t>2017年度本部门机关运行经费支出11.87万元，比2016年度增加0.47万元，</w:t>
      </w:r>
      <w:bookmarkStart w:id="26" w:name="OLE_LINK6"/>
      <w:r>
        <w:rPr>
          <w:rFonts w:hint="eastAsia" w:ascii="仿宋" w:hAnsi="仿宋" w:eastAsia="仿宋" w:cs="仿宋"/>
          <w:szCs w:val="32"/>
        </w:rPr>
        <w:t>增长4.12%</w:t>
      </w:r>
      <w:bookmarkEnd w:id="26"/>
      <w:r>
        <w:rPr>
          <w:rFonts w:hint="eastAsia" w:ascii="仿宋" w:hAnsi="仿宋" w:eastAsia="仿宋" w:cs="仿宋"/>
          <w:szCs w:val="32"/>
        </w:rPr>
        <w:t>。主要原因是</w:t>
      </w:r>
      <w:r>
        <w:rPr>
          <w:rFonts w:hint="eastAsia" w:ascii="仿宋" w:hAnsi="仿宋" w:eastAsia="仿宋" w:cs="仿宋"/>
          <w:szCs w:val="32"/>
          <w:lang w:eastAsia="zh-CN"/>
        </w:rPr>
        <w:t>电费增加。</w:t>
      </w:r>
    </w:p>
    <w:p>
      <w:pPr>
        <w:ind w:firstLine="643"/>
        <w:rPr>
          <w:rFonts w:hint="eastAsia" w:ascii="仿宋" w:hAnsi="仿宋" w:eastAsia="仿宋" w:cs="仿宋"/>
          <w:szCs w:val="32"/>
        </w:rPr>
      </w:pPr>
      <w:r>
        <w:rPr>
          <w:rFonts w:hint="eastAsia" w:ascii="仿宋" w:hAnsi="仿宋" w:eastAsia="仿宋" w:cs="仿宋"/>
          <w:b/>
          <w:szCs w:val="32"/>
        </w:rPr>
        <w:t>2．政府采购情况</w:t>
      </w:r>
      <w:bookmarkStart w:id="27" w:name="OLE_LINK49"/>
      <w:bookmarkStart w:id="28" w:name="OLE_LINK48"/>
      <w:bookmarkStart w:id="29" w:name="OLE_LINK50"/>
      <w:r>
        <w:rPr>
          <w:rFonts w:hint="eastAsia" w:ascii="仿宋" w:hAnsi="仿宋" w:eastAsia="仿宋" w:cs="仿宋"/>
          <w:b/>
          <w:szCs w:val="32"/>
        </w:rPr>
        <w:t>的说明。</w:t>
      </w:r>
      <w:r>
        <w:rPr>
          <w:rFonts w:hint="eastAsia" w:ascii="仿宋" w:hAnsi="仿宋" w:eastAsia="仿宋" w:cs="仿宋"/>
          <w:szCs w:val="32"/>
        </w:rPr>
        <w:t>2017年度本部门政府采购支出总额0.68万元，全部为政府采购货物支出</w:t>
      </w:r>
      <w:bookmarkEnd w:id="27"/>
      <w:bookmarkEnd w:id="28"/>
      <w:bookmarkEnd w:id="29"/>
      <w:r>
        <w:rPr>
          <w:rFonts w:hint="eastAsia" w:ascii="仿宋" w:hAnsi="仿宋" w:eastAsia="仿宋" w:cs="仿宋"/>
          <w:szCs w:val="32"/>
        </w:rPr>
        <w:t>。</w:t>
      </w:r>
    </w:p>
    <w:p>
      <w:pPr>
        <w:ind w:firstLine="643"/>
        <w:rPr>
          <w:rFonts w:hint="eastAsia" w:ascii="仿宋" w:hAnsi="仿宋" w:eastAsia="仿宋" w:cs="仿宋"/>
          <w:b/>
          <w:szCs w:val="32"/>
        </w:rPr>
        <w:sectPr>
          <w:headerReference r:id="rId5" w:type="default"/>
          <w:footerReference r:id="rId6" w:type="default"/>
          <w:pgSz w:w="11906" w:h="16838"/>
          <w:pgMar w:top="1984" w:right="1531" w:bottom="1984" w:left="1531" w:header="851" w:footer="992" w:gutter="0"/>
          <w:cols w:space="0" w:num="1"/>
          <w:rtlGutter w:val="0"/>
          <w:docGrid w:type="lines" w:linePitch="312" w:charSpace="0"/>
        </w:sectPr>
      </w:pPr>
      <w:r>
        <w:rPr>
          <w:rFonts w:hint="eastAsia" w:ascii="仿宋" w:hAnsi="仿宋" w:eastAsia="仿宋" w:cs="仿宋"/>
          <w:b/>
          <w:szCs w:val="32"/>
        </w:rPr>
        <w:t>3．国有资产占用情况。</w:t>
      </w:r>
    </w:p>
    <w:tbl>
      <w:tblPr>
        <w:tblStyle w:val="4"/>
        <w:tblW w:w="14879" w:type="dxa"/>
        <w:jc w:val="center"/>
        <w:tblInd w:w="0" w:type="dxa"/>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119</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29.94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30.24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30"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30"/>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4" w:bottom="1531" w:left="1984" w:header="851" w:footer="992" w:gutter="0"/>
          <w:cols w:space="0" w:num="1"/>
          <w:rtlGutter w:val="0"/>
          <w:docGrid w:type="lines" w:linePitch="442" w:charSpace="0"/>
        </w:sectPr>
      </w:pPr>
      <w:r>
        <w:rPr>
          <w:rFonts w:ascii="仿宋" w:hAnsi="仿宋" w:eastAsia="仿宋"/>
          <w:b/>
          <w:szCs w:val="32"/>
        </w:rPr>
        <w:br w:type="page"/>
      </w:r>
    </w:p>
    <w:p>
      <w:pPr>
        <w:ind w:firstLine="640"/>
        <w:rPr>
          <w:rFonts w:hint="eastAsia" w:ascii="仿宋_GB2312"/>
          <w:color w:val="auto"/>
          <w:szCs w:val="32"/>
        </w:rPr>
      </w:pPr>
      <w:r>
        <w:rPr>
          <w:rFonts w:hint="eastAsia" w:ascii="仿宋_GB2312"/>
          <w:color w:val="auto"/>
          <w:szCs w:val="32"/>
        </w:rPr>
        <w:t>截至201</w:t>
      </w:r>
      <w:r>
        <w:rPr>
          <w:rFonts w:ascii="仿宋_GB2312"/>
          <w:color w:val="auto"/>
          <w:szCs w:val="32"/>
        </w:rPr>
        <w:t>7</w:t>
      </w:r>
      <w:r>
        <w:rPr>
          <w:rFonts w:hint="eastAsia" w:ascii="仿宋_GB2312"/>
          <w:color w:val="auto"/>
          <w:szCs w:val="32"/>
        </w:rPr>
        <w:t>年12月31日，固定资产</w:t>
      </w:r>
      <w:r>
        <w:rPr>
          <w:rFonts w:hint="eastAsia" w:ascii="仿宋_GB2312"/>
          <w:color w:val="auto"/>
          <w:szCs w:val="32"/>
          <w:lang w:val="en-US" w:eastAsia="zh-CN"/>
        </w:rPr>
        <w:t>30.24</w:t>
      </w:r>
      <w:r>
        <w:rPr>
          <w:rFonts w:hint="eastAsia" w:ascii="仿宋_GB2312"/>
          <w:color w:val="auto"/>
          <w:szCs w:val="32"/>
        </w:rPr>
        <w:t>万元，与2016年相比增加</w:t>
      </w:r>
      <w:r>
        <w:rPr>
          <w:rFonts w:hint="eastAsia" w:ascii="仿宋_GB2312"/>
          <w:color w:val="auto"/>
          <w:szCs w:val="32"/>
          <w:lang w:val="en-US" w:eastAsia="zh-CN"/>
        </w:rPr>
        <w:t>0.3</w:t>
      </w:r>
      <w:r>
        <w:rPr>
          <w:rFonts w:hint="eastAsia" w:ascii="仿宋_GB2312"/>
          <w:color w:val="auto"/>
          <w:szCs w:val="32"/>
        </w:rPr>
        <w:t>万元，主要原因是：</w:t>
      </w:r>
    </w:p>
    <w:p>
      <w:pPr>
        <w:ind w:firstLine="640"/>
        <w:rPr>
          <w:rFonts w:hint="eastAsia" w:ascii="仿宋_GB2312"/>
          <w:color w:val="auto"/>
          <w:szCs w:val="32"/>
          <w:lang w:val="en-US" w:eastAsia="zh-CN"/>
        </w:rPr>
      </w:pPr>
      <w:r>
        <w:rPr>
          <w:rFonts w:hint="eastAsia" w:ascii="仿宋_GB2312"/>
          <w:color w:val="auto"/>
          <w:szCs w:val="32"/>
          <w:lang w:eastAsia="zh-CN"/>
        </w:rPr>
        <w:t>打印机购入</w:t>
      </w:r>
      <w:r>
        <w:rPr>
          <w:rFonts w:hint="eastAsia" w:ascii="仿宋_GB2312"/>
          <w:color w:val="auto"/>
          <w:szCs w:val="32"/>
          <w:lang w:val="en-US" w:eastAsia="zh-CN"/>
        </w:rPr>
        <w:t>1台，价值0.23万元；区财政局划入路由器1台，价值0.07万元。</w:t>
      </w:r>
    </w:p>
    <w:p>
      <w:pPr>
        <w:ind w:firstLine="640"/>
        <w:rPr>
          <w:rFonts w:ascii="仿宋_GB2312"/>
          <w:szCs w:val="32"/>
        </w:rPr>
      </w:pPr>
      <w:r>
        <w:rPr>
          <w:rFonts w:hint="eastAsia" w:ascii="仿宋_GB2312"/>
          <w:szCs w:val="32"/>
        </w:rPr>
        <w:t>本部门共有车辆</w:t>
      </w:r>
      <w:r>
        <w:rPr>
          <w:rFonts w:hint="eastAsia" w:ascii="仿宋_GB2312"/>
          <w:szCs w:val="32"/>
          <w:lang w:val="en-US" w:eastAsia="zh-CN"/>
        </w:rPr>
        <w:t>0</w:t>
      </w:r>
      <w:r>
        <w:rPr>
          <w:rFonts w:hint="eastAsia" w:ascii="仿宋_GB2312"/>
          <w:szCs w:val="32"/>
        </w:rPr>
        <w:t>辆</w:t>
      </w:r>
      <w:r>
        <w:rPr>
          <w:rFonts w:hint="eastAsia" w:ascii="仿宋_GB2312"/>
          <w:szCs w:val="32"/>
          <w:lang w:eastAsia="zh-CN"/>
        </w:rPr>
        <w:t>；</w:t>
      </w:r>
      <w:r>
        <w:rPr>
          <w:rFonts w:hint="eastAsia" w:ascii="仿宋_GB2312"/>
          <w:szCs w:val="32"/>
        </w:rPr>
        <w:t>单位价值200万元以上大型设备</w:t>
      </w:r>
      <w:r>
        <w:rPr>
          <w:rFonts w:hint="eastAsia" w:ascii="仿宋_GB2312"/>
          <w:szCs w:val="32"/>
          <w:lang w:val="en-US" w:eastAsia="zh-CN"/>
        </w:rPr>
        <w:t>0</w:t>
      </w:r>
      <w:r>
        <w:rPr>
          <w:rFonts w:hint="eastAsia" w:ascii="仿宋_GB2312"/>
          <w:szCs w:val="32"/>
        </w:rPr>
        <w:t>台（套）。</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会议费支出情况。</w:t>
      </w:r>
      <w:bookmarkStart w:id="31" w:name="OLE_LINK46"/>
      <w:bookmarkStart w:id="32" w:name="OLE_LINK47"/>
      <w:r>
        <w:rPr>
          <w:rFonts w:hint="eastAsia" w:ascii="仿宋_GB2312"/>
          <w:color w:val="000000" w:themeColor="text1"/>
          <w:szCs w:val="32"/>
          <w14:textFill>
            <w14:solidFill>
              <w14:schemeClr w14:val="tx1"/>
            </w14:solidFill>
          </w14:textFill>
        </w:rPr>
        <w:t>2017年会议费总计</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万元，2016年</w:t>
      </w:r>
      <w:r>
        <w:rPr>
          <w:rFonts w:hint="eastAsia" w:ascii="仿宋_GB2312"/>
          <w:color w:val="000000" w:themeColor="text1"/>
          <w:szCs w:val="32"/>
          <w:lang w:eastAsia="zh-CN"/>
          <w14:textFill>
            <w14:solidFill>
              <w14:schemeClr w14:val="tx1"/>
            </w14:solidFill>
          </w14:textFill>
        </w:rPr>
        <w:t>决算</w:t>
      </w:r>
      <w:r>
        <w:rPr>
          <w:rFonts w:hint="eastAsia" w:ascii="仿宋_GB2312"/>
          <w:color w:val="000000" w:themeColor="text1"/>
          <w:szCs w:val="32"/>
          <w14:textFill>
            <w14:solidFill>
              <w14:schemeClr w14:val="tx1"/>
            </w14:solidFill>
          </w14:textFill>
        </w:rPr>
        <w:t>支出为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万元，原因是：</w:t>
      </w:r>
      <w:r>
        <w:rPr>
          <w:rFonts w:hint="eastAsia" w:ascii="仿宋_GB2312"/>
          <w:color w:val="000000" w:themeColor="text1"/>
          <w:szCs w:val="32"/>
          <w:lang w:val="en-US" w:eastAsia="zh-CN"/>
          <w14:textFill>
            <w14:solidFill>
              <w14:schemeClr w14:val="tx1"/>
            </w14:solidFill>
          </w14:textFill>
        </w:rPr>
        <w:t>2017年度未发生会议费支出，2016年也未发生会议费支出</w:t>
      </w:r>
      <w:r>
        <w:rPr>
          <w:rFonts w:hint="eastAsia" w:ascii="仿宋_GB2312"/>
          <w:color w:val="000000" w:themeColor="text1"/>
          <w:szCs w:val="32"/>
          <w14:textFill>
            <w14:solidFill>
              <w14:schemeClr w14:val="tx1"/>
            </w14:solidFill>
          </w14:textFill>
        </w:rPr>
        <w:t>。</w:t>
      </w:r>
    </w:p>
    <w:bookmarkEnd w:id="31"/>
    <w:bookmarkEnd w:id="32"/>
    <w:p>
      <w:pPr>
        <w:ind w:firstLine="640"/>
        <w:rPr>
          <w:rFonts w:ascii="??_GB2312"/>
          <w:szCs w:val="32"/>
        </w:rPr>
      </w:pPr>
      <w:r>
        <w:rPr>
          <w:rFonts w:hint="eastAsia" w:ascii="仿宋_GB2312"/>
          <w:color w:val="000000" w:themeColor="text1"/>
          <w:szCs w:val="32"/>
          <w14:textFill>
            <w14:solidFill>
              <w14:schemeClr w14:val="tx1"/>
            </w14:solidFill>
          </w14:textFill>
        </w:rPr>
        <w:t>培训费支出情况。2017年培训费总计</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万元，2016年</w:t>
      </w:r>
      <w:r>
        <w:rPr>
          <w:rFonts w:hint="eastAsia" w:ascii="仿宋_GB2312"/>
          <w:color w:val="000000" w:themeColor="text1"/>
          <w:szCs w:val="32"/>
          <w:lang w:eastAsia="zh-CN"/>
          <w14:textFill>
            <w14:solidFill>
              <w14:schemeClr w14:val="tx1"/>
            </w14:solidFill>
          </w14:textFill>
        </w:rPr>
        <w:t>决算</w:t>
      </w:r>
      <w:r>
        <w:rPr>
          <w:rFonts w:hint="eastAsia" w:ascii="仿宋_GB2312"/>
          <w:color w:val="000000" w:themeColor="text1"/>
          <w:szCs w:val="32"/>
          <w14:textFill>
            <w14:solidFill>
              <w14:schemeClr w14:val="tx1"/>
            </w14:solidFill>
          </w14:textFill>
        </w:rPr>
        <w:t>支出为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2017年度未发生培训费支出，2016年也未发生培训费支出。</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4" w:right="1531" w:bottom="1984" w:left="1531" w:header="851" w:footer="992"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DF42D"/>
    <w:multiLevelType w:val="singleLevel"/>
    <w:tmpl w:val="63EDF42D"/>
    <w:lvl w:ilvl="0" w:tentative="0">
      <w:start w:val="1"/>
      <w:numFmt w:val="chineseCounting"/>
      <w:suff w:val="nothing"/>
      <w:lvlText w:val="%1、"/>
      <w:lvlJc w:val="left"/>
      <w:rPr>
        <w:rFonts w:hint="eastAsia"/>
      </w:rPr>
    </w:lvl>
  </w:abstractNum>
  <w:abstractNum w:abstractNumId="1">
    <w:nsid w:val="6F81FAF2"/>
    <w:multiLevelType w:val="singleLevel"/>
    <w:tmpl w:val="6F81FAF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3128"/>
    <w:rsid w:val="00450D4D"/>
    <w:rsid w:val="004E7B5F"/>
    <w:rsid w:val="004F1F8E"/>
    <w:rsid w:val="00502034"/>
    <w:rsid w:val="005046AD"/>
    <w:rsid w:val="00513B09"/>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01497934"/>
    <w:rsid w:val="03A4436D"/>
    <w:rsid w:val="12170EB0"/>
    <w:rsid w:val="14FF5315"/>
    <w:rsid w:val="17471BA8"/>
    <w:rsid w:val="23387BA1"/>
    <w:rsid w:val="23942F76"/>
    <w:rsid w:val="27BE1FE7"/>
    <w:rsid w:val="2BC5450C"/>
    <w:rsid w:val="2E6B3220"/>
    <w:rsid w:val="2F3C4AC8"/>
    <w:rsid w:val="31D52718"/>
    <w:rsid w:val="37D0392D"/>
    <w:rsid w:val="39E3074E"/>
    <w:rsid w:val="49DA5F9D"/>
    <w:rsid w:val="532B28BF"/>
    <w:rsid w:val="53B47C14"/>
    <w:rsid w:val="5BF749B3"/>
    <w:rsid w:val="62B0513E"/>
    <w:rsid w:val="62BD78C2"/>
    <w:rsid w:val="647C6685"/>
    <w:rsid w:val="692E7959"/>
    <w:rsid w:val="6A163352"/>
    <w:rsid w:val="7A033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rFonts w:ascii="Calibri" w:hAnsi="Calibri" w:eastAsia="宋体" w:cs="Times New Roman"/>
      <w:kern w:val="0"/>
      <w:sz w:val="18"/>
      <w:szCs w:val="18"/>
    </w:rPr>
  </w:style>
  <w:style w:type="character" w:customStyle="1" w:styleId="8">
    <w:name w:val="页脚 字符"/>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792</Words>
  <Characters>4520</Characters>
  <Lines>37</Lines>
  <Paragraphs>10</Paragraphs>
  <TotalTime>1</TotalTime>
  <ScaleCrop>false</ScaleCrop>
  <LinksUpToDate>false</LinksUpToDate>
  <CharactersWithSpaces>5302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2019-03-14T07:44:50Z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