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bookmarkStart w:id="43" w:name="_GoBack"/>
      <w:r>
        <w:rPr>
          <w:rFonts w:hint="eastAsia" w:ascii="黑体" w:hAnsi="黑体" w:eastAsia="黑体"/>
          <w:sz w:val="44"/>
          <w:szCs w:val="44"/>
        </w:rPr>
        <w:t>中国共产主义青年团秦皇岛市</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海港区委员会</w:t>
      </w:r>
    </w:p>
    <w:bookmarkEnd w:id="43"/>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w:t>
      </w:r>
      <w:r>
        <w:rPr>
          <w:rFonts w:hint="eastAsia" w:ascii="黑体" w:hAnsi="黑体" w:eastAsia="黑体"/>
          <w:sz w:val="44"/>
          <w:szCs w:val="44"/>
          <w:lang w:val="en-US" w:eastAsia="zh-CN"/>
        </w:rPr>
        <w:t>10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第一部分   中国共产主义青年团秦皇岛市海港区委员会概况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第二部分   中国共产主义青年团秦皇岛市海港区委员会2017年度部门决算报表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第三部分  中国共产主义青年团秦皇岛市海港区委员会2017年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第一部分 中国共产主义青年团秦皇岛市海港区委员会概况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bookmarkEnd w:id="6"/>
    <w:p>
      <w:pPr>
        <w:pStyle w:val="10"/>
        <w:numPr>
          <w:ilvl w:val="0"/>
          <w:numId w:val="1"/>
        </w:numPr>
        <w:ind w:firstLineChars="0"/>
        <w:rPr>
          <w:rFonts w:ascii="仿宋_GB2312" w:hAnsi="黑体"/>
          <w:szCs w:val="32"/>
        </w:rPr>
      </w:pPr>
      <w:bookmarkStart w:id="8" w:name="OLE_LINK14"/>
      <w:r>
        <w:rPr>
          <w:rFonts w:hint="eastAsia" w:ascii="仿宋_GB2312" w:hAnsi="黑体"/>
          <w:szCs w:val="32"/>
        </w:rPr>
        <w:t>部门职责</w:t>
      </w:r>
    </w:p>
    <w:p>
      <w:pPr>
        <w:ind w:firstLine="640"/>
        <w:rPr>
          <w:rFonts w:ascii="仿宋_GB2312" w:cs="仿宋_GB2312"/>
          <w:szCs w:val="32"/>
        </w:rPr>
      </w:pPr>
      <w:r>
        <w:rPr>
          <w:rFonts w:hint="eastAsia" w:ascii="仿宋_GB2312" w:cs="仿宋_GB2312"/>
          <w:szCs w:val="32"/>
        </w:rPr>
        <w:t>1</w:t>
      </w:r>
      <w:r>
        <w:rPr>
          <w:rFonts w:ascii="仿宋_GB2312" w:cs="仿宋_GB2312"/>
          <w:szCs w:val="32"/>
        </w:rPr>
        <w:t xml:space="preserve"> </w:t>
      </w:r>
      <w:r>
        <w:rPr>
          <w:rFonts w:hint="eastAsia" w:ascii="仿宋_GB2312" w:cs="仿宋_GB2312"/>
          <w:szCs w:val="32"/>
        </w:rPr>
        <w:t>、组织建设和宣传教育</w:t>
      </w:r>
    </w:p>
    <w:p>
      <w:pPr>
        <w:ind w:firstLine="640"/>
        <w:rPr>
          <w:rFonts w:ascii="仿宋_GB2312"/>
          <w:szCs w:val="32"/>
        </w:rPr>
      </w:pPr>
      <w:r>
        <w:rPr>
          <w:rFonts w:hint="eastAsia" w:ascii="仿宋_GB2312" w:cs="仿宋_GB2312"/>
          <w:szCs w:val="32"/>
        </w:rPr>
        <w:t>领导全市共青团工作，指导全市青、学联和少先队工作，对全市性青年社团组织指导和管理；对青年工作院校、青少年活动阵地和青少年服务机构的建设等进行规划和管理；协助市政府教育部门做好学生教育管理工作。</w:t>
      </w:r>
    </w:p>
    <w:p>
      <w:pPr>
        <w:pStyle w:val="10"/>
        <w:numPr>
          <w:ilvl w:val="0"/>
          <w:numId w:val="2"/>
        </w:numPr>
        <w:spacing w:line="240" w:lineRule="auto"/>
        <w:ind w:firstLineChars="0"/>
        <w:rPr>
          <w:rFonts w:ascii="仿宋_GB2312" w:cs="仿宋_GB2312"/>
          <w:szCs w:val="32"/>
        </w:rPr>
      </w:pPr>
      <w:r>
        <w:rPr>
          <w:rFonts w:hint="eastAsia" w:ascii="仿宋_GB2312" w:cs="仿宋_GB2312"/>
          <w:szCs w:val="32"/>
        </w:rPr>
        <w:t>服务、引导青少年工作</w:t>
      </w:r>
    </w:p>
    <w:p>
      <w:pPr>
        <w:ind w:firstLine="640"/>
        <w:rPr>
          <w:rFonts w:ascii="仿宋_GB2312" w:cs="仿宋_GB2312"/>
          <w:szCs w:val="32"/>
        </w:rPr>
      </w:pPr>
      <w:r>
        <w:rPr>
          <w:rFonts w:ascii="仿宋_GB2312"/>
          <w:szCs w:val="32"/>
        </w:rPr>
        <w:tab/>
      </w:r>
      <w:r>
        <w:rPr>
          <w:rFonts w:hint="eastAsia" w:ascii="仿宋_GB2312" w:cs="仿宋_GB2312"/>
          <w:szCs w:val="32"/>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p>
      <w:pPr>
        <w:pStyle w:val="10"/>
        <w:numPr>
          <w:ilvl w:val="0"/>
          <w:numId w:val="2"/>
        </w:numPr>
        <w:spacing w:line="240" w:lineRule="auto"/>
        <w:ind w:firstLineChars="0"/>
        <w:rPr>
          <w:rFonts w:ascii="仿宋_GB2312" w:cs="仿宋_GB2312"/>
          <w:szCs w:val="32"/>
        </w:rPr>
      </w:pPr>
      <w:r>
        <w:rPr>
          <w:rFonts w:hint="eastAsia" w:ascii="仿宋_GB2312" w:cs="仿宋_GB2312"/>
          <w:szCs w:val="32"/>
        </w:rPr>
        <w:t>维护青少年权益工作</w:t>
      </w:r>
    </w:p>
    <w:p>
      <w:pPr>
        <w:ind w:firstLine="480" w:firstLineChars="150"/>
        <w:jc w:val="left"/>
        <w:rPr>
          <w:rFonts w:ascii="仿宋_GB2312"/>
          <w:szCs w:val="32"/>
        </w:rPr>
      </w:pPr>
      <w:r>
        <w:rPr>
          <w:rFonts w:hint="eastAsia" w:ascii="仿宋_GB2312"/>
          <w:szCs w:val="32"/>
        </w:rPr>
        <w:t>研究有关青少年发展问题，参与制定本市保护青少年健康成长的法律、地方性法规；参与监督青少年法规的执行、处理侵害青少年合法权益的问题；负责市未成年人保护委员会的日常工作。</w:t>
      </w:r>
    </w:p>
    <w:p>
      <w:pPr>
        <w:ind w:firstLine="800" w:firstLineChars="250"/>
        <w:jc w:val="left"/>
        <w:rPr>
          <w:rFonts w:ascii="仿宋_GB2312" w:cs="仿宋_GB2312"/>
          <w:szCs w:val="32"/>
        </w:rPr>
      </w:pPr>
      <w:r>
        <w:rPr>
          <w:rFonts w:hint="eastAsia" w:ascii="仿宋_GB2312" w:cs="仿宋_GB2312"/>
          <w:szCs w:val="32"/>
        </w:rPr>
        <w:t>4、团委事务管理</w:t>
      </w:r>
    </w:p>
    <w:p>
      <w:pPr>
        <w:ind w:firstLine="640"/>
        <w:rPr>
          <w:rFonts w:ascii="仿宋_GB2312"/>
          <w:szCs w:val="32"/>
        </w:rPr>
      </w:pPr>
      <w:r>
        <w:rPr>
          <w:rFonts w:hint="eastAsia" w:ascii="仿宋_GB2312" w:cs="仿宋_GB2312"/>
          <w:szCs w:val="32"/>
        </w:rPr>
        <w:t>负责团市委综合业务管理。</w:t>
      </w:r>
      <w:r>
        <w:rPr>
          <w:rFonts w:ascii="仿宋_GB2312" w:cs="仿宋_GB2312"/>
          <w:szCs w:val="32"/>
        </w:rPr>
        <w:t xml:space="preserve"> </w:t>
      </w:r>
    </w:p>
    <w:p>
      <w:pPr>
        <w:ind w:firstLine="1273" w:firstLineChars="398"/>
        <w:rPr>
          <w:rFonts w:ascii="仿宋_GB2312" w:hAnsi="黑体"/>
          <w:szCs w:val="32"/>
        </w:rPr>
      </w:pPr>
      <w:r>
        <w:rPr>
          <w:rFonts w:hint="eastAsia" w:ascii="仿宋_GB2312" w:hAnsi="黑体"/>
          <w:szCs w:val="32"/>
        </w:rPr>
        <w:t>二、部门决算单位构成</w:t>
      </w:r>
    </w:p>
    <w:bookmarkEnd w:id="8"/>
    <w:tbl>
      <w:tblPr>
        <w:tblStyle w:val="6"/>
        <w:tblW w:w="88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351"/>
        <w:gridCol w:w="1374"/>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jc w:val="center"/>
              <w:rPr>
                <w:rFonts w:ascii="仿宋_GB2312" w:hAnsi="黑体"/>
                <w:sz w:val="28"/>
                <w:szCs w:val="28"/>
              </w:rPr>
            </w:pPr>
            <w:bookmarkStart w:id="9" w:name="OLE_LINK12"/>
            <w:r>
              <w:rPr>
                <w:rFonts w:hint="eastAsia" w:ascii="仿宋_GB2312" w:hAnsi="黑体" w:cs="仿宋_GB2312"/>
                <w:sz w:val="28"/>
                <w:szCs w:val="28"/>
              </w:rPr>
              <w:t>单位名称</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单位性质</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0" w:type="dxa"/>
          </w:tcPr>
          <w:p>
            <w:pPr>
              <w:ind w:firstLine="0" w:firstLineChars="0"/>
              <w:rPr>
                <w:rFonts w:ascii="仿宋_GB2312" w:hAnsi="黑体"/>
                <w:sz w:val="28"/>
                <w:szCs w:val="28"/>
              </w:rPr>
            </w:pPr>
            <w:r>
              <w:rPr>
                <w:rFonts w:hint="eastAsia" w:ascii="仿宋_GB2312" w:hAnsi="黑体" w:cs="仿宋_GB2312"/>
                <w:sz w:val="28"/>
                <w:szCs w:val="28"/>
              </w:rPr>
              <w:t>中国共产主义青年团秦皇岛市海港区委员会</w:t>
            </w:r>
          </w:p>
        </w:tc>
        <w:tc>
          <w:tcPr>
            <w:tcW w:w="1351" w:type="dxa"/>
          </w:tcPr>
          <w:p>
            <w:pPr>
              <w:ind w:firstLine="0" w:firstLineChars="0"/>
              <w:jc w:val="center"/>
              <w:rPr>
                <w:rFonts w:ascii="仿宋_GB2312" w:hAnsi="黑体"/>
                <w:sz w:val="28"/>
                <w:szCs w:val="28"/>
              </w:rPr>
            </w:pPr>
            <w:r>
              <w:rPr>
                <w:rFonts w:hint="eastAsia" w:ascii="仿宋_GB2312" w:hAnsi="黑体" w:cs="仿宋_GB2312"/>
                <w:sz w:val="28"/>
                <w:szCs w:val="28"/>
              </w:rPr>
              <w:t>群众团体</w:t>
            </w:r>
          </w:p>
        </w:tc>
        <w:tc>
          <w:tcPr>
            <w:tcW w:w="1374" w:type="dxa"/>
          </w:tcPr>
          <w:p>
            <w:pPr>
              <w:ind w:firstLine="0" w:firstLineChars="0"/>
              <w:jc w:val="center"/>
              <w:rPr>
                <w:rFonts w:ascii="仿宋_GB2312" w:hAnsi="黑体"/>
                <w:sz w:val="28"/>
                <w:szCs w:val="28"/>
              </w:rPr>
            </w:pPr>
            <w:r>
              <w:rPr>
                <w:rFonts w:hint="eastAsia" w:ascii="仿宋_GB2312" w:hAnsi="黑体" w:cs="仿宋_GB2312"/>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cs="仿宋_GB2312"/>
                <w:sz w:val="28"/>
                <w:szCs w:val="28"/>
              </w:rPr>
              <w:t>财政拨款</w:t>
            </w:r>
          </w:p>
        </w:tc>
      </w:tr>
    </w:tbl>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仿宋_GB2312" w:hAnsi="黑体"/>
          <w:sz w:val="72"/>
          <w:szCs w:val="72"/>
        </w:rPr>
      </w:pPr>
      <w:r>
        <w:rPr>
          <w:rFonts w:hint="eastAsia" w:ascii="黑体" w:hAnsi="黑体" w:eastAsia="黑体"/>
          <w:sz w:val="72"/>
          <w:szCs w:val="72"/>
        </w:rPr>
        <w:t>中国共产主义青年团秦皇岛市海港区委员会201</w:t>
      </w:r>
      <w:r>
        <w:rPr>
          <w:rFonts w:ascii="黑体" w:hAnsi="黑体" w:eastAsia="黑体"/>
          <w:sz w:val="72"/>
          <w:szCs w:val="72"/>
        </w:rPr>
        <w:t>7</w:t>
      </w:r>
      <w:r>
        <w:rPr>
          <w:rFonts w:hint="eastAsia" w:ascii="黑体" w:hAnsi="黑体" w:eastAsia="黑体"/>
          <w:sz w:val="72"/>
          <w:szCs w:val="72"/>
        </w:rPr>
        <w:t>年度部门决算报表</w:t>
      </w:r>
    </w:p>
    <w:bookmarkEnd w:id="9"/>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left="640" w:firstLine="640"/>
        <w:rPr>
          <w:rFonts w:ascii="仿宋_GB2312"/>
          <w:szCs w:val="32"/>
        </w:rPr>
      </w:pPr>
      <w:r>
        <w:rPr>
          <w:rFonts w:hint="eastAsia" w:ascii="仿宋_GB2312"/>
          <w:szCs w:val="32"/>
        </w:rPr>
        <w:t>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hint="eastAsia" w:ascii="仿宋_GB2312"/>
          <w:szCs w:val="32"/>
        </w:rPr>
      </w:pPr>
      <w:r>
        <w:rPr>
          <w:rFonts w:hint="eastAsia" w:ascii="仿宋_GB2312"/>
          <w:szCs w:val="32"/>
        </w:rPr>
        <w:t>十、政府采购情况</w:t>
      </w: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640" w:firstLine="640"/>
        <w:rPr>
          <w:rFonts w:hint="eastAsia" w:ascii="仿宋_GB2312"/>
          <w:szCs w:val="32"/>
          <w:lang w:val="en-US" w:eastAsia="zh-CN"/>
        </w:rPr>
      </w:pPr>
    </w:p>
    <w:p>
      <w:pPr>
        <w:ind w:left="0" w:leftChars="0" w:firstLine="0" w:firstLineChars="0"/>
        <w:rPr>
          <w:rFonts w:hint="eastAsia" w:ascii="仿宋_GB2312" w:eastAsia="仿宋_GB231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lang w:val="en-US" w:eastAsia="zh-CN"/>
        </w:rPr>
        <w:t>附件一：部门决算报表</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中国共产主义青年团秦皇岛市海港区委员会201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sectPr>
          <w:pgSz w:w="11906" w:h="16838"/>
          <w:pgMar w:top="1984" w:right="1531" w:bottom="1984" w:left="1531" w:header="851" w:footer="992" w:gutter="0"/>
          <w:paperSrc/>
          <w:cols w:space="0" w:num="1"/>
          <w:rtlGutter w:val="0"/>
          <w:docGrid w:type="linesAndChars" w:linePitch="444" w:charSpace="0"/>
        </w:sectPr>
      </w:pP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仿宋_GB2312"/>
          <w:szCs w:val="32"/>
        </w:rPr>
      </w:pPr>
      <w:bookmarkStart w:id="12" w:name="OLE_LINK23"/>
      <w:r>
        <w:rPr>
          <w:rFonts w:hint="eastAsia" w:ascii="仿宋_GB2312"/>
          <w:szCs w:val="32"/>
        </w:rPr>
        <w:t>2017年度决算收入总计130.77万元，决算支出总计132.31万元，</w:t>
      </w:r>
      <w:bookmarkStart w:id="13" w:name="OLE_LINK37"/>
      <w:r>
        <w:rPr>
          <w:rFonts w:hint="eastAsia" w:ascii="仿宋_GB2312"/>
          <w:szCs w:val="32"/>
        </w:rPr>
        <w:t>年初结转和结余11.25万元，年末结转和结余9.71万元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年度收入与年初预算对比增加16.89万元，原因是：主要是人员经费及公用经费增加；与2</w:t>
      </w:r>
      <w:r>
        <w:rPr>
          <w:rFonts w:ascii="仿宋_GB2312"/>
          <w:szCs w:val="32"/>
        </w:rPr>
        <w:t>016</w:t>
      </w:r>
      <w:r>
        <w:rPr>
          <w:rFonts w:hint="eastAsia" w:ascii="仿宋_GB2312"/>
          <w:szCs w:val="32"/>
        </w:rPr>
        <w:t>年度收入相比，增加4.32万元，原因是：公用经费增加。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年度支出与年初预算对比增加18.43万元，原因是：主要是人员经费及公用经费增加；与2</w:t>
      </w:r>
      <w:r>
        <w:rPr>
          <w:rFonts w:ascii="仿宋_GB2312"/>
          <w:szCs w:val="32"/>
        </w:rPr>
        <w:t>016</w:t>
      </w:r>
      <w:r>
        <w:rPr>
          <w:rFonts w:hint="eastAsia" w:ascii="仿宋_GB2312"/>
          <w:szCs w:val="32"/>
        </w:rPr>
        <w:t>年度支出相比，增加12.26万元，原因是：人员经费及公用经费增加。</w:t>
      </w:r>
    </w:p>
    <w:bookmarkEnd w:id="10"/>
    <w:bookmarkEnd w:id="11"/>
    <w:bookmarkEnd w:id="12"/>
    <w:p>
      <w:pPr>
        <w:ind w:firstLine="643"/>
        <w:rPr>
          <w:rFonts w:ascii="楷体" w:hAnsi="楷体" w:eastAsia="楷体"/>
          <w:b/>
          <w:szCs w:val="32"/>
        </w:rPr>
      </w:pPr>
      <w:bookmarkStart w:id="14" w:name="OLE_LINK3"/>
      <w:bookmarkStart w:id="15" w:name="OLE_LINK4"/>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年度收入合计 130.77万元，其中：财政拨款收入130.77万元，占总收入 100</w:t>
      </w:r>
      <w:r>
        <w:rPr>
          <w:rFonts w:ascii="仿宋" w:hAnsi="仿宋" w:eastAsia="仿宋"/>
          <w:szCs w:val="32"/>
        </w:rPr>
        <w:t>%</w:t>
      </w:r>
      <w:r>
        <w:rPr>
          <w:rFonts w:hint="eastAsia" w:ascii="仿宋" w:hAnsi="仿宋" w:eastAsia="仿宋"/>
          <w:szCs w:val="32"/>
        </w:rPr>
        <w:t>；</w:t>
      </w:r>
      <w:bookmarkStart w:id="16" w:name="OLE_LINK33"/>
      <w:bookmarkStart w:id="17" w:name="OLE_LINK32"/>
      <w:r>
        <w:rPr>
          <w:rFonts w:hint="eastAsia" w:ascii="仿宋" w:hAnsi="仿宋" w:eastAsia="仿宋"/>
          <w:szCs w:val="32"/>
        </w:rPr>
        <w:t>事业收入0万元，占总收入0%</w:t>
      </w:r>
      <w:bookmarkEnd w:id="16"/>
      <w:bookmarkEnd w:id="17"/>
      <w:r>
        <w:rPr>
          <w:rFonts w:hint="eastAsia" w:ascii="仿宋" w:hAnsi="仿宋" w:eastAsia="仿宋"/>
          <w:szCs w:val="32"/>
        </w:rPr>
        <w:t>；上级补助收入0万元，占总收入0%；经营收入0万元，占总收入0%；其它收入0万元，占总收入0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年度支出合计132.21万元，其中：</w:t>
      </w:r>
      <w:bookmarkStart w:id="18" w:name="OLE_LINK35"/>
      <w:r>
        <w:rPr>
          <w:rFonts w:hint="eastAsia" w:ascii="仿宋" w:hAnsi="仿宋" w:eastAsia="仿宋"/>
          <w:szCs w:val="32"/>
        </w:rPr>
        <w:t>基本支出 132.31万元，占总支出100%；</w:t>
      </w:r>
      <w:bookmarkEnd w:id="18"/>
      <w:r>
        <w:rPr>
          <w:rFonts w:hint="eastAsia" w:ascii="仿宋" w:hAnsi="仿宋" w:eastAsia="仿宋"/>
          <w:szCs w:val="32"/>
        </w:rPr>
        <w:t>项目支出 0万元，占总支出0。</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hint="eastAsia" w:ascii="仿宋" w:hAnsi="仿宋" w:eastAsia="仿宋"/>
          <w:szCs w:val="32"/>
        </w:rPr>
        <w:t>130.77</w:t>
      </w:r>
      <w:r>
        <w:rPr>
          <w:rFonts w:hint="eastAsia" w:ascii="仿宋_GB2312"/>
          <w:szCs w:val="32"/>
        </w:rPr>
        <w:t>万元，财政拨款支出决算总计</w:t>
      </w:r>
      <w:r>
        <w:rPr>
          <w:rFonts w:hint="eastAsia" w:ascii="仿宋" w:hAnsi="仿宋" w:eastAsia="仿宋"/>
          <w:szCs w:val="32"/>
        </w:rPr>
        <w:t>132.31</w:t>
      </w:r>
      <w:r>
        <w:rPr>
          <w:rFonts w:hint="eastAsia" w:ascii="仿宋_GB2312"/>
          <w:szCs w:val="32"/>
        </w:rPr>
        <w:t>万元，年初结转和结余0万元，年末结转和结余9.71万元。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w:t>
      </w:r>
      <w:bookmarkEnd w:id="19"/>
      <w:r>
        <w:rPr>
          <w:rFonts w:hint="eastAsia" w:ascii="仿宋_GB2312"/>
          <w:szCs w:val="32"/>
        </w:rPr>
        <w:t>增加16.89万元，原因是：主要是人员经费及公用经费增加；与2</w:t>
      </w:r>
      <w:r>
        <w:rPr>
          <w:rFonts w:ascii="仿宋_GB2312"/>
          <w:szCs w:val="32"/>
        </w:rPr>
        <w:t>016</w:t>
      </w:r>
      <w:r>
        <w:rPr>
          <w:rFonts w:hint="eastAsia" w:ascii="仿宋_GB2312"/>
          <w:szCs w:val="32"/>
        </w:rPr>
        <w:t>年度收入相比，增加4.32万元，原因是：人员经费及公用经费增加。</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年度财政拨款支出与年初预算对比增加18.43万元，原因是：人员经费及公用经费增加；与2</w:t>
      </w:r>
      <w:r>
        <w:rPr>
          <w:rFonts w:ascii="仿宋_GB2312"/>
          <w:szCs w:val="32"/>
        </w:rPr>
        <w:t>016</w:t>
      </w:r>
      <w:r>
        <w:rPr>
          <w:rFonts w:hint="eastAsia" w:ascii="仿宋_GB2312"/>
          <w:szCs w:val="32"/>
        </w:rPr>
        <w:t>年度支出相比，增加12.26万元，原因是：人员经费及公用经费增加。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7"/>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ascii="仿宋_GB2312"/>
                <w:sz w:val="24"/>
                <w:szCs w:val="24"/>
              </w:rPr>
            </w:pPr>
            <w:r>
              <w:rPr>
                <w:rFonts w:hint="eastAsia" w:ascii="仿宋_GB2312"/>
                <w:sz w:val="24"/>
                <w:szCs w:val="24"/>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与年初预算增减额</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年度增减额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0.13</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-0.13</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其中：公务用车购置费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46" w:type="dxa"/>
          </w:tcPr>
          <w:p>
            <w:pPr>
              <w:ind w:firstLine="0" w:firstLineChars="0"/>
              <w:jc w:val="left"/>
              <w:rPr>
                <w:rFonts w:ascii="仿宋_GB2312"/>
                <w:sz w:val="24"/>
                <w:szCs w:val="24"/>
              </w:rPr>
            </w:pPr>
            <w:r>
              <w:rPr>
                <w:rFonts w:hint="eastAsia" w:ascii="仿宋_GB2312"/>
                <w:sz w:val="24"/>
                <w:szCs w:val="24"/>
              </w:rPr>
              <w:t>0</w:t>
            </w:r>
          </w:p>
        </w:tc>
        <w:tc>
          <w:tcPr>
            <w:tcW w:w="1474" w:type="dxa"/>
          </w:tcPr>
          <w:p>
            <w:pPr>
              <w:ind w:firstLine="0" w:firstLineChars="0"/>
              <w:jc w:val="left"/>
              <w:rPr>
                <w:rFonts w:ascii="仿宋_GB2312"/>
                <w:sz w:val="24"/>
                <w:szCs w:val="24"/>
              </w:rPr>
            </w:pPr>
            <w:r>
              <w:rPr>
                <w:rFonts w:hint="eastAsia" w:ascii="仿宋_GB2312"/>
                <w:sz w:val="24"/>
                <w:szCs w:val="24"/>
              </w:rPr>
              <w:t>0</w:t>
            </w:r>
          </w:p>
        </w:tc>
        <w:tc>
          <w:tcPr>
            <w:tcW w:w="1417" w:type="dxa"/>
          </w:tcPr>
          <w:p>
            <w:pPr>
              <w:ind w:firstLine="0" w:firstLineChars="0"/>
              <w:jc w:val="left"/>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0.13</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-0.13</w:t>
            </w:r>
          </w:p>
        </w:tc>
        <w:tc>
          <w:tcPr>
            <w:tcW w:w="1417" w:type="dxa"/>
          </w:tcPr>
          <w:p>
            <w:pPr>
              <w:ind w:firstLine="0" w:firstLineChars="0"/>
              <w:rPr>
                <w:rFonts w:ascii="仿宋_GB2312"/>
                <w:sz w:val="24"/>
                <w:szCs w:val="24"/>
              </w:rPr>
            </w:pPr>
            <w:r>
              <w:rPr>
                <w:rFonts w:hint="eastAsia" w:ascii="仿宋_GB2312"/>
                <w:sz w:val="24"/>
                <w:szCs w:val="24"/>
              </w:rPr>
              <w:t>0</w:t>
            </w:r>
          </w:p>
        </w:tc>
      </w:tr>
    </w:tbl>
    <w:p>
      <w:pPr>
        <w:ind w:firstLine="643"/>
        <w:rPr>
          <w:rFonts w:hint="eastAsia" w:ascii="仿宋_GB2312"/>
          <w:b/>
          <w:szCs w:val="32"/>
        </w:rPr>
      </w:pPr>
    </w:p>
    <w:p>
      <w:pPr>
        <w:ind w:firstLine="643"/>
        <w:rPr>
          <w:rFonts w:hint="eastAsia" w:ascii="仿宋_GB2312"/>
          <w:b/>
          <w:szCs w:val="32"/>
        </w:rPr>
      </w:pPr>
    </w:p>
    <w:p>
      <w:pPr>
        <w:ind w:firstLine="643"/>
        <w:rPr>
          <w:rFonts w:hint="eastAsia" w:ascii="仿宋_GB2312"/>
          <w:b/>
          <w:szCs w:val="32"/>
        </w:rPr>
      </w:pPr>
    </w:p>
    <w:p>
      <w:pPr>
        <w:ind w:firstLine="643"/>
        <w:rPr>
          <w:rFonts w:ascii="仿宋_GB2312"/>
          <w:b/>
          <w:szCs w:val="32"/>
        </w:rPr>
      </w:pPr>
      <w:r>
        <w:rPr>
          <w:rFonts w:hint="eastAsia" w:ascii="仿宋_GB2312"/>
          <w:b/>
          <w:szCs w:val="32"/>
        </w:rPr>
        <w:t>（一）对比增减原因分析</w:t>
      </w:r>
    </w:p>
    <w:p>
      <w:pPr>
        <w:ind w:firstLine="643"/>
        <w:rPr>
          <w:rFonts w:ascii="仿宋_GB2312" w:hAnsi="仿宋" w:cs="仿宋"/>
          <w:szCs w:val="32"/>
          <w:lang w:bidi="ar"/>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年度“三公经费”支出总额0万元，与年初预算相比减少0.13万元，</w:t>
      </w:r>
      <w:bookmarkStart w:id="20" w:name="OLE_LINK38"/>
      <w:bookmarkStart w:id="21" w:name="OLE_LINK39"/>
      <w:bookmarkStart w:id="22" w:name="OLE_LINK8"/>
      <w:bookmarkStart w:id="23" w:name="OLE_LINK10"/>
      <w:r>
        <w:rPr>
          <w:rFonts w:hint="eastAsia" w:ascii="仿宋_GB2312"/>
          <w:szCs w:val="32"/>
        </w:rPr>
        <w:t>降低100%</w:t>
      </w:r>
      <w:bookmarkEnd w:id="20"/>
      <w:bookmarkEnd w:id="21"/>
      <w:r>
        <w:rPr>
          <w:rFonts w:hint="eastAsia" w:ascii="仿宋_GB2312"/>
          <w:szCs w:val="32"/>
        </w:rPr>
        <w:t>，</w:t>
      </w:r>
      <w:bookmarkEnd w:id="22"/>
      <w:bookmarkEnd w:id="23"/>
      <w:r>
        <w:rPr>
          <w:rFonts w:hint="eastAsia" w:ascii="仿宋_GB2312"/>
          <w:szCs w:val="32"/>
        </w:rPr>
        <w:t>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、本部门全年无</w:t>
      </w:r>
      <w:r>
        <w:rPr>
          <w:rFonts w:ascii="仿宋_GB2312"/>
          <w:szCs w:val="32"/>
        </w:rPr>
        <w:t>公务接待费用和</w:t>
      </w:r>
      <w:r>
        <w:rPr>
          <w:rFonts w:hint="eastAsia" w:ascii="仿宋_GB2312"/>
          <w:szCs w:val="32"/>
        </w:rPr>
        <w:t>本部门</w:t>
      </w:r>
      <w:r>
        <w:rPr>
          <w:rFonts w:ascii="仿宋_GB2312"/>
          <w:szCs w:val="32"/>
        </w:rPr>
        <w:t>无公务用车</w:t>
      </w:r>
      <w:r>
        <w:rPr>
          <w:rFonts w:hint="eastAsia" w:ascii="仿宋_GB2312"/>
          <w:szCs w:val="32"/>
        </w:rPr>
        <w:t>。</w:t>
      </w:r>
    </w:p>
    <w:p>
      <w:pPr>
        <w:ind w:firstLine="643"/>
        <w:rPr>
          <w:rFonts w:ascii="仿宋_GB2312" w:hAnsi="仿宋" w:cs="仿宋"/>
          <w:szCs w:val="32"/>
          <w:lang w:bidi="ar"/>
        </w:rPr>
      </w:pPr>
      <w:bookmarkStart w:id="24"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5" w:name="OLE_LINK17"/>
      <w:r>
        <w:rPr>
          <w:rFonts w:hint="eastAsia" w:ascii="仿宋_GB2312"/>
          <w:szCs w:val="32"/>
        </w:rPr>
        <w:t>度因公出国（境）</w:t>
      </w:r>
      <w:bookmarkStart w:id="26" w:name="OLE_LINK16"/>
      <w:bookmarkStart w:id="27" w:name="OLE_LINK15"/>
      <w:r>
        <w:rPr>
          <w:rFonts w:hint="eastAsia" w:ascii="仿宋_GB2312"/>
          <w:szCs w:val="32"/>
        </w:rPr>
        <w:t>费</w:t>
      </w:r>
      <w:bookmarkEnd w:id="25"/>
      <w:r>
        <w:rPr>
          <w:rFonts w:hint="eastAsia" w:ascii="仿宋_GB2312"/>
          <w:szCs w:val="32"/>
        </w:rPr>
        <w:t>0万元</w:t>
      </w:r>
      <w:bookmarkEnd w:id="26"/>
      <w:bookmarkEnd w:id="27"/>
      <w:r>
        <w:rPr>
          <w:rFonts w:hint="eastAsia" w:ascii="仿宋_GB2312"/>
          <w:szCs w:val="32"/>
        </w:rPr>
        <w:t>，与年初预算相比增加0万元，增长0%，原因是：</w:t>
      </w:r>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4"/>
      <w:bookmarkStart w:id="28" w:name="OLE_LINK9"/>
      <w:r>
        <w:rPr>
          <w:rFonts w:hint="eastAsia" w:ascii="仿宋_GB2312" w:hAnsi="仿宋" w:cs="仿宋"/>
          <w:szCs w:val="32"/>
          <w:lang w:bidi="ar"/>
        </w:rPr>
        <w:t>本部门全年无因公出国</w:t>
      </w:r>
      <w:r>
        <w:rPr>
          <w:rFonts w:hint="eastAsia" w:ascii="仿宋_GB2312" w:hAnsi="仿宋" w:cs="Tahoma"/>
          <w:kern w:val="0"/>
          <w:szCs w:val="32"/>
          <w:lang w:bidi="ar"/>
        </w:rPr>
        <w:t>（境）费用</w:t>
      </w:r>
      <w:r>
        <w:rPr>
          <w:rFonts w:hint="eastAsia" w:ascii="仿宋_GB2312"/>
          <w:szCs w:val="32"/>
        </w:rPr>
        <w:t>。</w:t>
      </w:r>
    </w:p>
    <w:p>
      <w:pPr>
        <w:ind w:firstLine="643"/>
        <w:rPr>
          <w:rFonts w:hint="eastAsia"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9"/>
      <w:bookmarkStart w:id="30" w:name="OLE_LINK18"/>
      <w:r>
        <w:rPr>
          <w:rFonts w:hint="eastAsia" w:ascii="仿宋_GB2312"/>
          <w:szCs w:val="32"/>
        </w:rPr>
        <w:t>度公务用车购置及运行维护费</w:t>
      </w:r>
      <w:bookmarkEnd w:id="29"/>
      <w:bookmarkEnd w:id="30"/>
      <w:r>
        <w:rPr>
          <w:rFonts w:hint="eastAsia" w:ascii="仿宋_GB2312"/>
          <w:szCs w:val="32"/>
        </w:rPr>
        <w:t>0万元，与年初预算相比增加0万元，增长0%，原因是：本部门</w:t>
      </w:r>
      <w:r>
        <w:rPr>
          <w:rFonts w:ascii="仿宋_GB2312"/>
          <w:szCs w:val="32"/>
        </w:rPr>
        <w:t>无公务用车</w:t>
      </w:r>
      <w:r>
        <w:rPr>
          <w:rFonts w:hint="eastAsia" w:ascii="仿宋_GB2312"/>
          <w:szCs w:val="32"/>
        </w:rPr>
        <w:t>，与2</w:t>
      </w:r>
      <w:r>
        <w:rPr>
          <w:rFonts w:ascii="仿宋_GB2312"/>
          <w:szCs w:val="32"/>
        </w:rPr>
        <w:t>016</w:t>
      </w:r>
      <w:r>
        <w:rPr>
          <w:rFonts w:hint="eastAsia" w:ascii="仿宋_GB2312"/>
          <w:szCs w:val="32"/>
        </w:rPr>
        <w:t>年度决算数相比增加0万元，增长0%，原因是：</w:t>
      </w:r>
      <w:bookmarkEnd w:id="28"/>
      <w:r>
        <w:rPr>
          <w:rFonts w:hint="eastAsia" w:ascii="仿宋_GB2312"/>
          <w:szCs w:val="32"/>
        </w:rPr>
        <w:t>本部门</w:t>
      </w:r>
      <w:r>
        <w:rPr>
          <w:rFonts w:ascii="仿宋_GB2312"/>
          <w:szCs w:val="32"/>
        </w:rPr>
        <w:t>无公务用车</w:t>
      </w:r>
      <w:r>
        <w:rPr>
          <w:rFonts w:hint="eastAsia" w:ascii="仿宋_GB2312"/>
          <w:szCs w:val="32"/>
        </w:rPr>
        <w:t>。</w:t>
      </w:r>
    </w:p>
    <w:p>
      <w:pPr>
        <w:ind w:firstLine="640"/>
        <w:rPr>
          <w:rFonts w:ascii="仿宋" w:hAnsi="仿宋" w:eastAsia="仿宋"/>
        </w:rPr>
      </w:pPr>
      <w:r>
        <w:rPr>
          <w:rFonts w:hint="eastAsia" w:ascii="仿宋_GB2312"/>
          <w:szCs w:val="32"/>
        </w:rPr>
        <w:t>其中：公务用车购置费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公务用车购置费</w:t>
      </w:r>
      <w:r>
        <w:rPr>
          <w:rFonts w:hint="eastAsia" w:ascii="仿宋" w:hAnsi="仿宋" w:eastAsia="仿宋"/>
          <w:szCs w:val="32"/>
        </w:rPr>
        <w:t>总计0万元，年初预算为0万元，2016年度决算数为0万元，原因是：2017年未发生</w:t>
      </w:r>
      <w:r>
        <w:rPr>
          <w:rFonts w:hint="eastAsia" w:ascii="仿宋_GB2312"/>
          <w:szCs w:val="32"/>
        </w:rPr>
        <w:t>公务用车购置费</w:t>
      </w:r>
      <w:r>
        <w:rPr>
          <w:rFonts w:hint="eastAsia" w:ascii="仿宋" w:hAnsi="仿宋" w:eastAsia="仿宋"/>
          <w:szCs w:val="32"/>
        </w:rPr>
        <w:t>支出，年初预算未安排，2016年也未发生</w:t>
      </w:r>
      <w:r>
        <w:rPr>
          <w:rFonts w:hint="eastAsia" w:ascii="仿宋_GB2312"/>
          <w:szCs w:val="32"/>
        </w:rPr>
        <w:t>公务用车购置费</w:t>
      </w:r>
      <w:r>
        <w:rPr>
          <w:rFonts w:hint="eastAsia" w:ascii="仿宋" w:hAnsi="仿宋" w:eastAsia="仿宋"/>
          <w:szCs w:val="32"/>
        </w:rPr>
        <w:t>支出。</w:t>
      </w:r>
    </w:p>
    <w:p>
      <w:pPr>
        <w:ind w:firstLine="640"/>
        <w:rPr>
          <w:rFonts w:ascii="仿宋" w:hAnsi="仿宋" w:eastAsia="仿宋"/>
        </w:rPr>
      </w:pPr>
      <w:r>
        <w:rPr>
          <w:rFonts w:hint="eastAsia" w:ascii="仿宋_GB2312"/>
          <w:szCs w:val="32"/>
        </w:rPr>
        <w:t>其中：公务用车维护费</w:t>
      </w:r>
      <w:r>
        <w:rPr>
          <w:rFonts w:hint="eastAsia" w:ascii="仿宋" w:hAnsi="仿宋" w:eastAsia="仿宋" w:cs="仿宋"/>
        </w:rPr>
        <w:t>情况。</w:t>
      </w:r>
      <w:r>
        <w:rPr>
          <w:rFonts w:hint="eastAsia" w:ascii="仿宋" w:hAnsi="仿宋" w:eastAsia="仿宋"/>
          <w:szCs w:val="32"/>
        </w:rPr>
        <w:t>2017年</w:t>
      </w:r>
      <w:r>
        <w:rPr>
          <w:rFonts w:hint="eastAsia" w:ascii="仿宋_GB2312"/>
          <w:szCs w:val="32"/>
        </w:rPr>
        <w:t>公务用车维护费</w:t>
      </w:r>
      <w:r>
        <w:rPr>
          <w:rFonts w:hint="eastAsia" w:ascii="仿宋" w:hAnsi="仿宋" w:eastAsia="仿宋"/>
          <w:szCs w:val="32"/>
        </w:rPr>
        <w:t>总计0万元，年初预算为0万元，2016年度决算数为0万元，原因是：2017年未发生</w:t>
      </w:r>
      <w:r>
        <w:rPr>
          <w:rFonts w:hint="eastAsia" w:ascii="仿宋_GB2312"/>
          <w:szCs w:val="32"/>
        </w:rPr>
        <w:t>公务用车维护费</w:t>
      </w:r>
      <w:r>
        <w:rPr>
          <w:rFonts w:hint="eastAsia" w:ascii="仿宋" w:hAnsi="仿宋" w:eastAsia="仿宋"/>
          <w:szCs w:val="32"/>
        </w:rPr>
        <w:t>支出，年初预算未安排，2016年也未发生</w:t>
      </w:r>
      <w:r>
        <w:rPr>
          <w:rFonts w:hint="eastAsia" w:ascii="仿宋_GB2312"/>
          <w:szCs w:val="32"/>
        </w:rPr>
        <w:t>公务用车维护费</w:t>
      </w:r>
      <w:r>
        <w:rPr>
          <w:rFonts w:hint="eastAsia" w:ascii="仿宋" w:hAnsi="仿宋" w:eastAsia="仿宋"/>
          <w:szCs w:val="32"/>
        </w:rPr>
        <w:t>支出。</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hint="eastAsia" w:ascii="仿宋_GB2312"/>
          <w:szCs w:val="32"/>
        </w:rPr>
        <w:t>0万元，与年初预算相比减少0.08万元，</w:t>
      </w:r>
      <w:bookmarkStart w:id="32" w:name="OLE_LINK40"/>
      <w:bookmarkStart w:id="33" w:name="OLE_LINK41"/>
      <w:bookmarkStart w:id="34" w:name="OLE_LINK42"/>
      <w:bookmarkStart w:id="35" w:name="OLE_LINK43"/>
      <w:r>
        <w:rPr>
          <w:rFonts w:hint="eastAsia" w:ascii="仿宋_GB2312"/>
          <w:szCs w:val="32"/>
        </w:rPr>
        <w:t>降低100%</w:t>
      </w:r>
      <w:bookmarkEnd w:id="32"/>
      <w:bookmarkEnd w:id="33"/>
      <w:bookmarkEnd w:id="34"/>
      <w:bookmarkEnd w:id="35"/>
      <w:r>
        <w:rPr>
          <w:rFonts w:hint="eastAsia" w:ascii="仿宋_GB2312"/>
          <w:szCs w:val="32"/>
        </w:rPr>
        <w:t>，原因是：本部门全年无</w:t>
      </w:r>
      <w:r>
        <w:rPr>
          <w:rFonts w:ascii="仿宋_GB2312"/>
          <w:szCs w:val="32"/>
        </w:rPr>
        <w:t>公务接待费用</w:t>
      </w:r>
      <w:r>
        <w:rPr>
          <w:rFonts w:hint="eastAsia" w:ascii="仿宋_GB2312"/>
          <w:szCs w:val="32"/>
        </w:rPr>
        <w:t>，与2</w:t>
      </w:r>
      <w:r>
        <w:rPr>
          <w:rFonts w:ascii="仿宋_GB2312"/>
          <w:szCs w:val="32"/>
        </w:rPr>
        <w:t>016</w:t>
      </w:r>
      <w:r>
        <w:rPr>
          <w:rFonts w:hint="eastAsia" w:ascii="仿宋_GB2312"/>
          <w:szCs w:val="32"/>
        </w:rPr>
        <w:t>年度决算数相比增加0万元，增长0%，原因是：本部门全年无</w:t>
      </w:r>
      <w:r>
        <w:rPr>
          <w:rFonts w:ascii="仿宋_GB2312"/>
          <w:szCs w:val="32"/>
        </w:rPr>
        <w:t>公务接待费用</w:t>
      </w:r>
      <w:r>
        <w:rPr>
          <w:rFonts w:hint="eastAsia" w:ascii="仿宋_GB2312"/>
          <w:szCs w:val="32"/>
        </w:rPr>
        <w:t>。</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1．公务用车购置数量为0辆，公务用车保有量0辆；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cs="仿宋_GB2312"/>
        </w:rPr>
      </w:pPr>
      <w:r>
        <w:rPr>
          <w:rFonts w:hint="eastAsia" w:ascii="仿宋_GB2312" w:cs="仿宋_GB2312"/>
        </w:rPr>
        <w:t>（一）预算绩效管理工作开展情况</w:t>
      </w:r>
    </w:p>
    <w:p>
      <w:pPr>
        <w:spacing w:line="500" w:lineRule="exact"/>
        <w:ind w:firstLine="560"/>
        <w:rPr>
          <w:rFonts w:ascii="仿宋" w:hAnsi="仿宋" w:eastAsia="仿宋"/>
          <w:sz w:val="28"/>
        </w:rPr>
      </w:pPr>
      <w:r>
        <w:rPr>
          <w:rFonts w:ascii="仿宋" w:hAnsi="仿宋" w:eastAsia="仿宋"/>
          <w:sz w:val="28"/>
        </w:rPr>
        <w:t>领导全区共青团工作，对全区性青年社团组织指导和管理；对青少年活动阵地和青少年服务机构的建设等进行规划和管理。</w:t>
      </w:r>
    </w:p>
    <w:p>
      <w:pPr>
        <w:ind w:firstLine="640"/>
        <w:rPr>
          <w:rFonts w:ascii="仿宋_GB2312" w:cs="仿宋_GB2312"/>
        </w:rPr>
      </w:pPr>
      <w:r>
        <w:rPr>
          <w:rFonts w:hint="eastAsia" w:ascii="仿宋_GB2312" w:cs="仿宋_GB2312"/>
        </w:rPr>
        <w:t>（二）预算项目绩效评价开展情况</w:t>
      </w:r>
    </w:p>
    <w:p>
      <w:pPr>
        <w:spacing w:line="500" w:lineRule="exact"/>
        <w:ind w:firstLine="560"/>
        <w:rPr>
          <w:rFonts w:ascii="仿宋" w:hAnsi="仿宋" w:eastAsia="仿宋"/>
          <w:sz w:val="28"/>
        </w:rPr>
      </w:pPr>
      <w:r>
        <w:rPr>
          <w:rFonts w:ascii="仿宋" w:hAnsi="仿宋" w:eastAsia="仿宋"/>
          <w:sz w:val="28"/>
        </w:rPr>
        <w:t>调查青年思想动态和工作状况，研究青少年工作理论和思想教育问题并开展各种活动；组织和带领青年在经济建设中发挥生力军和突击队作用；丰富青少年活动，服务青年学习成才、交流交友、社会融入等现实需求。</w:t>
      </w:r>
    </w:p>
    <w:p>
      <w:pPr>
        <w:ind w:firstLine="640"/>
        <w:rPr>
          <w:rFonts w:ascii="仿宋_GB2312" w:cs="仿宋_GB2312"/>
        </w:rPr>
      </w:pPr>
      <w:r>
        <w:rPr>
          <w:rFonts w:hint="eastAsia" w:ascii="仿宋_GB2312" w:cs="仿宋_GB2312"/>
        </w:rPr>
        <w:t>（三）预算项目绩效自评选例</w:t>
      </w:r>
    </w:p>
    <w:p>
      <w:pPr>
        <w:ind w:firstLine="640"/>
        <w:rPr>
          <w:rFonts w:ascii="仿宋" w:hAnsi="仿宋" w:eastAsia="仿宋" w:cs="仿宋_GB2312"/>
        </w:rPr>
      </w:pPr>
      <w:r>
        <w:rPr>
          <w:rFonts w:hint="eastAsia" w:ascii="仿宋" w:hAnsi="仿宋" w:eastAsia="仿宋"/>
        </w:rPr>
        <w:t>调查青年思想动态和工作状况，研究青少年工作理论和思想教育问题并开展各种活动；组织和带领青年在经济建设中发挥生力军和突击队作用；丰富青少年活动，服务青年学习成才、交流交友、社会融入等现实需求。</w:t>
      </w:r>
    </w:p>
    <w:p>
      <w:pPr>
        <w:ind w:firstLine="640"/>
        <w:rPr>
          <w:rFonts w:ascii="仿宋_GB2312" w:cs="仿宋_GB2312"/>
        </w:rPr>
      </w:pPr>
      <w:r>
        <w:rPr>
          <w:rFonts w:hint="eastAsia" w:ascii="仿宋_GB2312" w:cs="仿宋_GB2312"/>
        </w:rPr>
        <w:t>（四）部门决算量化评价说明，</w:t>
      </w:r>
      <w:r>
        <w:rPr>
          <w:rFonts w:hint="eastAsia" w:ascii="仿宋" w:hAnsi="仿宋" w:eastAsia="仿宋" w:cs="仿宋_GB2312"/>
          <w:szCs w:val="32"/>
        </w:rPr>
        <w:t>我部门绩效预算执行情况通过部门决算软件进行测评后得分为77分，主要减分原因为：</w:t>
      </w:r>
      <w:r>
        <w:rPr>
          <w:rFonts w:ascii="仿宋" w:hAnsi="仿宋" w:eastAsia="仿宋" w:cs="仿宋_GB2312"/>
          <w:szCs w:val="32"/>
        </w:rPr>
        <w:t>1</w:t>
      </w:r>
      <w:r>
        <w:rPr>
          <w:rFonts w:hint="eastAsia" w:ascii="仿宋" w:hAnsi="仿宋" w:eastAsia="仿宋" w:cs="仿宋_GB2312"/>
          <w:szCs w:val="32"/>
        </w:rPr>
        <w:t>、财政拨款收入预决算差异率一项中减1.5分。</w:t>
      </w:r>
      <w:r>
        <w:rPr>
          <w:rFonts w:hint="eastAsia" w:ascii="仿宋" w:hAnsi="仿宋" w:eastAsia="仿宋"/>
          <w:szCs w:val="32"/>
        </w:rPr>
        <w:t>原因一是临时项目等原因申请本级预算追加指标；二是当年基本工资标准进行调整人员性支出大幅增加。以上原因导致我部门本年实际收入大于年初预算。2、年初结转和结余预决算差异率预决算差异率一项减5分，原因是年初结转和结余预决算差异较大。</w:t>
      </w:r>
      <w:r>
        <w:rPr>
          <w:rFonts w:hint="eastAsia" w:ascii="仿宋" w:hAnsi="仿宋" w:eastAsia="仿宋" w:cs="仿宋_GB2312"/>
          <w:szCs w:val="32"/>
        </w:rPr>
        <w:t>3、人员经费预决算差异率一项减0.5分，原因是</w:t>
      </w:r>
      <w:r>
        <w:rPr>
          <w:rFonts w:hint="eastAsia" w:ascii="仿宋" w:hAnsi="仿宋" w:eastAsia="仿宋"/>
          <w:szCs w:val="32"/>
        </w:rPr>
        <w:t>当年基本工资标准进行调整人员性支出大幅增加。4、公用经费预决算差异率一项减2分，原因是公用经费支出增加。5、</w:t>
      </w:r>
      <w:r>
        <w:rPr>
          <w:rFonts w:hint="eastAsia" w:ascii="仿宋" w:hAnsi="仿宋" w:eastAsia="仿宋" w:cs="仿宋_GB2312"/>
          <w:szCs w:val="32"/>
        </w:rPr>
        <w:t>财政拨款结转和结余上下年变动率一项减1分，</w:t>
      </w:r>
      <w:r>
        <w:rPr>
          <w:rFonts w:hint="eastAsia" w:ascii="仿宋" w:hAnsi="仿宋" w:eastAsia="仿宋"/>
          <w:szCs w:val="32"/>
        </w:rPr>
        <w:t>原因为本年财政拨款结转同比上年增加</w:t>
      </w:r>
      <w:r>
        <w:rPr>
          <w:rFonts w:hint="eastAsia" w:ascii="仿宋" w:hAnsi="仿宋" w:eastAsia="仿宋" w:cs="仿宋_GB2312"/>
          <w:szCs w:val="32"/>
        </w:rPr>
        <w:t>。</w:t>
      </w:r>
      <w:r>
        <w:rPr>
          <w:rFonts w:hint="eastAsia" w:ascii="仿宋" w:hAnsi="仿宋" w:eastAsia="仿宋"/>
          <w:szCs w:val="32"/>
        </w:rPr>
        <w:t>6、财政收回存量资金占上年财政拨款结转和结余比重一项减2分，本年有财政收回存量资金。7、“三公”经费支出预决算差异率一项减5分，原因是三公经费变化。8、负债类往来款变动率一项减6分，其他应付款增加。</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年度本部门机关运行经费支出49.26万元，比201</w:t>
      </w:r>
      <w:r>
        <w:rPr>
          <w:rFonts w:ascii="仿宋_GB2312"/>
          <w:szCs w:val="32"/>
        </w:rPr>
        <w:t>6</w:t>
      </w:r>
      <w:r>
        <w:rPr>
          <w:rFonts w:hint="eastAsia" w:ascii="仿宋_GB2312"/>
          <w:szCs w:val="32"/>
        </w:rPr>
        <w:t>年度增加23.97万元，</w:t>
      </w:r>
      <w:bookmarkStart w:id="36" w:name="OLE_LINK6"/>
      <w:r>
        <w:rPr>
          <w:rFonts w:hint="eastAsia" w:ascii="仿宋_GB2312"/>
          <w:szCs w:val="32"/>
        </w:rPr>
        <w:t>增长94.78%</w:t>
      </w:r>
      <w:bookmarkEnd w:id="36"/>
      <w:r>
        <w:rPr>
          <w:rFonts w:hint="eastAsia" w:ascii="仿宋_GB2312"/>
          <w:szCs w:val="32"/>
        </w:rPr>
        <w:t>。主要原因是：日常公用经费支出增加。</w:t>
      </w:r>
    </w:p>
    <w:p>
      <w:pPr>
        <w:ind w:firstLine="643"/>
        <w:rPr>
          <w:rFonts w:ascii="仿宋_GB2312"/>
          <w:szCs w:val="32"/>
        </w:rPr>
      </w:pPr>
      <w:r>
        <w:rPr>
          <w:rFonts w:hint="eastAsia" w:ascii="仿宋" w:hAnsi="仿宋" w:eastAsia="仿宋"/>
          <w:b/>
          <w:szCs w:val="32"/>
        </w:rPr>
        <w:t>2．政府采购情况</w:t>
      </w:r>
      <w:bookmarkStart w:id="37" w:name="OLE_LINK48"/>
      <w:bookmarkStart w:id="38" w:name="OLE_LINK50"/>
      <w:bookmarkStart w:id="39" w:name="OLE_LINK49"/>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年度本部门政府采购支出总额7.4万元，其中：政府采购货物支出7.4万元、政府采购工程支出0万元、政府采购服</w:t>
      </w:r>
      <w:bookmarkEnd w:id="37"/>
      <w:bookmarkEnd w:id="38"/>
      <w:bookmarkEnd w:id="39"/>
      <w:r>
        <w:rPr>
          <w:rFonts w:hint="eastAsia" w:ascii="仿宋_GB2312"/>
          <w:szCs w:val="32"/>
        </w:rPr>
        <w:t>务支出0万元。</w:t>
      </w:r>
    </w:p>
    <w:p>
      <w:pPr>
        <w:ind w:firstLine="643"/>
        <w:rPr>
          <w:rFonts w:hint="eastAsia" w:ascii="仿宋" w:hAnsi="仿宋" w:eastAsia="仿宋"/>
          <w:b/>
          <w:szCs w:val="32"/>
        </w:rPr>
      </w:pPr>
      <w:r>
        <w:rPr>
          <w:rFonts w:hint="eastAsia" w:ascii="仿宋" w:hAnsi="仿宋" w:eastAsia="仿宋"/>
          <w:b/>
          <w:szCs w:val="32"/>
        </w:rPr>
        <w:t>3．国有资产占用情况。</w:t>
      </w:r>
    </w:p>
    <w:p>
      <w:pPr>
        <w:ind w:firstLine="643"/>
        <w:rPr>
          <w:rFonts w:hint="eastAsia" w:ascii="仿宋" w:hAnsi="仿宋" w:eastAsia="仿宋"/>
          <w:b/>
          <w:szCs w:val="32"/>
        </w:rPr>
        <w:sectPr>
          <w:pgSz w:w="11906" w:h="16838"/>
          <w:pgMar w:top="1984" w:right="1531" w:bottom="1984" w:left="1531" w:header="851" w:footer="992" w:gutter="0"/>
          <w:paperSrc/>
          <w:cols w:space="0" w:num="1"/>
          <w:rtlGutter w:val="0"/>
          <w:docGrid w:type="linesAndChars" w:linePitch="444" w:charSpace="0"/>
        </w:sectPr>
      </w:pPr>
    </w:p>
    <w:tbl>
      <w:tblPr>
        <w:tblStyle w:val="6"/>
        <w:tblW w:w="15146" w:type="dxa"/>
        <w:jc w:val="center"/>
        <w:tblInd w:w="0" w:type="dxa"/>
        <w:tblLayout w:type="fixed"/>
        <w:tblCellMar>
          <w:top w:w="0" w:type="dxa"/>
          <w:left w:w="108" w:type="dxa"/>
          <w:bottom w:w="0" w:type="dxa"/>
          <w:right w:w="108" w:type="dxa"/>
        </w:tblCellMar>
      </w:tblPr>
      <w:tblGrid>
        <w:gridCol w:w="4613"/>
        <w:gridCol w:w="669"/>
        <w:gridCol w:w="894"/>
        <w:gridCol w:w="894"/>
        <w:gridCol w:w="894"/>
        <w:gridCol w:w="891"/>
        <w:gridCol w:w="4701"/>
        <w:gridCol w:w="666"/>
        <w:gridCol w:w="924"/>
      </w:tblGrid>
      <w:tr>
        <w:tblPrEx>
          <w:tblLayout w:type="fixed"/>
          <w:tblCellMar>
            <w:top w:w="0" w:type="dxa"/>
            <w:left w:w="108" w:type="dxa"/>
            <w:bottom w:w="0" w:type="dxa"/>
            <w:right w:w="108" w:type="dxa"/>
          </w:tblCellMar>
        </w:tblPrEx>
        <w:trPr>
          <w:trHeight w:val="402" w:hRule="atLeast"/>
          <w:jc w:val="center"/>
        </w:trPr>
        <w:tc>
          <w:tcPr>
            <w:tcW w:w="4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69"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88"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78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291"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6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291"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9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22.87</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23.5</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11.24</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11.6</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11.63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40" w:name="_Hlk3187520"/>
            <w:r>
              <w:rPr>
                <w:rFonts w:hint="eastAsia" w:ascii="宋体" w:hAnsi="宋体" w:eastAsia="宋体" w:cs="Arial"/>
                <w:color w:val="000000"/>
                <w:kern w:val="0"/>
                <w:sz w:val="22"/>
              </w:rPr>
              <w:t xml:space="preserve">  （一）房屋（平方米）</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77"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89"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11.63</w:t>
            </w: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11.9</w:t>
            </w: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bookmarkEnd w:id="40"/>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6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9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jc w:val="center"/>
        </w:trPr>
        <w:tc>
          <w:tcPr>
            <w:tcW w:w="4613"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6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94"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9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701"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6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9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4" w:bottom="1531" w:left="1984" w:header="851" w:footer="992" w:gutter="0"/>
          <w:paperSrc/>
          <w:cols w:space="0" w:num="1"/>
          <w:rtlGutter w:val="0"/>
          <w:docGrid w:type="linesAndChars" w:linePitch="465" w:charSpace="0"/>
        </w:sectPr>
      </w:pPr>
    </w:p>
    <w:p>
      <w:pPr>
        <w:ind w:firstLine="640"/>
        <w:rPr>
          <w:rFonts w:hint="eastAsia"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年12月31日，固定资产11.9万元，与2016年相比增加0.27万元，主要原因是：1、办公室增加多功能一体机1台0.19万元；2、办公室增加路由器1台0.08万元。</w:t>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年12月31日，本部门共有车辆0辆，其中，一般公务用车0辆、一般执法执勤用车0辆、特种专业技术用车0辆、其他用车0辆，单位价值200万元以上大型设备0台（套）。</w:t>
      </w: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41" w:name="OLE_LINK46"/>
      <w:bookmarkStart w:id="42" w:name="OLE_LINK47"/>
      <w:r>
        <w:rPr>
          <w:rFonts w:hint="eastAsia" w:ascii="仿宋" w:hAnsi="仿宋" w:eastAsia="仿宋"/>
          <w:szCs w:val="32"/>
        </w:rPr>
        <w:t>2017年会议费总计0万元，年初预算为0万元，2016年度决算数为0万元，原因是：2017年未发生会议费支出，年初预算未安排，2016年也未发生会议费支出。</w:t>
      </w:r>
    </w:p>
    <w:bookmarkEnd w:id="41"/>
    <w:bookmarkEnd w:id="42"/>
    <w:p>
      <w:pPr>
        <w:ind w:firstLine="640"/>
        <w:rPr>
          <w:rFonts w:ascii="仿宋" w:hAnsi="仿宋" w:eastAsia="仿宋"/>
        </w:rPr>
      </w:pPr>
      <w:r>
        <w:rPr>
          <w:rFonts w:hint="eastAsia" w:ascii="仿宋" w:hAnsi="仿宋" w:eastAsia="仿宋" w:cs="仿宋"/>
        </w:rPr>
        <w:t>培训费支出情况。</w:t>
      </w:r>
      <w:r>
        <w:rPr>
          <w:rFonts w:hint="eastAsia" w:ascii="仿宋" w:hAnsi="仿宋" w:eastAsia="仿宋"/>
          <w:szCs w:val="32"/>
        </w:rPr>
        <w:t>2017年培训费总计0万元，年初预算为0万元，2016年度决算数为0万元，原因是：2017年未发生培训费支出，年初预算未安排，2016年也未发生培训费支出。</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4" w:right="1531" w:bottom="1984" w:left="1531" w:header="851" w:footer="992" w:gutter="0"/>
      <w:paperSrc/>
      <w:cols w:space="0" w:num="1"/>
      <w:rtlGutter w:val="0"/>
      <w:docGrid w:type="linesAndChars" w:linePitch="465"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156B2"/>
    <w:multiLevelType w:val="multilevel"/>
    <w:tmpl w:val="2D9156B2"/>
    <w:lvl w:ilvl="0" w:tentative="0">
      <w:start w:val="1"/>
      <w:numFmt w:val="none"/>
      <w:lvlText w:val="一、"/>
      <w:lvlJc w:val="left"/>
      <w:pPr>
        <w:ind w:left="1994" w:hanging="720"/>
      </w:pPr>
      <w:rPr>
        <w:rFonts w:hint="default"/>
      </w:rPr>
    </w:lvl>
    <w:lvl w:ilvl="1" w:tentative="0">
      <w:start w:val="1"/>
      <w:numFmt w:val="lowerLetter"/>
      <w:lvlText w:val="%2)"/>
      <w:lvlJc w:val="left"/>
      <w:pPr>
        <w:ind w:left="2114" w:hanging="420"/>
      </w:pPr>
    </w:lvl>
    <w:lvl w:ilvl="2" w:tentative="0">
      <w:start w:val="1"/>
      <w:numFmt w:val="lowerRoman"/>
      <w:lvlText w:val="%3."/>
      <w:lvlJc w:val="right"/>
      <w:pPr>
        <w:ind w:left="2534" w:hanging="420"/>
      </w:pPr>
    </w:lvl>
    <w:lvl w:ilvl="3" w:tentative="0">
      <w:start w:val="1"/>
      <w:numFmt w:val="decimal"/>
      <w:lvlText w:val="%4."/>
      <w:lvlJc w:val="left"/>
      <w:pPr>
        <w:ind w:left="2954" w:hanging="420"/>
      </w:pPr>
    </w:lvl>
    <w:lvl w:ilvl="4" w:tentative="0">
      <w:start w:val="1"/>
      <w:numFmt w:val="lowerLetter"/>
      <w:lvlText w:val="%5)"/>
      <w:lvlJc w:val="left"/>
      <w:pPr>
        <w:ind w:left="3374" w:hanging="420"/>
      </w:pPr>
    </w:lvl>
    <w:lvl w:ilvl="5" w:tentative="0">
      <w:start w:val="1"/>
      <w:numFmt w:val="lowerRoman"/>
      <w:lvlText w:val="%6."/>
      <w:lvlJc w:val="right"/>
      <w:pPr>
        <w:ind w:left="3794" w:hanging="420"/>
      </w:pPr>
    </w:lvl>
    <w:lvl w:ilvl="6" w:tentative="0">
      <w:start w:val="1"/>
      <w:numFmt w:val="decimal"/>
      <w:lvlText w:val="%7."/>
      <w:lvlJc w:val="left"/>
      <w:pPr>
        <w:ind w:left="4214" w:hanging="420"/>
      </w:pPr>
    </w:lvl>
    <w:lvl w:ilvl="7" w:tentative="0">
      <w:start w:val="1"/>
      <w:numFmt w:val="lowerLetter"/>
      <w:lvlText w:val="%8)"/>
      <w:lvlJc w:val="left"/>
      <w:pPr>
        <w:ind w:left="4634" w:hanging="420"/>
      </w:pPr>
    </w:lvl>
    <w:lvl w:ilvl="8" w:tentative="0">
      <w:start w:val="1"/>
      <w:numFmt w:val="lowerRoman"/>
      <w:lvlText w:val="%9."/>
      <w:lvlJc w:val="right"/>
      <w:pPr>
        <w:ind w:left="5054" w:hanging="420"/>
      </w:pPr>
    </w:lvl>
  </w:abstractNum>
  <w:abstractNum w:abstractNumId="1">
    <w:nsid w:val="54AA3914"/>
    <w:multiLevelType w:val="multilevel"/>
    <w:tmpl w:val="54AA3914"/>
    <w:lvl w:ilvl="0" w:tentative="0">
      <w:start w:val="2"/>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4"/>
  <w:drawingGridVerticalSpacing w:val="23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1005C"/>
    <w:rsid w:val="000244B1"/>
    <w:rsid w:val="000423B2"/>
    <w:rsid w:val="00054C53"/>
    <w:rsid w:val="000576B0"/>
    <w:rsid w:val="000D7550"/>
    <w:rsid w:val="000F00FD"/>
    <w:rsid w:val="000F447E"/>
    <w:rsid w:val="001010BC"/>
    <w:rsid w:val="0011224D"/>
    <w:rsid w:val="00127C8F"/>
    <w:rsid w:val="001300C2"/>
    <w:rsid w:val="001324A1"/>
    <w:rsid w:val="00155A0C"/>
    <w:rsid w:val="00165FFE"/>
    <w:rsid w:val="00172A9E"/>
    <w:rsid w:val="00175A3A"/>
    <w:rsid w:val="0017741E"/>
    <w:rsid w:val="001843A0"/>
    <w:rsid w:val="0019263B"/>
    <w:rsid w:val="001D4513"/>
    <w:rsid w:val="001F41FA"/>
    <w:rsid w:val="00204503"/>
    <w:rsid w:val="00231700"/>
    <w:rsid w:val="00245926"/>
    <w:rsid w:val="00271D6D"/>
    <w:rsid w:val="0027309A"/>
    <w:rsid w:val="00273E03"/>
    <w:rsid w:val="0029596B"/>
    <w:rsid w:val="00296757"/>
    <w:rsid w:val="002A3356"/>
    <w:rsid w:val="002C2FB8"/>
    <w:rsid w:val="002D1C92"/>
    <w:rsid w:val="002F45BE"/>
    <w:rsid w:val="002F744F"/>
    <w:rsid w:val="00305FCB"/>
    <w:rsid w:val="00310A7C"/>
    <w:rsid w:val="00312F9F"/>
    <w:rsid w:val="003155B1"/>
    <w:rsid w:val="00333A30"/>
    <w:rsid w:val="00354E44"/>
    <w:rsid w:val="0036137F"/>
    <w:rsid w:val="003B0497"/>
    <w:rsid w:val="003D144F"/>
    <w:rsid w:val="003E1CAA"/>
    <w:rsid w:val="003F1E51"/>
    <w:rsid w:val="003F6043"/>
    <w:rsid w:val="00404BA5"/>
    <w:rsid w:val="00405DD5"/>
    <w:rsid w:val="00412C54"/>
    <w:rsid w:val="00443128"/>
    <w:rsid w:val="004508B5"/>
    <w:rsid w:val="00450D4D"/>
    <w:rsid w:val="00482ED0"/>
    <w:rsid w:val="004E7B5F"/>
    <w:rsid w:val="004F1F8E"/>
    <w:rsid w:val="00502034"/>
    <w:rsid w:val="005046AD"/>
    <w:rsid w:val="005268ED"/>
    <w:rsid w:val="00536AD1"/>
    <w:rsid w:val="00555761"/>
    <w:rsid w:val="00562ED9"/>
    <w:rsid w:val="00582C2F"/>
    <w:rsid w:val="00593550"/>
    <w:rsid w:val="00594763"/>
    <w:rsid w:val="005C39CD"/>
    <w:rsid w:val="005C5A21"/>
    <w:rsid w:val="005C7CFB"/>
    <w:rsid w:val="005E2EB4"/>
    <w:rsid w:val="005E382E"/>
    <w:rsid w:val="006263FE"/>
    <w:rsid w:val="00630D6A"/>
    <w:rsid w:val="00632195"/>
    <w:rsid w:val="006436C3"/>
    <w:rsid w:val="006508EE"/>
    <w:rsid w:val="00661402"/>
    <w:rsid w:val="00661FC6"/>
    <w:rsid w:val="00682F9B"/>
    <w:rsid w:val="00694E95"/>
    <w:rsid w:val="006A1D43"/>
    <w:rsid w:val="006A5268"/>
    <w:rsid w:val="006B012E"/>
    <w:rsid w:val="006B4BDF"/>
    <w:rsid w:val="006C00CA"/>
    <w:rsid w:val="006D6A17"/>
    <w:rsid w:val="006E76B4"/>
    <w:rsid w:val="006F5699"/>
    <w:rsid w:val="006F7A05"/>
    <w:rsid w:val="00712D5F"/>
    <w:rsid w:val="00721E96"/>
    <w:rsid w:val="00746674"/>
    <w:rsid w:val="0074760D"/>
    <w:rsid w:val="00783CA7"/>
    <w:rsid w:val="007C0692"/>
    <w:rsid w:val="007C4984"/>
    <w:rsid w:val="007D592B"/>
    <w:rsid w:val="0080381A"/>
    <w:rsid w:val="00825404"/>
    <w:rsid w:val="00830C9C"/>
    <w:rsid w:val="00831495"/>
    <w:rsid w:val="00850EA9"/>
    <w:rsid w:val="008529DA"/>
    <w:rsid w:val="008716D0"/>
    <w:rsid w:val="008951B5"/>
    <w:rsid w:val="008B55B4"/>
    <w:rsid w:val="008C65A7"/>
    <w:rsid w:val="008D22C3"/>
    <w:rsid w:val="008F3A14"/>
    <w:rsid w:val="00904747"/>
    <w:rsid w:val="00904D1F"/>
    <w:rsid w:val="0092275C"/>
    <w:rsid w:val="00934E53"/>
    <w:rsid w:val="00937A08"/>
    <w:rsid w:val="00952574"/>
    <w:rsid w:val="00965AC4"/>
    <w:rsid w:val="009A2241"/>
    <w:rsid w:val="009A77FA"/>
    <w:rsid w:val="009D3E47"/>
    <w:rsid w:val="009F4499"/>
    <w:rsid w:val="00A05198"/>
    <w:rsid w:val="00A10D76"/>
    <w:rsid w:val="00A13A55"/>
    <w:rsid w:val="00A266EB"/>
    <w:rsid w:val="00A40512"/>
    <w:rsid w:val="00A4272B"/>
    <w:rsid w:val="00A513A6"/>
    <w:rsid w:val="00A60831"/>
    <w:rsid w:val="00A82F2E"/>
    <w:rsid w:val="00A920FB"/>
    <w:rsid w:val="00A93803"/>
    <w:rsid w:val="00AA33A5"/>
    <w:rsid w:val="00AB34E3"/>
    <w:rsid w:val="00AC76D6"/>
    <w:rsid w:val="00AF2C1C"/>
    <w:rsid w:val="00B40D7B"/>
    <w:rsid w:val="00B42B02"/>
    <w:rsid w:val="00B701EF"/>
    <w:rsid w:val="00B72BF5"/>
    <w:rsid w:val="00B760BF"/>
    <w:rsid w:val="00B86180"/>
    <w:rsid w:val="00B96A7F"/>
    <w:rsid w:val="00B9738C"/>
    <w:rsid w:val="00BA26B2"/>
    <w:rsid w:val="00BB55D2"/>
    <w:rsid w:val="00BC4069"/>
    <w:rsid w:val="00BC625F"/>
    <w:rsid w:val="00BF1C0F"/>
    <w:rsid w:val="00C36EFE"/>
    <w:rsid w:val="00C62732"/>
    <w:rsid w:val="00C6739C"/>
    <w:rsid w:val="00C9078C"/>
    <w:rsid w:val="00CE7AA1"/>
    <w:rsid w:val="00CF1175"/>
    <w:rsid w:val="00CF7D21"/>
    <w:rsid w:val="00D145A9"/>
    <w:rsid w:val="00D2211A"/>
    <w:rsid w:val="00D2301D"/>
    <w:rsid w:val="00D34D1F"/>
    <w:rsid w:val="00D4698B"/>
    <w:rsid w:val="00D51081"/>
    <w:rsid w:val="00D60386"/>
    <w:rsid w:val="00D82AF5"/>
    <w:rsid w:val="00D87BD4"/>
    <w:rsid w:val="00DC4AB9"/>
    <w:rsid w:val="00E03175"/>
    <w:rsid w:val="00E234AC"/>
    <w:rsid w:val="00E23EED"/>
    <w:rsid w:val="00E5216F"/>
    <w:rsid w:val="00E7487B"/>
    <w:rsid w:val="00EA5972"/>
    <w:rsid w:val="00EB280C"/>
    <w:rsid w:val="00EB45A9"/>
    <w:rsid w:val="00EB63A9"/>
    <w:rsid w:val="00EC62AA"/>
    <w:rsid w:val="00ED09E5"/>
    <w:rsid w:val="00ED2BC0"/>
    <w:rsid w:val="00ED6876"/>
    <w:rsid w:val="00ED6B4C"/>
    <w:rsid w:val="00EF493B"/>
    <w:rsid w:val="00EF559A"/>
    <w:rsid w:val="00F0518B"/>
    <w:rsid w:val="00F05F78"/>
    <w:rsid w:val="00F06F8D"/>
    <w:rsid w:val="00F57E40"/>
    <w:rsid w:val="00F62DDD"/>
    <w:rsid w:val="00F7462B"/>
    <w:rsid w:val="00F9758A"/>
    <w:rsid w:val="00FB4825"/>
    <w:rsid w:val="00FC3BAC"/>
    <w:rsid w:val="00FD5BCA"/>
    <w:rsid w:val="00FF65FE"/>
    <w:rsid w:val="622733EC"/>
    <w:rsid w:val="7530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libri" w:hAnsi="Calibri" w:eastAsia="宋体" w:cs="Times New Roman"/>
      <w:kern w:val="0"/>
      <w:sz w:val="18"/>
      <w:szCs w:val="18"/>
    </w:rPr>
  </w:style>
  <w:style w:type="character" w:customStyle="1" w:styleId="9">
    <w:name w:val="页脚 Char"/>
    <w:basedOn w:val="5"/>
    <w:link w:val="3"/>
    <w:uiPriority w:val="99"/>
    <w:rPr>
      <w:rFonts w:ascii="Calibri" w:hAnsi="Calibri" w:eastAsia="宋体" w:cs="Times New Roman"/>
      <w:kern w:val="0"/>
      <w:sz w:val="18"/>
      <w:szCs w:val="18"/>
    </w:rPr>
  </w:style>
  <w:style w:type="paragraph" w:styleId="10">
    <w:name w:val="List Paragraph"/>
    <w:basedOn w:val="1"/>
    <w:qFormat/>
    <w:uiPriority w:val="34"/>
    <w:pPr>
      <w:ind w:firstLine="420"/>
    </w:pPr>
  </w:style>
  <w:style w:type="character" w:customStyle="1" w:styleId="11">
    <w:name w:val="批注框文本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520B6-1D5E-4758-B3F7-051715FB3052}">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21</Pages>
  <Words>934</Words>
  <Characters>5327</Characters>
  <Lines>44</Lines>
  <Paragraphs>12</Paragraphs>
  <TotalTime>33</TotalTime>
  <ScaleCrop>false</ScaleCrop>
  <LinksUpToDate>false</LinksUpToDate>
  <CharactersWithSpaces>6249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2019-03-12T00:25:00Z</dcterms:created>
  <dc:creator>jia</dc:creator>
  <cp:lastModifiedBy>Lenovo</cp:lastModifiedBy>
  <dcterms:modified xsi:type="dcterms:W3CDTF">2019-03-12T09:18:58Z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