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秦皇岛市海港区妇女联合会部门</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w:t>
      </w:r>
      <w:r>
        <w:rPr>
          <w:rFonts w:hint="eastAsia" w:ascii="黑体" w:hAnsi="黑体" w:eastAsia="黑体"/>
          <w:sz w:val="44"/>
          <w:szCs w:val="44"/>
          <w:lang w:val="en-US" w:eastAsia="zh-CN"/>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第一部分   秦皇岛市海港区妇女联合会概况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第二部分   秦皇岛市海港区妇女联合会2017年度部门决算报表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第三部分  秦皇岛市海港区妇女联合会2017年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7"/>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 秦皇岛市海港区妇女联合会概况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pStyle w:val="10"/>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spacing w:line="360" w:lineRule="auto"/>
        <w:ind w:firstLine="640"/>
        <w:rPr>
          <w:rFonts w:ascii="仿宋" w:hAnsi="仿宋" w:eastAsia="仿宋"/>
          <w:szCs w:val="32"/>
        </w:rPr>
      </w:pPr>
      <w:r>
        <w:rPr>
          <w:rFonts w:ascii="仿宋" w:hAnsi="仿宋" w:eastAsia="仿宋"/>
          <w:szCs w:val="32"/>
        </w:rPr>
        <w:t>1、宣传教育：加强教育引导和宣传指导，带动全区广大妇女统一思想、凝心聚力，围绕中央、省、市、区中心工作，为建设一流主城区和沿海经济增长极做出应有贡献。</w:t>
      </w:r>
    </w:p>
    <w:p>
      <w:pPr>
        <w:spacing w:line="360" w:lineRule="auto"/>
        <w:ind w:firstLine="640"/>
        <w:rPr>
          <w:rFonts w:ascii="仿宋" w:hAnsi="仿宋" w:eastAsia="仿宋"/>
          <w:szCs w:val="32"/>
        </w:rPr>
      </w:pPr>
      <w:r>
        <w:rPr>
          <w:rFonts w:ascii="仿宋" w:hAnsi="仿宋" w:eastAsia="仿宋"/>
          <w:szCs w:val="32"/>
        </w:rPr>
        <w:t>2、依法维权：加大普法宣传力度和矛盾纠纷化解疏导力度，提升妇女及家庭的守法意识和用法能力；完善维权工作机制，加强维权阵地建设，提升妇联依法维权服务能力。</w:t>
      </w:r>
    </w:p>
    <w:p>
      <w:pPr>
        <w:spacing w:line="360" w:lineRule="auto"/>
        <w:ind w:firstLine="640"/>
        <w:rPr>
          <w:rFonts w:ascii="仿宋" w:hAnsi="仿宋" w:eastAsia="仿宋"/>
          <w:szCs w:val="32"/>
        </w:rPr>
      </w:pPr>
      <w:r>
        <w:rPr>
          <w:rFonts w:hint="eastAsia" w:ascii="仿宋" w:hAnsi="仿宋" w:eastAsia="仿宋"/>
          <w:szCs w:val="32"/>
        </w:rPr>
        <w:t>关注涉及妇女儿童切身利益的热点、难点问题，及时向区委、区政府反映社情民意，提出对策建议；代表妇女参与我区社会事务的民主管理，民主监督，督促检查保护妇女儿童合法权益，促进男女平等。</w:t>
      </w:r>
    </w:p>
    <w:p>
      <w:pPr>
        <w:spacing w:line="360" w:lineRule="auto"/>
        <w:ind w:firstLine="640"/>
        <w:rPr>
          <w:rFonts w:ascii="仿宋" w:hAnsi="仿宋" w:eastAsia="仿宋"/>
          <w:szCs w:val="32"/>
        </w:rPr>
      </w:pPr>
      <w:r>
        <w:rPr>
          <w:rFonts w:ascii="仿宋" w:hAnsi="仿宋" w:eastAsia="仿宋"/>
          <w:szCs w:val="32"/>
        </w:rPr>
        <w:t>3、妇女建功立业：带动全区城乡妇女主动参与经济建设和社会发展，为推动全区经济发展和一流主动区建设贡献力量；鼓励引领妇女积极创业，灵活就业。</w:t>
      </w:r>
    </w:p>
    <w:p>
      <w:pPr>
        <w:spacing w:line="360" w:lineRule="auto"/>
        <w:ind w:firstLine="640"/>
        <w:rPr>
          <w:rFonts w:ascii="仿宋" w:hAnsi="仿宋" w:eastAsia="仿宋"/>
          <w:szCs w:val="32"/>
        </w:rPr>
      </w:pPr>
      <w:r>
        <w:rPr>
          <w:rFonts w:ascii="仿宋" w:hAnsi="仿宋" w:eastAsia="仿宋"/>
          <w:szCs w:val="32"/>
        </w:rPr>
        <w:t>4、组织建设：不断加强妇联组织自身建设，提升妇联干部服务妇女的能力和水平，保障妇联工作正常有序开展。</w:t>
      </w:r>
      <w:r>
        <w:rPr>
          <w:rFonts w:hint="eastAsia" w:ascii="仿宋" w:hAnsi="仿宋" w:eastAsia="仿宋"/>
          <w:szCs w:val="32"/>
        </w:rPr>
        <w:t>加强妇联基层组织建设，搭建妇联工作展示平台，推进妇联工作信息化、网络化建设；积极推动妇女参政议政，培养、推荐优秀女性人才</w:t>
      </w:r>
    </w:p>
    <w:p>
      <w:pPr>
        <w:spacing w:line="360" w:lineRule="auto"/>
        <w:ind w:firstLine="640"/>
        <w:rPr>
          <w:rFonts w:ascii="仿宋" w:hAnsi="仿宋" w:eastAsia="仿宋"/>
          <w:szCs w:val="32"/>
        </w:rPr>
      </w:pPr>
      <w:r>
        <w:rPr>
          <w:rFonts w:ascii="仿宋" w:hAnsi="仿宋" w:eastAsia="仿宋"/>
          <w:szCs w:val="32"/>
        </w:rPr>
        <w:t>5、妇女儿童事业发展：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pPr>
        <w:spacing w:line="360" w:lineRule="auto"/>
        <w:ind w:firstLine="640"/>
        <w:rPr>
          <w:rFonts w:ascii="仿宋" w:hAnsi="仿宋" w:eastAsia="仿宋"/>
          <w:szCs w:val="32"/>
        </w:rPr>
      </w:pPr>
      <w:r>
        <w:rPr>
          <w:rFonts w:hint="eastAsia" w:ascii="仿宋" w:hAnsi="仿宋" w:eastAsia="仿宋"/>
          <w:szCs w:val="32"/>
        </w:rPr>
        <w:t>6、承办区委区政府交办的其他事项。</w:t>
      </w:r>
    </w:p>
    <w:p>
      <w:pPr>
        <w:ind w:firstLine="1273" w:firstLineChars="398"/>
        <w:rPr>
          <w:rFonts w:ascii="仿宋_GB2312" w:hAnsi="黑体"/>
          <w:szCs w:val="32"/>
        </w:rPr>
      </w:pPr>
      <w:r>
        <w:rPr>
          <w:rFonts w:hint="eastAsia" w:ascii="仿宋_GB2312" w:hAnsi="黑体"/>
          <w:szCs w:val="32"/>
        </w:rPr>
        <w:t>二、部门决算单位构成</w:t>
      </w:r>
    </w:p>
    <w:bookmarkEnd w:id="8"/>
    <w:tbl>
      <w:tblPr>
        <w:tblStyle w:val="6"/>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351"/>
        <w:gridCol w:w="13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jc w:val="center"/>
              <w:rPr>
                <w:rFonts w:ascii="仿宋_GB2312" w:hAnsi="黑体"/>
                <w:sz w:val="28"/>
                <w:szCs w:val="28"/>
              </w:rPr>
            </w:pPr>
            <w:bookmarkStart w:id="9" w:name="OLE_LINK12"/>
            <w:r>
              <w:rPr>
                <w:rFonts w:hint="eastAsia" w:ascii="仿宋_GB2312" w:hAnsi="黑体" w:cs="仿宋_GB2312"/>
                <w:sz w:val="28"/>
                <w:szCs w:val="28"/>
              </w:rPr>
              <w:t>单位名称</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rPr>
                <w:rFonts w:ascii="仿宋_GB2312" w:hAnsi="黑体"/>
                <w:sz w:val="28"/>
                <w:szCs w:val="28"/>
              </w:rPr>
            </w:pPr>
            <w:r>
              <w:rPr>
                <w:rFonts w:hint="eastAsia" w:ascii="仿宋_GB2312" w:hAnsi="黑体" w:cs="仿宋_GB2312"/>
                <w:sz w:val="28"/>
                <w:szCs w:val="28"/>
              </w:rPr>
              <w:t>秦皇岛市海港区妇女联合会</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群众团体</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财政拨款</w:t>
            </w:r>
          </w:p>
        </w:tc>
      </w:tr>
    </w:tbl>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43" w:name="_GoBack"/>
      <w:r>
        <w:rPr>
          <w:rFonts w:hint="eastAsia" w:ascii="黑体" w:hAnsi="黑体" w:eastAsia="黑体"/>
          <w:sz w:val="72"/>
          <w:szCs w:val="72"/>
        </w:rPr>
        <w:t>秦皇岛市海港区妇女联合会</w:t>
      </w:r>
      <w:bookmarkEnd w:id="43"/>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0" w:leftChars="0" w:firstLine="0" w:firstLineChars="0"/>
        <w:rPr>
          <w:rFonts w:hint="eastAsia" w:ascii="仿宋_GB231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lang w:eastAsia="zh-CN"/>
        </w:rPr>
        <w:t>附件一：部门决算报表</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秦皇岛市海港区妇女联合会201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2017年度决算收入总计153.46万元，决算支出总计156.59万元，</w:t>
      </w:r>
      <w:bookmarkStart w:id="13" w:name="OLE_LINK37"/>
      <w:r>
        <w:rPr>
          <w:rFonts w:hint="eastAsia" w:ascii="仿宋_GB2312"/>
          <w:szCs w:val="32"/>
        </w:rPr>
        <w:t>年初结转和结余3.51万元，年末结转和结余0.38万元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年度收入与年初预算对比增加12.38万元，原因是：主要是人员经费及公用经费增加；与2</w:t>
      </w:r>
      <w:r>
        <w:rPr>
          <w:rFonts w:ascii="仿宋_GB2312"/>
          <w:szCs w:val="32"/>
        </w:rPr>
        <w:t>016</w:t>
      </w:r>
      <w:r>
        <w:rPr>
          <w:rFonts w:hint="eastAsia" w:ascii="仿宋_GB2312"/>
          <w:szCs w:val="32"/>
        </w:rPr>
        <w:t>年度收入相比，增加17.73万元，原因是：主要是人员经费及公用经费增加。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年度支出与年初预算对比增加15.51万元，原因是：主要是人员经费及公用经费增加；与2</w:t>
      </w:r>
      <w:r>
        <w:rPr>
          <w:rFonts w:ascii="仿宋_GB2312"/>
          <w:szCs w:val="32"/>
        </w:rPr>
        <w:t>016</w:t>
      </w:r>
      <w:r>
        <w:rPr>
          <w:rFonts w:hint="eastAsia" w:ascii="仿宋_GB2312"/>
          <w:szCs w:val="32"/>
        </w:rPr>
        <w:t>年度支出相比，增加17.97万元，原因是：人员经费及公用经费增加。</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153.46万元，其中：财政拨款收入153.46万元，占总收入 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年度支出合计156.39万元，其中：</w:t>
      </w:r>
      <w:bookmarkStart w:id="18" w:name="OLE_LINK35"/>
      <w:r>
        <w:rPr>
          <w:rFonts w:hint="eastAsia" w:ascii="仿宋" w:hAnsi="仿宋" w:eastAsia="仿宋"/>
          <w:szCs w:val="32"/>
        </w:rPr>
        <w:t>基本支出 118.46万元，占总支出77.62%；</w:t>
      </w:r>
      <w:bookmarkEnd w:id="18"/>
      <w:r>
        <w:rPr>
          <w:rFonts w:hint="eastAsia" w:ascii="仿宋" w:hAnsi="仿宋" w:eastAsia="仿宋"/>
          <w:szCs w:val="32"/>
        </w:rPr>
        <w:t>项目支出 35万元，占总支出22.38%。</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rPr>
        <w:t>153.46</w:t>
      </w:r>
      <w:r>
        <w:rPr>
          <w:rFonts w:hint="eastAsia" w:ascii="仿宋_GB2312"/>
          <w:szCs w:val="32"/>
        </w:rPr>
        <w:t>万元，财政拨款支出决算总计</w:t>
      </w:r>
      <w:r>
        <w:rPr>
          <w:rFonts w:hint="eastAsia" w:ascii="仿宋" w:hAnsi="仿宋" w:eastAsia="仿宋"/>
          <w:szCs w:val="32"/>
        </w:rPr>
        <w:t>156.39</w:t>
      </w:r>
      <w:r>
        <w:rPr>
          <w:rFonts w:hint="eastAsia" w:ascii="仿宋_GB2312"/>
          <w:szCs w:val="32"/>
        </w:rPr>
        <w:t>万元，年初结转和结余0万元，年末结转和结余0.39万元。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w:t>
      </w:r>
      <w:bookmarkEnd w:id="19"/>
      <w:r>
        <w:rPr>
          <w:rFonts w:hint="eastAsia" w:ascii="仿宋_GB2312"/>
          <w:szCs w:val="32"/>
        </w:rPr>
        <w:t>增加12.38万元，原因是：主要是人员经费及公用经费增加；与2</w:t>
      </w:r>
      <w:r>
        <w:rPr>
          <w:rFonts w:ascii="仿宋_GB2312"/>
          <w:szCs w:val="32"/>
        </w:rPr>
        <w:t>016</w:t>
      </w:r>
      <w:r>
        <w:rPr>
          <w:rFonts w:hint="eastAsia" w:ascii="仿宋_GB2312"/>
          <w:szCs w:val="32"/>
        </w:rPr>
        <w:t>年度收入相比，增加17.73万元，原因是：人员经费及公用经费增加。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年度财政拨款支出与年初预算对比增加15.51万元，原因是：人员经费及公用经费增加；与2</w:t>
      </w:r>
      <w:r>
        <w:rPr>
          <w:rFonts w:ascii="仿宋_GB2312"/>
          <w:szCs w:val="32"/>
        </w:rPr>
        <w:t>016</w:t>
      </w:r>
      <w:r>
        <w:rPr>
          <w:rFonts w:hint="eastAsia" w:ascii="仿宋_GB2312"/>
          <w:szCs w:val="32"/>
        </w:rPr>
        <w:t>年度支出相比，增加17.97万元，原因是：人员经费及公用经费增加。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7"/>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0.19</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-0.19</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其中：公务用车购置费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0.19</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-0.19</w:t>
            </w:r>
          </w:p>
        </w:tc>
        <w:tc>
          <w:tcPr>
            <w:tcW w:w="1417" w:type="dxa"/>
          </w:tcPr>
          <w:p>
            <w:pPr>
              <w:ind w:firstLine="0" w:firstLineChars="0"/>
              <w:rPr>
                <w:rFonts w:ascii="仿宋_GB2312"/>
                <w:sz w:val="24"/>
                <w:szCs w:val="24"/>
              </w:rPr>
            </w:pPr>
            <w:r>
              <w:rPr>
                <w:rFonts w:hint="eastAsia" w:ascii="仿宋_GB2312"/>
                <w:sz w:val="24"/>
                <w:szCs w:val="24"/>
              </w:rPr>
              <w:t>0</w:t>
            </w:r>
          </w:p>
        </w:tc>
      </w:tr>
    </w:tbl>
    <w:p>
      <w:pPr>
        <w:ind w:firstLine="643"/>
        <w:rPr>
          <w:rFonts w:ascii="仿宋_GB2312"/>
          <w:b/>
          <w:szCs w:val="32"/>
        </w:rPr>
      </w:pPr>
    </w:p>
    <w:p>
      <w:pPr>
        <w:ind w:firstLine="643"/>
        <w:rPr>
          <w:rFonts w:ascii="仿宋_GB2312"/>
          <w:b/>
          <w:szCs w:val="32"/>
        </w:rPr>
      </w:pPr>
    </w:p>
    <w:p>
      <w:pPr>
        <w:ind w:firstLine="643"/>
        <w:rPr>
          <w:rFonts w:ascii="仿宋_GB2312"/>
          <w:b/>
          <w:szCs w:val="32"/>
        </w:rPr>
      </w:pPr>
      <w:r>
        <w:rPr>
          <w:rFonts w:hint="eastAsia" w:ascii="仿宋_GB2312"/>
          <w:b/>
          <w:szCs w:val="32"/>
        </w:rPr>
        <w:t xml:space="preserve">      </w:t>
      </w:r>
    </w:p>
    <w:p>
      <w:pPr>
        <w:ind w:firstLine="0" w:firstLineChars="0"/>
        <w:rPr>
          <w:rFonts w:ascii="仿宋_GB2312"/>
          <w:b/>
          <w:szCs w:val="32"/>
        </w:rPr>
      </w:pPr>
    </w:p>
    <w:p>
      <w:pPr>
        <w:ind w:firstLine="0" w:firstLineChars="0"/>
        <w:rPr>
          <w:rFonts w:ascii="仿宋_GB2312"/>
          <w:b/>
          <w:szCs w:val="32"/>
        </w:rPr>
      </w:pPr>
    </w:p>
    <w:p>
      <w:pPr>
        <w:ind w:firstLine="643"/>
        <w:rPr>
          <w:rFonts w:ascii="仿宋_GB2312"/>
          <w:b/>
          <w:szCs w:val="32"/>
        </w:rPr>
      </w:pPr>
      <w:r>
        <w:rPr>
          <w:rFonts w:hint="eastAsia" w:ascii="仿宋_GB2312"/>
          <w:b/>
          <w:szCs w:val="32"/>
        </w:rPr>
        <w:t>（一）对比增减原因分析</w:t>
      </w:r>
    </w:p>
    <w:p>
      <w:pPr>
        <w:ind w:firstLine="643"/>
        <w:rPr>
          <w:rFonts w:ascii="仿宋_GB2312" w:hAnsi="仿宋" w:cs="仿宋"/>
          <w:szCs w:val="32"/>
          <w:lang w:bidi="ar"/>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年度“三公经费”支出总额0万元，与年初预算相比减少0.19万元，</w:t>
      </w:r>
      <w:bookmarkStart w:id="20" w:name="OLE_LINK38"/>
      <w:bookmarkStart w:id="21" w:name="OLE_LINK39"/>
      <w:bookmarkStart w:id="22" w:name="OLE_LINK8"/>
      <w:bookmarkStart w:id="23" w:name="OLE_LINK10"/>
      <w:r>
        <w:rPr>
          <w:rFonts w:hint="eastAsia" w:ascii="仿宋_GB2312"/>
          <w:szCs w:val="32"/>
        </w:rPr>
        <w:t>降低100%</w:t>
      </w:r>
      <w:bookmarkEnd w:id="20"/>
      <w:bookmarkEnd w:id="21"/>
      <w:r>
        <w:rPr>
          <w:rFonts w:hint="eastAsia" w:ascii="仿宋_GB2312"/>
          <w:szCs w:val="32"/>
        </w:rPr>
        <w:t>，</w:t>
      </w:r>
      <w:bookmarkEnd w:id="22"/>
      <w:bookmarkEnd w:id="23"/>
      <w:r>
        <w:rPr>
          <w:rFonts w:hint="eastAsia" w:ascii="仿宋_GB2312"/>
          <w:szCs w:val="32"/>
        </w:rPr>
        <w:t>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w:t>
      </w:r>
    </w:p>
    <w:p>
      <w:pPr>
        <w:ind w:firstLine="643"/>
        <w:rPr>
          <w:rFonts w:ascii="仿宋_GB2312" w:hAnsi="仿宋" w:cs="仿宋"/>
          <w:szCs w:val="32"/>
          <w:lang w:bidi="ar"/>
        </w:rPr>
      </w:pPr>
      <w:bookmarkStart w:id="24"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5" w:name="OLE_LINK17"/>
      <w:r>
        <w:rPr>
          <w:rFonts w:hint="eastAsia" w:ascii="仿宋_GB2312"/>
          <w:szCs w:val="32"/>
        </w:rPr>
        <w:t>度因公出国（境）</w:t>
      </w:r>
      <w:bookmarkStart w:id="26" w:name="OLE_LINK15"/>
      <w:bookmarkStart w:id="27" w:name="OLE_LINK16"/>
      <w:r>
        <w:rPr>
          <w:rFonts w:hint="eastAsia" w:ascii="仿宋_GB2312"/>
          <w:szCs w:val="32"/>
        </w:rPr>
        <w:t>费</w:t>
      </w:r>
      <w:bookmarkEnd w:id="25"/>
      <w:r>
        <w:rPr>
          <w:rFonts w:hint="eastAsia" w:ascii="仿宋_GB2312"/>
          <w:szCs w:val="32"/>
        </w:rPr>
        <w:t>0万元</w:t>
      </w:r>
      <w:bookmarkEnd w:id="26"/>
      <w:bookmarkEnd w:id="27"/>
      <w:r>
        <w:rPr>
          <w:rFonts w:hint="eastAsia" w:ascii="仿宋_GB2312"/>
          <w:szCs w:val="32"/>
        </w:rPr>
        <w:t>，与年初预算相比增加0万元，增长0%，原因是：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4"/>
      <w:bookmarkStart w:id="28" w:name="OLE_LINK9"/>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8"/>
      <w:bookmarkStart w:id="30" w:name="OLE_LINK19"/>
      <w:r>
        <w:rPr>
          <w:rFonts w:hint="eastAsia" w:ascii="仿宋_GB2312"/>
          <w:szCs w:val="32"/>
        </w:rPr>
        <w:t>度公务用车购置及运行维护费</w:t>
      </w:r>
      <w:bookmarkEnd w:id="29"/>
      <w:bookmarkEnd w:id="30"/>
      <w:r>
        <w:rPr>
          <w:rFonts w:hint="eastAsia" w:ascii="仿宋_GB2312"/>
          <w:szCs w:val="32"/>
        </w:rPr>
        <w:t>0万元，与年初预算相比增加0万元，增长0%，原因是：本部门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8"/>
      <w:r>
        <w:rPr>
          <w:rFonts w:hint="eastAsia" w:ascii="仿宋_GB2312"/>
          <w:szCs w:val="32"/>
        </w:rPr>
        <w:t>本部门</w:t>
      </w:r>
      <w:r>
        <w:rPr>
          <w:rFonts w:ascii="仿宋_GB2312"/>
          <w:szCs w:val="32"/>
        </w:rPr>
        <w:t>无公务用车</w:t>
      </w:r>
      <w:r>
        <w:rPr>
          <w:rFonts w:hint="eastAsia" w:ascii="仿宋_GB2312"/>
          <w:szCs w:val="32"/>
        </w:rPr>
        <w:t>。</w:t>
      </w:r>
    </w:p>
    <w:p>
      <w:pPr>
        <w:ind w:firstLine="640"/>
        <w:rPr>
          <w:rFonts w:ascii="仿宋" w:hAnsi="仿宋" w:eastAsia="仿宋"/>
        </w:rPr>
      </w:pPr>
      <w:r>
        <w:rPr>
          <w:rFonts w:hint="eastAsia" w:ascii="仿宋_GB2312"/>
          <w:szCs w:val="32"/>
        </w:rPr>
        <w:t>其中：公务用车购置费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公务用车购置费</w:t>
      </w:r>
      <w:r>
        <w:rPr>
          <w:rFonts w:hint="eastAsia" w:ascii="仿宋" w:hAnsi="仿宋" w:eastAsia="仿宋"/>
          <w:szCs w:val="32"/>
        </w:rPr>
        <w:t>总计0万元，年初预算为0万元，2016年度决算数为0万元，原因是：2017年未发生</w:t>
      </w:r>
      <w:r>
        <w:rPr>
          <w:rFonts w:hint="eastAsia" w:ascii="仿宋_GB2312"/>
          <w:szCs w:val="32"/>
        </w:rPr>
        <w:t>公务用车购置费</w:t>
      </w:r>
      <w:r>
        <w:rPr>
          <w:rFonts w:hint="eastAsia" w:ascii="仿宋" w:hAnsi="仿宋" w:eastAsia="仿宋"/>
          <w:szCs w:val="32"/>
        </w:rPr>
        <w:t>支出，年初预算未安排，2016年也未发生</w:t>
      </w:r>
      <w:r>
        <w:rPr>
          <w:rFonts w:hint="eastAsia" w:ascii="仿宋_GB2312"/>
          <w:szCs w:val="32"/>
        </w:rPr>
        <w:t>公务用车购置费</w:t>
      </w:r>
      <w:r>
        <w:rPr>
          <w:rFonts w:hint="eastAsia" w:ascii="仿宋" w:hAnsi="仿宋" w:eastAsia="仿宋"/>
          <w:szCs w:val="32"/>
        </w:rPr>
        <w:t>支出。</w:t>
      </w:r>
    </w:p>
    <w:p>
      <w:pPr>
        <w:ind w:firstLine="640"/>
        <w:rPr>
          <w:rFonts w:ascii="仿宋" w:hAnsi="仿宋" w:eastAsia="仿宋"/>
        </w:rPr>
      </w:pPr>
      <w:r>
        <w:rPr>
          <w:rFonts w:hint="eastAsia" w:ascii="仿宋_GB2312"/>
          <w:szCs w:val="32"/>
        </w:rPr>
        <w:t>其中：公务用车维护费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公务用车维护费</w:t>
      </w:r>
      <w:r>
        <w:rPr>
          <w:rFonts w:hint="eastAsia" w:ascii="仿宋" w:hAnsi="仿宋" w:eastAsia="仿宋"/>
          <w:szCs w:val="32"/>
        </w:rPr>
        <w:t>总计0万元，年初预算为0万元，2016年度决算数为0万元，原因是：2017年未发生</w:t>
      </w:r>
      <w:r>
        <w:rPr>
          <w:rFonts w:hint="eastAsia" w:ascii="仿宋_GB2312"/>
          <w:szCs w:val="32"/>
        </w:rPr>
        <w:t>公务用车维护费</w:t>
      </w:r>
      <w:r>
        <w:rPr>
          <w:rFonts w:hint="eastAsia" w:ascii="仿宋" w:hAnsi="仿宋" w:eastAsia="仿宋"/>
          <w:szCs w:val="32"/>
        </w:rPr>
        <w:t>支出，年初预算未安排，2016年也未发生</w:t>
      </w:r>
      <w:r>
        <w:rPr>
          <w:rFonts w:hint="eastAsia" w:ascii="仿宋_GB2312"/>
          <w:szCs w:val="32"/>
        </w:rPr>
        <w:t>公务用车维护费</w:t>
      </w:r>
      <w:r>
        <w:rPr>
          <w:rFonts w:hint="eastAsia" w:ascii="仿宋" w:hAnsi="仿宋" w:eastAsia="仿宋"/>
          <w:szCs w:val="32"/>
        </w:rPr>
        <w:t>支出。</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hint="eastAsia" w:ascii="仿宋_GB2312"/>
          <w:szCs w:val="32"/>
        </w:rPr>
        <w:t>0万元，与年初预算相比减少0.08万元，</w:t>
      </w:r>
      <w:bookmarkStart w:id="32" w:name="OLE_LINK40"/>
      <w:bookmarkStart w:id="33" w:name="OLE_LINK41"/>
      <w:bookmarkStart w:id="34" w:name="OLE_LINK42"/>
      <w:bookmarkStart w:id="35" w:name="OLE_LINK43"/>
      <w:r>
        <w:rPr>
          <w:rFonts w:hint="eastAsia" w:ascii="仿宋_GB2312"/>
          <w:szCs w:val="32"/>
        </w:rPr>
        <w:t>降低100%</w:t>
      </w:r>
      <w:bookmarkEnd w:id="32"/>
      <w:bookmarkEnd w:id="33"/>
      <w:bookmarkEnd w:id="34"/>
      <w:bookmarkEnd w:id="35"/>
      <w:r>
        <w:rPr>
          <w:rFonts w:hint="eastAsia" w:ascii="仿宋_GB2312"/>
          <w:szCs w:val="32"/>
        </w:rPr>
        <w:t>，原因是：本部门全年无</w:t>
      </w:r>
      <w:r>
        <w:rPr>
          <w:rFonts w:ascii="仿宋_GB2312"/>
          <w:szCs w:val="32"/>
        </w:rPr>
        <w:t>公务接待费用</w:t>
      </w:r>
      <w:r>
        <w:rPr>
          <w:rFonts w:hint="eastAsia" w:ascii="仿宋_GB2312"/>
          <w:szCs w:val="32"/>
        </w:rPr>
        <w:t>，与2</w:t>
      </w:r>
      <w:r>
        <w:rPr>
          <w:rFonts w:ascii="仿宋_GB2312"/>
          <w:szCs w:val="32"/>
        </w:rPr>
        <w:t>016</w:t>
      </w:r>
      <w:r>
        <w:rPr>
          <w:rFonts w:hint="eastAsia" w:ascii="仿宋_GB2312"/>
          <w:szCs w:val="32"/>
        </w:rPr>
        <w:t>年度决算数相比增加0万元，增长0%，原因是：本部门全年无</w:t>
      </w:r>
      <w:r>
        <w:rPr>
          <w:rFonts w:ascii="仿宋_GB2312"/>
          <w:szCs w:val="32"/>
        </w:rPr>
        <w:t>公务接待费用</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1．公务用车购置数量为0辆，公务用车保有量0辆；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cs="仿宋_GB2312"/>
        </w:rPr>
      </w:pPr>
      <w:r>
        <w:rPr>
          <w:rFonts w:hint="eastAsia" w:ascii="仿宋_GB2312" w:cs="仿宋_GB2312"/>
        </w:rPr>
        <w:t>（一）预算绩效管理工作开展情况</w:t>
      </w:r>
    </w:p>
    <w:p>
      <w:pPr>
        <w:spacing w:line="500" w:lineRule="exact"/>
        <w:ind w:firstLine="640"/>
        <w:rPr>
          <w:rFonts w:ascii="仿宋" w:hAnsi="仿宋" w:eastAsia="仿宋"/>
          <w:szCs w:val="32"/>
        </w:rPr>
      </w:pPr>
      <w:r>
        <w:rPr>
          <w:rFonts w:ascii="仿宋" w:hAnsi="仿宋" w:eastAsia="仿宋"/>
          <w:szCs w:val="32"/>
        </w:rPr>
        <w:t>开展妇女宣传教育展示活动，促进全区妇女精神面貌和整体素质全面提升；开展家庭文明创建活动，促进家庭和谐，提升家庭成员素质；积极参与美丽乡村建设，以社会细胞优化促社会文明进步。</w:t>
      </w:r>
    </w:p>
    <w:p>
      <w:pPr>
        <w:ind w:firstLine="640"/>
        <w:rPr>
          <w:rFonts w:ascii="仿宋_GB2312" w:cs="仿宋_GB2312"/>
        </w:rPr>
      </w:pPr>
      <w:r>
        <w:rPr>
          <w:rFonts w:hint="eastAsia" w:ascii="仿宋_GB2312" w:cs="仿宋_GB2312"/>
        </w:rPr>
        <w:t>（二）预算项目绩效评价开展情况</w:t>
      </w:r>
    </w:p>
    <w:p>
      <w:pPr>
        <w:spacing w:line="500" w:lineRule="exact"/>
        <w:ind w:firstLine="640"/>
        <w:rPr>
          <w:rFonts w:ascii="仿宋" w:hAnsi="仿宋" w:eastAsia="仿宋"/>
          <w:szCs w:val="32"/>
        </w:rPr>
      </w:pPr>
      <w:r>
        <w:rPr>
          <w:rFonts w:ascii="仿宋" w:hAnsi="仿宋" w:eastAsia="仿宋"/>
          <w:szCs w:val="32"/>
        </w:rPr>
        <w:t>坚持为妇女儿童服务、为基层服务，加强与社会各界的联系，协调推动全社会为妇女儿童办实事、办好事；指导基层妇联开展妇女儿童工作；加强阵地建设，促进妇女儿童事业发展。</w:t>
      </w:r>
    </w:p>
    <w:p>
      <w:pPr>
        <w:ind w:firstLine="640"/>
        <w:rPr>
          <w:rFonts w:ascii="仿宋_GB2312" w:cs="仿宋_GB2312"/>
        </w:rPr>
      </w:pPr>
      <w:r>
        <w:rPr>
          <w:rFonts w:hint="eastAsia" w:ascii="仿宋_GB2312" w:cs="仿宋_GB2312"/>
        </w:rPr>
        <w:t>（三）预算项目绩效自评选例</w:t>
      </w:r>
    </w:p>
    <w:p>
      <w:pPr>
        <w:ind w:firstLine="640"/>
        <w:rPr>
          <w:rFonts w:ascii="仿宋" w:hAnsi="仿宋" w:eastAsia="仿宋" w:cs="仿宋_GB2312"/>
          <w:szCs w:val="32"/>
        </w:rPr>
      </w:pPr>
      <w:r>
        <w:rPr>
          <w:rFonts w:ascii="仿宋" w:hAnsi="仿宋" w:eastAsia="仿宋"/>
          <w:szCs w:val="32"/>
        </w:rPr>
        <w:t>规范妇女信访秩序，帮助权益受到侵害的妇女儿童解决困难和问题，维护妇女儿童合法权益；提高妇女儿童维权意识和维权能力，提升妇联维权工作履职能力，深化宣传培训成效。</w:t>
      </w:r>
    </w:p>
    <w:p>
      <w:pPr>
        <w:ind w:firstLine="640"/>
      </w:pPr>
      <w:r>
        <w:rPr>
          <w:rFonts w:hint="eastAsia" w:ascii="仿宋_GB2312" w:cs="仿宋_GB2312"/>
        </w:rPr>
        <w:t>（四）部门决算量化评价说明，</w:t>
      </w:r>
      <w:r>
        <w:rPr>
          <w:rFonts w:hint="eastAsia" w:ascii="仿宋" w:hAnsi="仿宋" w:eastAsia="仿宋" w:cs="仿宋_GB2312"/>
          <w:szCs w:val="32"/>
        </w:rPr>
        <w:t>我部门绩效预算执行情况通过部门决算软件进行测评后得分为83分，主要减分原因为：</w:t>
      </w:r>
      <w:r>
        <w:rPr>
          <w:rFonts w:ascii="仿宋" w:hAnsi="仿宋" w:eastAsia="仿宋" w:cs="仿宋_GB2312"/>
          <w:szCs w:val="32"/>
        </w:rPr>
        <w:t>1</w:t>
      </w:r>
      <w:r>
        <w:rPr>
          <w:rFonts w:hint="eastAsia" w:ascii="仿宋" w:hAnsi="仿宋" w:eastAsia="仿宋" w:cs="仿宋_GB2312"/>
          <w:szCs w:val="32"/>
        </w:rPr>
        <w:t>、财政拨款收入预决算差异率一项中减1分。</w:t>
      </w:r>
      <w:r>
        <w:rPr>
          <w:rFonts w:hint="eastAsia" w:ascii="仿宋" w:hAnsi="仿宋" w:eastAsia="仿宋"/>
          <w:szCs w:val="32"/>
        </w:rPr>
        <w:t>原因一是临时项目等原因申请本级预算追加指标；二是当年基本工资标准进行调整人员性支出大幅增加。以上原因导致我部门本年实际收入大于年初预算。2、年初结转和结余预决算差异率预决算差异率一项减5分，原因是年初结转和结余预决算差异较大。</w:t>
      </w:r>
      <w:r>
        <w:rPr>
          <w:rFonts w:hint="eastAsia" w:ascii="仿宋" w:hAnsi="仿宋" w:eastAsia="仿宋" w:cs="仿宋_GB2312"/>
          <w:szCs w:val="32"/>
        </w:rPr>
        <w:t>3、人员经费预决算差异率一项减1.5分，原因是</w:t>
      </w:r>
      <w:r>
        <w:rPr>
          <w:rFonts w:hint="eastAsia" w:ascii="仿宋" w:hAnsi="仿宋" w:eastAsia="仿宋"/>
          <w:szCs w:val="32"/>
        </w:rPr>
        <w:t>当年基本工资标准进行调整人员性支出大幅增加。4、公用经费预决算差异率一项减2分，原因是公用经费支出增加。5、</w:t>
      </w:r>
      <w:r>
        <w:rPr>
          <w:rFonts w:hint="eastAsia" w:ascii="仿宋" w:hAnsi="仿宋" w:eastAsia="仿宋" w:cs="仿宋_GB2312"/>
          <w:szCs w:val="32"/>
        </w:rPr>
        <w:t>财政拨款结转和结余上下年变动率一项减0.5分，</w:t>
      </w:r>
      <w:r>
        <w:rPr>
          <w:rFonts w:hint="eastAsia" w:ascii="仿宋" w:hAnsi="仿宋" w:eastAsia="仿宋"/>
          <w:szCs w:val="32"/>
        </w:rPr>
        <w:t>原因为本年财政拨款结转同比上年增加</w:t>
      </w:r>
      <w:r>
        <w:rPr>
          <w:rFonts w:hint="eastAsia" w:ascii="仿宋" w:hAnsi="仿宋" w:eastAsia="仿宋" w:cs="仿宋_GB2312"/>
          <w:szCs w:val="32"/>
        </w:rPr>
        <w:t>。</w:t>
      </w:r>
      <w:r>
        <w:rPr>
          <w:rFonts w:hint="eastAsia" w:ascii="仿宋" w:hAnsi="仿宋" w:eastAsia="仿宋"/>
          <w:szCs w:val="32"/>
        </w:rPr>
        <w:t>6、财政收回存量资金占上年财政拨款结转和结余比重一项减1分，本年有财政收回存量资金。7、负债类往来款变动率一项减6分，原因是财政应返还额度增加。。</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年度本部门机关运行经费支出8.34万元，比201</w:t>
      </w:r>
      <w:r>
        <w:rPr>
          <w:rFonts w:ascii="仿宋_GB2312"/>
          <w:szCs w:val="32"/>
        </w:rPr>
        <w:t>6</w:t>
      </w:r>
      <w:r>
        <w:rPr>
          <w:rFonts w:hint="eastAsia" w:ascii="仿宋_GB2312"/>
          <w:szCs w:val="32"/>
        </w:rPr>
        <w:t>年度减少5.93万元，</w:t>
      </w:r>
      <w:bookmarkStart w:id="36" w:name="OLE_LINK6"/>
      <w:r>
        <w:rPr>
          <w:rFonts w:hint="eastAsia" w:ascii="仿宋_GB2312"/>
          <w:szCs w:val="32"/>
        </w:rPr>
        <w:t>减少41.56%</w:t>
      </w:r>
      <w:bookmarkEnd w:id="36"/>
      <w:r>
        <w:rPr>
          <w:rFonts w:hint="eastAsia" w:ascii="仿宋_GB2312"/>
          <w:szCs w:val="32"/>
        </w:rPr>
        <w:t>。主要原因是：日常公用经费支出减少。</w:t>
      </w:r>
    </w:p>
    <w:p>
      <w:pPr>
        <w:ind w:firstLine="643"/>
        <w:rPr>
          <w:rFonts w:ascii="仿宋_GB2312"/>
          <w:szCs w:val="32"/>
        </w:rPr>
      </w:pPr>
      <w:r>
        <w:rPr>
          <w:rFonts w:hint="eastAsia" w:ascii="仿宋" w:hAnsi="仿宋" w:eastAsia="仿宋"/>
          <w:b/>
          <w:szCs w:val="32"/>
        </w:rPr>
        <w:t>2．政府采购情况</w:t>
      </w:r>
      <w:bookmarkStart w:id="37" w:name="OLE_LINK49"/>
      <w:bookmarkStart w:id="38" w:name="OLE_LINK50"/>
      <w:bookmarkStart w:id="39" w:name="OLE_LINK48"/>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年度本部门政府采购支出总额17.29万元，其中：政府采购货物支出17.29万元、政府采购工程支出0万元、政府采购服</w:t>
      </w:r>
      <w:bookmarkEnd w:id="37"/>
      <w:bookmarkEnd w:id="38"/>
      <w:bookmarkEnd w:id="39"/>
      <w:r>
        <w:rPr>
          <w:rFonts w:hint="eastAsia" w:ascii="仿宋_GB2312"/>
          <w:szCs w:val="32"/>
        </w:rPr>
        <w:t>务支出0万元。</w:t>
      </w:r>
    </w:p>
    <w:p>
      <w:pPr>
        <w:ind w:firstLine="643"/>
        <w:rPr>
          <w:rFonts w:ascii="仿宋" w:hAnsi="仿宋" w:eastAsia="仿宋"/>
          <w:b/>
          <w:szCs w:val="32"/>
        </w:rPr>
      </w:pPr>
      <w:r>
        <w:rPr>
          <w:rFonts w:hint="eastAsia" w:ascii="仿宋" w:hAnsi="仿宋" w:eastAsia="仿宋"/>
          <w:b/>
          <w:szCs w:val="32"/>
        </w:rPr>
        <w:t>3．国有资产占用情况。</w:t>
      </w:r>
    </w:p>
    <w:tbl>
      <w:tblPr>
        <w:tblStyle w:val="6"/>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10.25</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7.44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3.51</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0.39</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7.05</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40" w:name="_Hlk3187520"/>
            <w:r>
              <w:rPr>
                <w:rFonts w:hint="eastAsia" w:ascii="宋体" w:hAnsi="宋体" w:eastAsia="宋体" w:cs="Arial"/>
                <w:color w:val="000000"/>
                <w:kern w:val="0"/>
                <w:sz w:val="22"/>
              </w:rPr>
              <w:t xml:space="preserve">  （一）房屋（平方米）</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40"/>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7.05</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年12月31日，固定资产7.05万元，与2016年相比增加0.31万元，主要原因是：1、办公室购买2台显示器0.23万元；2、调拨路由器1台0.08万元。</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年12月31日，本部门共有车辆0辆，其中，一般公务用车0辆、一般执法执勤用车0辆、特种专业技术用车0辆、其他用车0辆，单位价值200万元以上大型设备0台（套）。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41" w:name="OLE_LINK47"/>
      <w:bookmarkStart w:id="42" w:name="OLE_LINK46"/>
      <w:r>
        <w:rPr>
          <w:rFonts w:hint="eastAsia" w:ascii="仿宋" w:hAnsi="仿宋" w:eastAsia="仿宋"/>
          <w:szCs w:val="32"/>
        </w:rPr>
        <w:t>2017年会议费总计0万元，年初预算为0万元，2016年度决算数为0万元，原因是：2017年未发生会议费支出，年初预算未安排，2016年也未发生会议费支出。</w:t>
      </w:r>
    </w:p>
    <w:bookmarkEnd w:id="41"/>
    <w:bookmarkEnd w:id="42"/>
    <w:p>
      <w:pPr>
        <w:ind w:firstLine="640"/>
        <w:rPr>
          <w:rFonts w:ascii="仿宋" w:hAnsi="仿宋" w:eastAsia="仿宋"/>
        </w:rPr>
      </w:pPr>
      <w:r>
        <w:rPr>
          <w:rFonts w:hint="eastAsia" w:ascii="仿宋" w:hAnsi="仿宋" w:eastAsia="仿宋" w:cs="仿宋"/>
        </w:rPr>
        <w:t>培训费支出情况。</w:t>
      </w:r>
      <w:r>
        <w:rPr>
          <w:rFonts w:hint="eastAsia" w:ascii="仿宋" w:hAnsi="仿宋" w:eastAsia="仿宋"/>
          <w:szCs w:val="32"/>
        </w:rPr>
        <w:t>2017年培训费总计0万元，年初预算为0万元，2016年度决算数为0万元，原因是：2017年未发生培训费支出，年初预算未安排，2016年也未发生培训费支出。</w:t>
      </w:r>
      <w:r>
        <w:rPr>
          <w:rFonts w:hint="eastAsia" w:ascii="仿宋" w:hAnsi="仿宋" w:eastAsia="仿宋"/>
          <w:b/>
          <w:szCs w:val="32"/>
        </w:rPr>
        <w:t xml:space="preserve"> </w:t>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6838" w:h="11906" w:orient="landscape"/>
      <w:pgMar w:top="1531" w:right="1985" w:bottom="1531" w:left="1985"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13</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156B2"/>
    <w:multiLevelType w:val="multilevel"/>
    <w:tmpl w:val="2D9156B2"/>
    <w:lvl w:ilvl="0" w:tentative="0">
      <w:start w:val="1"/>
      <w:numFmt w:val="none"/>
      <w:lvlText w:val="一、"/>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576B0"/>
    <w:rsid w:val="0006475C"/>
    <w:rsid w:val="000F00FD"/>
    <w:rsid w:val="001010BC"/>
    <w:rsid w:val="00105138"/>
    <w:rsid w:val="0011224D"/>
    <w:rsid w:val="00127C8F"/>
    <w:rsid w:val="001300C2"/>
    <w:rsid w:val="00155A0C"/>
    <w:rsid w:val="00172A9E"/>
    <w:rsid w:val="00175A3A"/>
    <w:rsid w:val="0017741E"/>
    <w:rsid w:val="0019263B"/>
    <w:rsid w:val="001951CB"/>
    <w:rsid w:val="001D4513"/>
    <w:rsid w:val="001F41FA"/>
    <w:rsid w:val="00204503"/>
    <w:rsid w:val="00231700"/>
    <w:rsid w:val="00245926"/>
    <w:rsid w:val="00250FA6"/>
    <w:rsid w:val="00271D6D"/>
    <w:rsid w:val="0027309A"/>
    <w:rsid w:val="00273E03"/>
    <w:rsid w:val="0029596B"/>
    <w:rsid w:val="00296757"/>
    <w:rsid w:val="002A3356"/>
    <w:rsid w:val="002C2FB8"/>
    <w:rsid w:val="002D1C92"/>
    <w:rsid w:val="002F45BE"/>
    <w:rsid w:val="00305FCB"/>
    <w:rsid w:val="00310A7C"/>
    <w:rsid w:val="00312F9F"/>
    <w:rsid w:val="003155B1"/>
    <w:rsid w:val="00333A30"/>
    <w:rsid w:val="0036137F"/>
    <w:rsid w:val="003949C6"/>
    <w:rsid w:val="003A01BE"/>
    <w:rsid w:val="003B0497"/>
    <w:rsid w:val="003D144F"/>
    <w:rsid w:val="003F1E51"/>
    <w:rsid w:val="003F6043"/>
    <w:rsid w:val="00404BA5"/>
    <w:rsid w:val="00405DD5"/>
    <w:rsid w:val="00412C54"/>
    <w:rsid w:val="00442C8A"/>
    <w:rsid w:val="00443128"/>
    <w:rsid w:val="00450D4D"/>
    <w:rsid w:val="00473FC6"/>
    <w:rsid w:val="00482ED0"/>
    <w:rsid w:val="004B1A24"/>
    <w:rsid w:val="004C11A5"/>
    <w:rsid w:val="004C566A"/>
    <w:rsid w:val="004D4AEE"/>
    <w:rsid w:val="004E7B5F"/>
    <w:rsid w:val="004F1F8E"/>
    <w:rsid w:val="00502034"/>
    <w:rsid w:val="005046AD"/>
    <w:rsid w:val="00523F0B"/>
    <w:rsid w:val="005268ED"/>
    <w:rsid w:val="00536AD1"/>
    <w:rsid w:val="00562ED9"/>
    <w:rsid w:val="00563714"/>
    <w:rsid w:val="00582C2F"/>
    <w:rsid w:val="00593550"/>
    <w:rsid w:val="00594763"/>
    <w:rsid w:val="005C39CD"/>
    <w:rsid w:val="005C5A21"/>
    <w:rsid w:val="005C7CFB"/>
    <w:rsid w:val="005E2EB4"/>
    <w:rsid w:val="005E382E"/>
    <w:rsid w:val="006263FE"/>
    <w:rsid w:val="00630D6A"/>
    <w:rsid w:val="00632195"/>
    <w:rsid w:val="006508EE"/>
    <w:rsid w:val="00654A49"/>
    <w:rsid w:val="00661402"/>
    <w:rsid w:val="00661FC6"/>
    <w:rsid w:val="00682F9B"/>
    <w:rsid w:val="006A1D43"/>
    <w:rsid w:val="006A5268"/>
    <w:rsid w:val="006B012E"/>
    <w:rsid w:val="006B4BDF"/>
    <w:rsid w:val="006C00CA"/>
    <w:rsid w:val="006D07EE"/>
    <w:rsid w:val="006D6A17"/>
    <w:rsid w:val="006E76B4"/>
    <w:rsid w:val="006F5699"/>
    <w:rsid w:val="006F7A05"/>
    <w:rsid w:val="00712D5F"/>
    <w:rsid w:val="00746674"/>
    <w:rsid w:val="007A239B"/>
    <w:rsid w:val="007C4984"/>
    <w:rsid w:val="007D592B"/>
    <w:rsid w:val="0080381A"/>
    <w:rsid w:val="00825404"/>
    <w:rsid w:val="00830C9C"/>
    <w:rsid w:val="00850EA9"/>
    <w:rsid w:val="008529DA"/>
    <w:rsid w:val="008716D0"/>
    <w:rsid w:val="008951B5"/>
    <w:rsid w:val="008B55B4"/>
    <w:rsid w:val="008C65A7"/>
    <w:rsid w:val="008D22C3"/>
    <w:rsid w:val="008F2AD4"/>
    <w:rsid w:val="008F3A14"/>
    <w:rsid w:val="00904747"/>
    <w:rsid w:val="00904D1F"/>
    <w:rsid w:val="0092275C"/>
    <w:rsid w:val="00934E53"/>
    <w:rsid w:val="00937A08"/>
    <w:rsid w:val="00952574"/>
    <w:rsid w:val="00965AC4"/>
    <w:rsid w:val="009A2241"/>
    <w:rsid w:val="009A77FA"/>
    <w:rsid w:val="009D3E47"/>
    <w:rsid w:val="009E7F44"/>
    <w:rsid w:val="009F4499"/>
    <w:rsid w:val="00A05198"/>
    <w:rsid w:val="00A10D76"/>
    <w:rsid w:val="00A13A55"/>
    <w:rsid w:val="00A266EB"/>
    <w:rsid w:val="00A40512"/>
    <w:rsid w:val="00A4272B"/>
    <w:rsid w:val="00A513A6"/>
    <w:rsid w:val="00A60831"/>
    <w:rsid w:val="00A710E1"/>
    <w:rsid w:val="00A920FB"/>
    <w:rsid w:val="00A93803"/>
    <w:rsid w:val="00AA33A5"/>
    <w:rsid w:val="00AB34E3"/>
    <w:rsid w:val="00AC76D6"/>
    <w:rsid w:val="00AE1FA6"/>
    <w:rsid w:val="00AF2C1C"/>
    <w:rsid w:val="00B42B02"/>
    <w:rsid w:val="00B5522B"/>
    <w:rsid w:val="00B701EF"/>
    <w:rsid w:val="00B72BF5"/>
    <w:rsid w:val="00B760BF"/>
    <w:rsid w:val="00B86180"/>
    <w:rsid w:val="00B96A7F"/>
    <w:rsid w:val="00BA1137"/>
    <w:rsid w:val="00BA26B2"/>
    <w:rsid w:val="00BB55D2"/>
    <w:rsid w:val="00BC4069"/>
    <w:rsid w:val="00BC625F"/>
    <w:rsid w:val="00BF1C0F"/>
    <w:rsid w:val="00C36EFE"/>
    <w:rsid w:val="00C62732"/>
    <w:rsid w:val="00C6739C"/>
    <w:rsid w:val="00CA0147"/>
    <w:rsid w:val="00CE7AA1"/>
    <w:rsid w:val="00CF02BC"/>
    <w:rsid w:val="00CF1175"/>
    <w:rsid w:val="00CF7D21"/>
    <w:rsid w:val="00D145A9"/>
    <w:rsid w:val="00D2211A"/>
    <w:rsid w:val="00D2301D"/>
    <w:rsid w:val="00D34D1F"/>
    <w:rsid w:val="00D4698B"/>
    <w:rsid w:val="00D51081"/>
    <w:rsid w:val="00D60386"/>
    <w:rsid w:val="00D82AF5"/>
    <w:rsid w:val="00D87BD4"/>
    <w:rsid w:val="00DA2326"/>
    <w:rsid w:val="00DC4AB9"/>
    <w:rsid w:val="00DF7BF9"/>
    <w:rsid w:val="00E006FB"/>
    <w:rsid w:val="00E03175"/>
    <w:rsid w:val="00E234AC"/>
    <w:rsid w:val="00E5216F"/>
    <w:rsid w:val="00E7487B"/>
    <w:rsid w:val="00EA27DE"/>
    <w:rsid w:val="00EA5972"/>
    <w:rsid w:val="00EB45A9"/>
    <w:rsid w:val="00EB63A9"/>
    <w:rsid w:val="00EC62AA"/>
    <w:rsid w:val="00ED09E5"/>
    <w:rsid w:val="00ED2BC0"/>
    <w:rsid w:val="00ED6876"/>
    <w:rsid w:val="00ED6B4C"/>
    <w:rsid w:val="00EF493B"/>
    <w:rsid w:val="00F0518B"/>
    <w:rsid w:val="00F05F78"/>
    <w:rsid w:val="00F06F8D"/>
    <w:rsid w:val="00F525EF"/>
    <w:rsid w:val="00F62DDD"/>
    <w:rsid w:val="00F7462B"/>
    <w:rsid w:val="00F9758A"/>
    <w:rsid w:val="00FB4825"/>
    <w:rsid w:val="00FC3BAC"/>
    <w:rsid w:val="00FD5BCA"/>
    <w:rsid w:val="00FF65FE"/>
    <w:rsid w:val="245C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7">
    <w:name w:val="Table Grid"/>
    <w:basedOn w:val="6"/>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libri" w:hAnsi="Calibri" w:eastAsia="宋体" w:cs="Times New Roman"/>
      <w:kern w:val="0"/>
      <w:sz w:val="18"/>
      <w:szCs w:val="18"/>
    </w:rPr>
  </w:style>
  <w:style w:type="character" w:customStyle="1" w:styleId="9">
    <w:name w:val="页脚 Char"/>
    <w:basedOn w:val="5"/>
    <w:link w:val="3"/>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character" w:customStyle="1" w:styleId="11">
    <w:name w:val="批注框文本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856B2-D64A-48FB-9264-C2A5131DE191}">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Pages>
  <Words>955</Words>
  <Characters>5449</Characters>
  <Lines>45</Lines>
  <Paragraphs>12</Paragraphs>
  <TotalTime>30</TotalTime>
  <ScaleCrop>false</ScaleCrop>
  <LinksUpToDate>false</LinksUpToDate>
  <CharactersWithSpaces>6392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2019-03-11T23:54:00Z</dcterms:created>
  <dc:creator>jia</dc:creator>
  <cp:lastModifiedBy>Lenovo</cp:lastModifiedBy>
  <dcterms:modified xsi:type="dcterms:W3CDTF">2019-03-12T09:10:20Z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