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2017年度部门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秦皇岛市海港区综合执法协调</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工作办公室部门</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年10月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left="1920" w:leftChars="200" w:hanging="1280" w:hangingChars="400"/>
        <w:rPr>
          <w:sz w:val="24"/>
          <w:szCs w:val="32"/>
        </w:rPr>
      </w:pPr>
      <w:r>
        <w:rPr>
          <w:rFonts w:eastAsia="黑体"/>
          <w:szCs w:val="32"/>
        </w:rPr>
        <w:t xml:space="preserve">第一部分  </w:t>
      </w:r>
      <w:r>
        <w:rPr>
          <w:rFonts w:hint="eastAsia" w:eastAsia="黑体"/>
          <w:szCs w:val="32"/>
        </w:rPr>
        <w:t>秦皇岛市海港区</w:t>
      </w:r>
      <w:r>
        <w:rPr>
          <w:rFonts w:hint="eastAsia" w:ascii="黑体" w:eastAsia="黑体"/>
          <w:szCs w:val="32"/>
        </w:rPr>
        <w:t>综合执法协调工作办公室</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left="1920" w:leftChars="200" w:hanging="1280" w:hangingChars="400"/>
        <w:rPr>
          <w:sz w:val="20"/>
          <w:szCs w:val="32"/>
        </w:rPr>
      </w:pPr>
      <w:r>
        <w:rPr>
          <w:rFonts w:eastAsia="黑体"/>
          <w:szCs w:val="32"/>
        </w:rPr>
        <w:t xml:space="preserve">第二部分 </w:t>
      </w:r>
      <w:r>
        <w:rPr>
          <w:rFonts w:hint="eastAsia" w:eastAsia="黑体"/>
          <w:szCs w:val="32"/>
        </w:rPr>
        <w:t xml:space="preserve"> 秦皇岛市海港区</w:t>
      </w:r>
      <w:r>
        <w:rPr>
          <w:rFonts w:hint="eastAsia" w:ascii="黑体" w:eastAsia="黑体"/>
          <w:szCs w:val="32"/>
        </w:rPr>
        <w:t>综合执法协调工作办公室</w:t>
      </w:r>
      <w:r>
        <w:rPr>
          <w:rFonts w:eastAsia="黑体"/>
          <w:szCs w:val="32"/>
        </w:rPr>
        <w:t>部门20</w:t>
      </w:r>
      <w:r>
        <w:rPr>
          <w:rFonts w:hint="eastAsia" w:eastAsia="黑体"/>
          <w:szCs w:val="32"/>
        </w:rPr>
        <w:t>17</w:t>
      </w:r>
      <w:r>
        <w:rPr>
          <w:rFonts w:eastAsia="黑体"/>
          <w:szCs w:val="32"/>
        </w:rPr>
        <w:t>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left="1920" w:leftChars="200" w:hanging="1280" w:hangingChars="400"/>
        <w:rPr>
          <w:rFonts w:eastAsia="黑体"/>
          <w:szCs w:val="32"/>
        </w:rPr>
      </w:pPr>
      <w:r>
        <w:rPr>
          <w:rFonts w:eastAsia="黑体"/>
          <w:szCs w:val="32"/>
        </w:rPr>
        <w:t xml:space="preserve">第三部分  </w:t>
      </w:r>
      <w:r>
        <w:rPr>
          <w:rFonts w:hint="eastAsia" w:eastAsia="黑体"/>
          <w:szCs w:val="32"/>
        </w:rPr>
        <w:t>秦皇岛市海港区</w:t>
      </w:r>
      <w:r>
        <w:rPr>
          <w:rFonts w:hint="eastAsia" w:ascii="黑体" w:eastAsia="黑体"/>
          <w:szCs w:val="32"/>
        </w:rPr>
        <w:t>综合执法协调工作办公室</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7"/>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6" w:name="OLE_LINK13"/>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w:t>
      </w:r>
      <w:r>
        <w:rPr>
          <w:rFonts w:hint="eastAsia" w:ascii="黑体" w:eastAsia="黑体"/>
          <w:sz w:val="72"/>
          <w:szCs w:val="72"/>
        </w:rPr>
        <w:t>综合执法协调工作办公室</w:t>
      </w:r>
      <w:r>
        <w:rPr>
          <w:rFonts w:hint="eastAsia" w:ascii="黑体" w:hAnsi="黑体" w:eastAsia="黑体"/>
          <w:sz w:val="72"/>
          <w:szCs w:val="72"/>
        </w:rPr>
        <w:t>部门概况</w:t>
      </w:r>
    </w:p>
    <w:bookmarkEnd w:id="6"/>
    <w:p>
      <w:pPr>
        <w:widowControl/>
        <w:spacing w:line="580" w:lineRule="exact"/>
        <w:ind w:firstLine="880"/>
        <w:jc w:val="center"/>
        <w:rPr>
          <w:rFonts w:eastAsia="方正小标宋_GBK"/>
          <w:sz w:val="44"/>
          <w:szCs w:val="44"/>
        </w:rPr>
      </w:pPr>
    </w:p>
    <w:p>
      <w:pPr>
        <w:widowControl/>
        <w:spacing w:line="580" w:lineRule="exact"/>
        <w:ind w:firstLine="640"/>
        <w:rPr>
          <w:rFonts w:ascii="仿宋_GB2312"/>
          <w:szCs w:val="32"/>
        </w:rPr>
      </w:pPr>
    </w:p>
    <w:p>
      <w:pPr>
        <w:widowControl/>
        <w:spacing w:line="580" w:lineRule="exact"/>
        <w:ind w:firstLine="640" w:firstLineChars="0"/>
        <w:rPr>
          <w:rFonts w:ascii="仿宋_GB2312"/>
          <w:szCs w:val="32"/>
        </w:rPr>
      </w:pPr>
    </w:p>
    <w:p>
      <w:pPr>
        <w:pStyle w:val="9"/>
        <w:widowControl/>
        <w:spacing w:line="580" w:lineRule="exact"/>
        <w:ind w:left="1854" w:firstLine="0" w:firstLineChars="0"/>
        <w:rPr>
          <w:rFonts w:ascii="仿宋_GB2312"/>
          <w:szCs w:val="32"/>
        </w:rPr>
      </w:pPr>
    </w:p>
    <w:p>
      <w:pPr>
        <w:widowControl/>
        <w:spacing w:line="580" w:lineRule="exact"/>
        <w:ind w:firstLine="0" w:firstLineChars="0"/>
        <w:rPr>
          <w:rFonts w:ascii="仿宋_GB2312"/>
          <w:szCs w:val="32"/>
        </w:rPr>
      </w:pPr>
      <w:r>
        <w:rPr>
          <w:rFonts w:hint="eastAsia" w:ascii="仿宋_GB2312"/>
          <w:szCs w:val="32"/>
        </w:rPr>
        <w:t xml:space="preserve">            </w:t>
      </w:r>
    </w:p>
    <w:p>
      <w:pPr>
        <w:pStyle w:val="9"/>
        <w:widowControl/>
        <w:spacing w:line="580" w:lineRule="exact"/>
        <w:ind w:left="1854" w:firstLine="0" w:firstLineChars="0"/>
        <w:rPr>
          <w:rFonts w:ascii="仿宋_GB2312"/>
          <w:szCs w:val="32"/>
        </w:rPr>
      </w:pPr>
    </w:p>
    <w:p>
      <w:pPr>
        <w:pStyle w:val="9"/>
        <w:widowControl/>
        <w:spacing w:line="580" w:lineRule="exact"/>
        <w:ind w:left="1854" w:firstLine="0" w:firstLineChars="0"/>
        <w:jc w:val="left"/>
        <w:rPr>
          <w:rFonts w:ascii="仿宋_GB2312"/>
          <w:szCs w:val="32"/>
        </w:rPr>
      </w:pPr>
    </w:p>
    <w:p>
      <w:pPr>
        <w:widowControl/>
        <w:spacing w:line="580" w:lineRule="exact"/>
        <w:ind w:firstLine="800" w:firstLineChars="250"/>
        <w:rPr>
          <w:rFonts w:ascii="仿宋_GB2312"/>
          <w:szCs w:val="32"/>
        </w:rPr>
      </w:pPr>
      <w:r>
        <w:rPr>
          <w:rFonts w:hint="eastAsia" w:ascii="仿宋_GB2312"/>
          <w:szCs w:val="32"/>
        </w:rPr>
        <w:t>一、部门职责</w:t>
      </w:r>
    </w:p>
    <w:p>
      <w:pPr>
        <w:ind w:left="1274" w:firstLine="0" w:firstLineChars="0"/>
        <w:rPr>
          <w:rFonts w:ascii="仿宋_GB2312" w:hAnsi="宋体"/>
          <w:szCs w:val="32"/>
        </w:rPr>
      </w:pPr>
      <w:r>
        <w:rPr>
          <w:rFonts w:hint="eastAsia" w:ascii="仿宋_GB2312" w:hAnsi="宋体" w:cs="宋体"/>
          <w:szCs w:val="32"/>
        </w:rPr>
        <w:t>对</w:t>
      </w:r>
      <w:r>
        <w:rPr>
          <w:rFonts w:hint="eastAsia" w:ascii="仿宋_GB2312" w:hAnsi="宋体" w:cs="Batang"/>
          <w:szCs w:val="32"/>
        </w:rPr>
        <w:t>全</w:t>
      </w:r>
      <w:r>
        <w:rPr>
          <w:rFonts w:hint="eastAsia" w:ascii="仿宋_GB2312" w:hAnsi="宋体" w:cs="宋体"/>
          <w:szCs w:val="32"/>
        </w:rPr>
        <w:t>区</w:t>
      </w:r>
      <w:r>
        <w:rPr>
          <w:rFonts w:hint="eastAsia" w:ascii="仿宋_GB2312" w:hAnsi="宋体" w:cs="Batang"/>
          <w:szCs w:val="32"/>
        </w:rPr>
        <w:t>范</w:t>
      </w:r>
      <w:r>
        <w:rPr>
          <w:rFonts w:hint="eastAsia" w:ascii="仿宋_GB2312" w:hAnsi="宋体" w:cs="宋体"/>
          <w:szCs w:val="32"/>
        </w:rPr>
        <w:t>围内</w:t>
      </w:r>
      <w:r>
        <w:rPr>
          <w:rFonts w:hint="eastAsia" w:ascii="仿宋_GB2312" w:hAnsi="宋体" w:cs="Batang"/>
          <w:szCs w:val="32"/>
        </w:rPr>
        <w:t>的</w:t>
      </w:r>
      <w:r>
        <w:rPr>
          <w:rFonts w:hint="eastAsia" w:ascii="仿宋_GB2312" w:hAnsi="宋体" w:cs="宋体"/>
          <w:szCs w:val="32"/>
        </w:rPr>
        <w:t>违</w:t>
      </w:r>
      <w:r>
        <w:rPr>
          <w:rFonts w:hint="eastAsia" w:ascii="仿宋_GB2312" w:hAnsi="宋体" w:cs="Batang"/>
          <w:szCs w:val="32"/>
        </w:rPr>
        <w:t>城</w:t>
      </w:r>
      <w:r>
        <w:rPr>
          <w:rFonts w:hint="eastAsia" w:ascii="仿宋_GB2312" w:hAnsi="宋体" w:cs="宋体"/>
          <w:szCs w:val="32"/>
        </w:rPr>
        <w:t>乡</w:t>
      </w:r>
      <w:r>
        <w:rPr>
          <w:rFonts w:hint="eastAsia" w:ascii="仿宋_GB2312" w:hAnsi="宋体" w:cs="Batang"/>
          <w:szCs w:val="32"/>
        </w:rPr>
        <w:t>非法用地、</w:t>
      </w:r>
      <w:r>
        <w:rPr>
          <w:rFonts w:hint="eastAsia" w:ascii="仿宋_GB2312" w:hAnsi="宋体" w:cs="宋体"/>
          <w:szCs w:val="32"/>
        </w:rPr>
        <w:t>违</w:t>
      </w:r>
      <w:r>
        <w:rPr>
          <w:rFonts w:hint="eastAsia" w:ascii="仿宋_GB2312" w:hAnsi="宋体" w:cs="Batang"/>
          <w:szCs w:val="32"/>
        </w:rPr>
        <w:t>法</w:t>
      </w:r>
      <w:r>
        <w:rPr>
          <w:rFonts w:hint="eastAsia" w:ascii="仿宋_GB2312" w:hAnsi="宋体" w:cs="宋体"/>
          <w:szCs w:val="32"/>
        </w:rPr>
        <w:t>违</w:t>
      </w:r>
      <w:r>
        <w:rPr>
          <w:rFonts w:hint="eastAsia" w:ascii="仿宋_GB2312" w:hAnsi="宋体" w:cs="Batang"/>
          <w:szCs w:val="32"/>
        </w:rPr>
        <w:t>章建筑、非法用海等行</w:t>
      </w:r>
      <w:r>
        <w:rPr>
          <w:rFonts w:hint="eastAsia" w:ascii="仿宋_GB2312" w:hAnsi="宋体" w:cs="宋体"/>
          <w:szCs w:val="32"/>
        </w:rPr>
        <w:t>为进</w:t>
      </w:r>
      <w:r>
        <w:rPr>
          <w:rFonts w:hint="eastAsia" w:ascii="仿宋_GB2312" w:hAnsi="宋体" w:cs="Batang"/>
          <w:szCs w:val="32"/>
        </w:rPr>
        <w:t>行</w:t>
      </w:r>
      <w:r>
        <w:rPr>
          <w:rFonts w:hint="eastAsia" w:ascii="仿宋_GB2312" w:hAnsi="宋体" w:cs="宋体"/>
          <w:szCs w:val="32"/>
        </w:rPr>
        <w:t>综</w:t>
      </w:r>
      <w:r>
        <w:rPr>
          <w:rFonts w:hint="eastAsia" w:ascii="仿宋_GB2312" w:hAnsi="宋体" w:cs="Batang"/>
          <w:szCs w:val="32"/>
        </w:rPr>
        <w:t>合整治</w:t>
      </w:r>
    </w:p>
    <w:p>
      <w:pPr>
        <w:pStyle w:val="9"/>
        <w:widowControl/>
        <w:numPr>
          <w:ilvl w:val="0"/>
          <w:numId w:val="1"/>
        </w:numPr>
        <w:spacing w:line="580" w:lineRule="exact"/>
        <w:ind w:firstLineChars="0"/>
        <w:rPr>
          <w:rFonts w:ascii="仿宋_GB2312"/>
          <w:szCs w:val="32"/>
        </w:rPr>
      </w:pPr>
      <w:r>
        <w:rPr>
          <w:rFonts w:hint="eastAsia" w:ascii="仿宋_GB2312"/>
          <w:szCs w:val="32"/>
        </w:rPr>
        <w:t>部门决算单位构成</w:t>
      </w:r>
    </w:p>
    <w:p>
      <w:pPr>
        <w:pStyle w:val="9"/>
        <w:widowControl/>
        <w:spacing w:line="580" w:lineRule="exact"/>
        <w:ind w:left="1562" w:firstLine="0" w:firstLineChars="0"/>
        <w:rPr>
          <w:rFonts w:ascii="仿宋_GB2312"/>
          <w:szCs w:val="32"/>
        </w:rPr>
      </w:pPr>
    </w:p>
    <w:tbl>
      <w:tblPr>
        <w:tblStyle w:val="4"/>
        <w:tblW w:w="9046" w:type="dxa"/>
        <w:tblInd w:w="0" w:type="dxa"/>
        <w:tblLayout w:type="fixed"/>
        <w:tblCellMar>
          <w:top w:w="64" w:type="dxa"/>
          <w:left w:w="108" w:type="dxa"/>
          <w:bottom w:w="0" w:type="dxa"/>
          <w:right w:w="94" w:type="dxa"/>
        </w:tblCellMar>
      </w:tblPr>
      <w:tblGrid>
        <w:gridCol w:w="2139"/>
        <w:gridCol w:w="1858"/>
        <w:gridCol w:w="2026"/>
        <w:gridCol w:w="3023"/>
      </w:tblGrid>
      <w:tr>
        <w:tblPrEx>
          <w:tblLayout w:type="fixed"/>
          <w:tblCellMar>
            <w:top w:w="64" w:type="dxa"/>
            <w:left w:w="108" w:type="dxa"/>
            <w:bottom w:w="0" w:type="dxa"/>
            <w:right w:w="94" w:type="dxa"/>
          </w:tblCellMar>
        </w:tblPrEx>
        <w:trPr>
          <w:trHeight w:val="528" w:hRule="atLeast"/>
          <w:tblHeader/>
        </w:trPr>
        <w:tc>
          <w:tcPr>
            <w:tcW w:w="2139"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ind w:right="14" w:firstLine="198" w:firstLineChars="62"/>
              <w:rPr>
                <w:rFonts w:ascii="仿宋_GB2312" w:hAnsi="宋体"/>
                <w:szCs w:val="32"/>
              </w:rPr>
            </w:pPr>
            <w:r>
              <w:rPr>
                <w:rFonts w:hint="eastAsia" w:ascii="仿宋_GB2312" w:hAnsi="宋体"/>
                <w:szCs w:val="32"/>
              </w:rPr>
              <w:t>单位名称</w:t>
            </w:r>
          </w:p>
        </w:tc>
        <w:tc>
          <w:tcPr>
            <w:tcW w:w="185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ind w:left="36" w:firstLine="0" w:firstLineChars="0"/>
              <w:rPr>
                <w:rFonts w:ascii="仿宋_GB2312" w:hAnsi="宋体"/>
                <w:szCs w:val="32"/>
              </w:rPr>
            </w:pPr>
            <w:r>
              <w:rPr>
                <w:rFonts w:hint="eastAsia" w:ascii="仿宋_GB2312" w:hAnsi="宋体"/>
                <w:szCs w:val="32"/>
              </w:rPr>
              <w:t>单位性质</w:t>
            </w:r>
          </w:p>
        </w:tc>
        <w:tc>
          <w:tcPr>
            <w:tcW w:w="2026"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ind w:left="108" w:firstLine="0" w:firstLineChars="0"/>
              <w:rPr>
                <w:rFonts w:ascii="仿宋_GB2312" w:hAnsi="宋体"/>
                <w:szCs w:val="32"/>
              </w:rPr>
            </w:pPr>
            <w:r>
              <w:rPr>
                <w:rFonts w:hint="eastAsia" w:ascii="仿宋_GB2312" w:hAnsi="宋体"/>
                <w:szCs w:val="32"/>
              </w:rPr>
              <w:t>单位规格</w:t>
            </w:r>
          </w:p>
        </w:tc>
        <w:tc>
          <w:tcPr>
            <w:tcW w:w="302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ind w:right="13" w:firstLine="198" w:firstLineChars="62"/>
              <w:rPr>
                <w:rFonts w:ascii="仿宋_GB2312" w:hAnsi="宋体"/>
                <w:szCs w:val="32"/>
              </w:rPr>
            </w:pPr>
            <w:r>
              <w:rPr>
                <w:rFonts w:hint="eastAsia" w:ascii="仿宋_GB2312" w:hAnsi="宋体"/>
                <w:szCs w:val="32"/>
              </w:rPr>
              <w:t>经费保障形式</w:t>
            </w:r>
          </w:p>
        </w:tc>
      </w:tr>
      <w:tr>
        <w:tblPrEx>
          <w:tblLayout w:type="fixed"/>
          <w:tblCellMar>
            <w:top w:w="64" w:type="dxa"/>
            <w:left w:w="108" w:type="dxa"/>
            <w:bottom w:w="0" w:type="dxa"/>
            <w:right w:w="94" w:type="dxa"/>
          </w:tblCellMar>
        </w:tblPrEx>
        <w:trPr>
          <w:trHeight w:val="266" w:hRule="atLeast"/>
          <w:tblHeader/>
        </w:trPr>
        <w:tc>
          <w:tcPr>
            <w:tcW w:w="2139" w:type="dxa"/>
            <w:tcBorders>
              <w:top w:val="single" w:color="000000" w:sz="6" w:space="0"/>
              <w:left w:val="single" w:color="000000" w:sz="6" w:space="0"/>
              <w:bottom w:val="single" w:color="000000" w:sz="6" w:space="0"/>
              <w:right w:val="single" w:color="000000" w:sz="6" w:space="0"/>
            </w:tcBorders>
          </w:tcPr>
          <w:p>
            <w:pPr>
              <w:tabs>
                <w:tab w:val="right" w:pos="5336"/>
              </w:tabs>
              <w:spacing w:before="100" w:beforeAutospacing="1" w:after="100" w:afterAutospacing="1" w:line="240" w:lineRule="auto"/>
              <w:ind w:firstLine="640"/>
              <w:rPr>
                <w:rFonts w:ascii="仿宋_GB2312" w:hAnsi="宋体"/>
                <w:szCs w:val="32"/>
              </w:rPr>
            </w:pPr>
            <w:bookmarkStart w:id="41" w:name="_GoBack" w:colFirst="1" w:colLast="3"/>
            <w:r>
              <w:rPr>
                <w:rFonts w:hint="eastAsia" w:ascii="仿宋_GB2312" w:hAnsi="宋体"/>
                <w:szCs w:val="32"/>
              </w:rPr>
              <w:t>秦皇岛市海港区综合执法协调工作办公室</w:t>
            </w:r>
          </w:p>
        </w:tc>
        <w:tc>
          <w:tcPr>
            <w:tcW w:w="1858"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left="0" w:leftChars="0" w:firstLine="0" w:firstLineChars="0"/>
              <w:jc w:val="center"/>
              <w:rPr>
                <w:rFonts w:hint="eastAsia" w:ascii="仿宋_GB2312" w:hAnsi="宋体" w:eastAsia="仿宋_GB2312"/>
                <w:szCs w:val="32"/>
                <w:lang w:eastAsia="zh-CN"/>
              </w:rPr>
            </w:pPr>
            <w:r>
              <w:rPr>
                <w:rFonts w:hint="eastAsia" w:ascii="仿宋_GB2312" w:hAnsi="宋体"/>
                <w:szCs w:val="32"/>
              </w:rPr>
              <w:t>事业</w:t>
            </w:r>
            <w:r>
              <w:rPr>
                <w:rFonts w:hint="eastAsia" w:ascii="仿宋_GB2312" w:hAnsi="宋体"/>
                <w:szCs w:val="32"/>
                <w:lang w:eastAsia="zh-CN"/>
              </w:rPr>
              <w:t>单位</w:t>
            </w:r>
          </w:p>
        </w:tc>
        <w:tc>
          <w:tcPr>
            <w:tcW w:w="2026"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640"/>
              <w:jc w:val="center"/>
              <w:rPr>
                <w:rFonts w:ascii="仿宋_GB2312" w:hAnsi="宋体"/>
                <w:szCs w:val="32"/>
              </w:rPr>
            </w:pPr>
            <w:r>
              <w:rPr>
                <w:rFonts w:hint="eastAsia" w:ascii="仿宋_GB2312" w:hAnsi="宋体"/>
                <w:szCs w:val="32"/>
              </w:rPr>
              <w:t>正科级</w:t>
            </w:r>
          </w:p>
        </w:tc>
        <w:tc>
          <w:tcPr>
            <w:tcW w:w="302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640"/>
              <w:jc w:val="center"/>
              <w:rPr>
                <w:rFonts w:ascii="仿宋_GB2312" w:hAnsi="宋体"/>
                <w:szCs w:val="32"/>
              </w:rPr>
            </w:pPr>
            <w:r>
              <w:rPr>
                <w:rFonts w:hint="eastAsia" w:ascii="仿宋_GB2312" w:hAnsi="宋体"/>
                <w:szCs w:val="32"/>
              </w:rPr>
              <w:t>财政拨款</w:t>
            </w:r>
          </w:p>
          <w:p>
            <w:pPr>
              <w:spacing w:before="100" w:beforeAutospacing="1" w:after="100" w:afterAutospacing="1" w:line="240" w:lineRule="auto"/>
              <w:ind w:firstLine="640"/>
              <w:jc w:val="center"/>
              <w:rPr>
                <w:rFonts w:ascii="仿宋_GB2312" w:hAnsi="宋体"/>
                <w:szCs w:val="32"/>
              </w:rPr>
            </w:pPr>
          </w:p>
        </w:tc>
      </w:tr>
      <w:bookmarkEnd w:id="41"/>
    </w:tbl>
    <w:p>
      <w:pPr>
        <w:widowControl/>
        <w:spacing w:line="580" w:lineRule="exact"/>
        <w:ind w:left="1274" w:firstLine="0" w:firstLineChars="0"/>
        <w:rPr>
          <w:rFonts w:ascii="仿宋_GB2312"/>
          <w:szCs w:val="32"/>
        </w:rPr>
      </w:pPr>
    </w:p>
    <w:p>
      <w:pPr>
        <w:widowControl/>
        <w:spacing w:line="580" w:lineRule="exact"/>
        <w:ind w:firstLine="640"/>
        <w:rPr>
          <w:rFonts w:eastAsia="黑体"/>
          <w:szCs w:val="32"/>
        </w:rPr>
      </w:pPr>
    </w:p>
    <w:p>
      <w:pPr>
        <w:widowControl/>
        <w:spacing w:line="580" w:lineRule="exact"/>
        <w:ind w:firstLine="640"/>
        <w:rPr>
          <w:rFonts w:eastAsia="黑体"/>
          <w:szCs w:val="32"/>
        </w:rPr>
      </w:pPr>
    </w:p>
    <w:p>
      <w:pPr>
        <w:widowControl/>
        <w:spacing w:line="580" w:lineRule="exact"/>
        <w:ind w:firstLine="640"/>
        <w:rPr>
          <w:rFonts w:eastAsia="黑体"/>
          <w:szCs w:val="32"/>
        </w:rPr>
      </w:pPr>
    </w:p>
    <w:p>
      <w:pPr>
        <w:widowControl/>
        <w:spacing w:line="580" w:lineRule="exact"/>
        <w:ind w:firstLine="640"/>
        <w:rPr>
          <w:rFonts w:eastAsia="黑体"/>
          <w:szCs w:val="32"/>
        </w:rPr>
      </w:pPr>
    </w:p>
    <w:p>
      <w:pPr>
        <w:widowControl/>
        <w:spacing w:line="580" w:lineRule="exact"/>
        <w:ind w:firstLine="640"/>
        <w:rPr>
          <w:rFonts w:eastAsia="黑体"/>
          <w:szCs w:val="32"/>
        </w:rPr>
      </w:pPr>
    </w:p>
    <w:p>
      <w:pPr>
        <w:widowControl/>
        <w:spacing w:line="580" w:lineRule="exact"/>
        <w:ind w:firstLine="640"/>
        <w:rPr>
          <w:rFonts w:eastAsia="黑体"/>
          <w:szCs w:val="32"/>
        </w:rPr>
      </w:pPr>
    </w:p>
    <w:p>
      <w:pPr>
        <w:widowControl/>
        <w:spacing w:line="580" w:lineRule="exact"/>
        <w:ind w:firstLine="0" w:firstLineChars="0"/>
        <w:rPr>
          <w:rFonts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widowControl/>
        <w:spacing w:line="240" w:lineRule="auto"/>
        <w:ind w:firstLine="1440"/>
        <w:jc w:val="center"/>
        <w:rPr>
          <w:rFonts w:ascii="黑体" w:eastAsia="黑体"/>
          <w:sz w:val="72"/>
          <w:szCs w:val="72"/>
        </w:rPr>
      </w:pPr>
    </w:p>
    <w:p>
      <w:pPr>
        <w:widowControl/>
        <w:spacing w:line="240" w:lineRule="auto"/>
        <w:ind w:firstLine="1440"/>
        <w:jc w:val="center"/>
        <w:rPr>
          <w:rFonts w:ascii="黑体" w:eastAsia="黑体"/>
          <w:sz w:val="72"/>
          <w:szCs w:val="72"/>
        </w:rPr>
      </w:pPr>
    </w:p>
    <w:p>
      <w:pPr>
        <w:widowControl/>
        <w:spacing w:line="240" w:lineRule="auto"/>
        <w:ind w:firstLine="1440"/>
        <w:jc w:val="center"/>
        <w:rPr>
          <w:rFonts w:ascii="黑体" w:eastAsia="黑体"/>
          <w:sz w:val="72"/>
          <w:szCs w:val="72"/>
        </w:rPr>
      </w:pPr>
    </w:p>
    <w:p>
      <w:pPr>
        <w:widowControl/>
        <w:spacing w:line="240" w:lineRule="auto"/>
        <w:ind w:firstLine="1440"/>
        <w:jc w:val="center"/>
        <w:rPr>
          <w:rFonts w:ascii="黑体" w:eastAsia="黑体"/>
          <w:sz w:val="72"/>
          <w:szCs w:val="72"/>
        </w:rPr>
      </w:pPr>
    </w:p>
    <w:p>
      <w:pPr>
        <w:widowControl/>
        <w:spacing w:line="240" w:lineRule="auto"/>
        <w:ind w:firstLine="2880" w:firstLineChars="400"/>
        <w:rPr>
          <w:rFonts w:ascii="黑体" w:eastAsia="黑体"/>
          <w:sz w:val="72"/>
          <w:szCs w:val="72"/>
        </w:rPr>
      </w:pPr>
      <w:r>
        <w:rPr>
          <w:rFonts w:hint="eastAsia" w:ascii="黑体" w:eastAsia="黑体"/>
          <w:sz w:val="72"/>
          <w:szCs w:val="72"/>
        </w:rPr>
        <w:t>第二部分</w:t>
      </w:r>
    </w:p>
    <w:p>
      <w:pPr>
        <w:widowControl/>
        <w:spacing w:line="240" w:lineRule="auto"/>
        <w:ind w:firstLine="1440"/>
        <w:jc w:val="center"/>
        <w:rPr>
          <w:rFonts w:ascii="黑体" w:eastAsia="黑体"/>
          <w:sz w:val="72"/>
          <w:szCs w:val="72"/>
        </w:rPr>
      </w:pPr>
    </w:p>
    <w:p>
      <w:pPr>
        <w:widowControl/>
        <w:spacing w:line="240" w:lineRule="auto"/>
        <w:ind w:firstLine="0" w:firstLineChars="0"/>
        <w:jc w:val="center"/>
        <w:rPr>
          <w:rFonts w:ascii="黑体" w:eastAsia="黑体"/>
          <w:sz w:val="72"/>
          <w:szCs w:val="72"/>
        </w:rPr>
      </w:pPr>
      <w:r>
        <w:rPr>
          <w:rFonts w:hint="eastAsia" w:ascii="黑体" w:eastAsia="黑体"/>
          <w:sz w:val="72"/>
          <w:szCs w:val="72"/>
        </w:rPr>
        <w:t>秦皇岛市海港区综合执法协调工作办公室部门2017年度部门决算报表</w:t>
      </w:r>
    </w:p>
    <w:p>
      <w:pPr>
        <w:widowControl/>
        <w:spacing w:line="240" w:lineRule="auto"/>
        <w:ind w:firstLine="640"/>
        <w:rPr>
          <w:rFonts w:eastAsia="黑体"/>
          <w:szCs w:val="32"/>
        </w:rPr>
        <w:sectPr>
          <w:pgSz w:w="11906" w:h="16838"/>
          <w:pgMar w:top="1985" w:right="1531" w:bottom="1985" w:left="1531" w:header="851" w:footer="992" w:gutter="0"/>
          <w:cols w:space="425" w:num="1"/>
          <w:docGrid w:linePitch="312" w:charSpace="0"/>
        </w:sectPr>
      </w:pPr>
    </w:p>
    <w:p>
      <w:pPr>
        <w:pStyle w:val="9"/>
        <w:widowControl/>
        <w:numPr>
          <w:ilvl w:val="0"/>
          <w:numId w:val="2"/>
        </w:numPr>
        <w:spacing w:line="580" w:lineRule="exact"/>
        <w:ind w:firstLineChars="0"/>
        <w:jc w:val="left"/>
        <w:rPr>
          <w:szCs w:val="32"/>
        </w:rPr>
      </w:pPr>
      <w:r>
        <w:rPr>
          <w:szCs w:val="32"/>
        </w:rPr>
        <w:t>收入支出决算总表</w:t>
      </w:r>
    </w:p>
    <w:p>
      <w:pPr>
        <w:pStyle w:val="9"/>
        <w:widowControl/>
        <w:numPr>
          <w:ilvl w:val="0"/>
          <w:numId w:val="2"/>
        </w:numPr>
        <w:spacing w:line="580" w:lineRule="exact"/>
        <w:ind w:firstLineChars="0"/>
        <w:jc w:val="left"/>
        <w:rPr>
          <w:szCs w:val="32"/>
        </w:rPr>
      </w:pPr>
      <w:r>
        <w:rPr>
          <w:szCs w:val="32"/>
        </w:rPr>
        <w:t>收入决算表</w:t>
      </w:r>
    </w:p>
    <w:p>
      <w:pPr>
        <w:widowControl/>
        <w:spacing w:line="580" w:lineRule="exact"/>
        <w:ind w:firstLine="0" w:firstLineChars="0"/>
        <w:jc w:val="left"/>
        <w:rPr>
          <w:szCs w:val="32"/>
        </w:rPr>
      </w:pPr>
      <w:r>
        <w:rPr>
          <w:rFonts w:hint="eastAsia"/>
          <w:szCs w:val="32"/>
        </w:rPr>
        <w:t>三、</w:t>
      </w:r>
      <w:r>
        <w:rPr>
          <w:szCs w:val="32"/>
        </w:rPr>
        <w:t>支出决算表</w:t>
      </w:r>
    </w:p>
    <w:p>
      <w:pPr>
        <w:widowControl/>
        <w:spacing w:line="580" w:lineRule="exact"/>
        <w:ind w:firstLine="0" w:firstLineChars="0"/>
        <w:jc w:val="left"/>
        <w:rPr>
          <w:szCs w:val="32"/>
        </w:rPr>
      </w:pPr>
      <w:r>
        <w:rPr>
          <w:szCs w:val="32"/>
        </w:rPr>
        <w:t>四、财政拨款收入支出决算总表</w:t>
      </w:r>
    </w:p>
    <w:p>
      <w:pPr>
        <w:widowControl/>
        <w:spacing w:line="580" w:lineRule="exact"/>
        <w:ind w:firstLine="0" w:firstLineChars="0"/>
        <w:jc w:val="left"/>
        <w:rPr>
          <w:szCs w:val="32"/>
        </w:rPr>
      </w:pPr>
      <w:r>
        <w:rPr>
          <w:szCs w:val="32"/>
        </w:rPr>
        <w:t>五、一般公共预算财政拨款收入支出决算表</w:t>
      </w:r>
    </w:p>
    <w:p>
      <w:pPr>
        <w:widowControl/>
        <w:spacing w:line="580" w:lineRule="exact"/>
        <w:ind w:firstLine="0" w:firstLineChars="0"/>
        <w:jc w:val="left"/>
        <w:rPr>
          <w:szCs w:val="32"/>
        </w:rPr>
      </w:pPr>
      <w:r>
        <w:rPr>
          <w:szCs w:val="32"/>
        </w:rPr>
        <w:t>六、一般公共预算财政拨款基本支出决算经济分类表</w:t>
      </w:r>
    </w:p>
    <w:p>
      <w:pPr>
        <w:widowControl/>
        <w:spacing w:line="580" w:lineRule="exact"/>
        <w:ind w:firstLine="0" w:firstLineChars="0"/>
        <w:jc w:val="left"/>
        <w:rPr>
          <w:szCs w:val="32"/>
        </w:rPr>
      </w:pPr>
      <w:r>
        <w:rPr>
          <w:szCs w:val="32"/>
        </w:rPr>
        <w:t>七、政府性基金预算财政拨款收入支出决算表</w:t>
      </w:r>
    </w:p>
    <w:p>
      <w:pPr>
        <w:widowControl/>
        <w:spacing w:line="580" w:lineRule="exact"/>
        <w:ind w:firstLine="0" w:firstLineChars="0"/>
        <w:jc w:val="left"/>
        <w:rPr>
          <w:szCs w:val="32"/>
        </w:rPr>
      </w:pPr>
      <w:r>
        <w:rPr>
          <w:szCs w:val="32"/>
        </w:rPr>
        <w:t>八、国有资本经营预算财政拨款收入支出决算表</w:t>
      </w:r>
    </w:p>
    <w:p>
      <w:pPr>
        <w:widowControl/>
        <w:spacing w:line="580" w:lineRule="exact"/>
        <w:ind w:firstLine="0" w:firstLineChars="0"/>
        <w:rPr>
          <w:szCs w:val="32"/>
        </w:rPr>
      </w:pPr>
      <w:r>
        <w:rPr>
          <w:szCs w:val="32"/>
        </w:rPr>
        <w:t>九、“三公”经费等相关信息统计表</w:t>
      </w:r>
    </w:p>
    <w:p>
      <w:pPr>
        <w:widowControl/>
        <w:spacing w:line="580" w:lineRule="exact"/>
        <w:ind w:firstLine="0" w:firstLineChars="0"/>
        <w:rPr>
          <w:szCs w:val="32"/>
        </w:rPr>
      </w:pPr>
      <w:r>
        <w:rPr>
          <w:szCs w:val="32"/>
        </w:rPr>
        <w:t>十、政府采购情况表</w:t>
      </w:r>
    </w:p>
    <w:p>
      <w:pPr>
        <w:widowControl/>
        <w:spacing w:line="580" w:lineRule="exact"/>
        <w:ind w:firstLine="198" w:firstLineChars="62"/>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szCs w:val="32"/>
        </w:rPr>
      </w:pPr>
    </w:p>
    <w:p>
      <w:pPr>
        <w:widowControl/>
        <w:spacing w:line="580" w:lineRule="exact"/>
        <w:ind w:firstLine="640"/>
        <w:rPr>
          <w:rFonts w:eastAsia="黑体"/>
          <w:szCs w:val="32"/>
        </w:rPr>
      </w:pPr>
      <w:r>
        <w:rPr>
          <w:rFonts w:hint="eastAsia"/>
          <w:szCs w:val="32"/>
        </w:rPr>
        <w:t>附件一：部门决算报表</w:t>
      </w:r>
    </w:p>
    <w:p>
      <w:pPr>
        <w:widowControl/>
        <w:spacing w:line="580" w:lineRule="exact"/>
        <w:ind w:firstLine="640"/>
        <w:rPr>
          <w:rFonts w:eastAsia="黑体"/>
          <w:szCs w:val="32"/>
        </w:rPr>
        <w:sectPr>
          <w:pgSz w:w="11906" w:h="16838"/>
          <w:pgMar w:top="1985" w:right="1531" w:bottom="1985" w:left="1531" w:header="851" w:footer="992" w:gutter="0"/>
          <w:cols w:space="425" w:num="1"/>
          <w:docGrid w:linePitch="435"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秦皇岛市海港区综合执法协调工作办公室部门201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7" w:name="OLE_LINK2"/>
      <w:bookmarkStart w:id="8" w:name="OLE_LINK1"/>
    </w:p>
    <w:p>
      <w:pPr>
        <w:ind w:firstLine="640"/>
        <w:rPr>
          <w:rFonts w:ascii="仿宋_GB2312"/>
          <w:szCs w:val="32"/>
        </w:rPr>
      </w:pPr>
      <w:bookmarkStart w:id="9" w:name="OLE_LINK23"/>
      <w:r>
        <w:rPr>
          <w:rFonts w:hint="eastAsia" w:ascii="仿宋_GB2312"/>
          <w:szCs w:val="32"/>
        </w:rPr>
        <w:t>2017年度决算收入总计 962.71万元，决算支出总计1063.87万元，</w:t>
      </w:r>
      <w:bookmarkStart w:id="10" w:name="OLE_LINK37"/>
      <w:r>
        <w:rPr>
          <w:rFonts w:hint="eastAsia" w:ascii="仿宋_GB2312"/>
          <w:szCs w:val="32"/>
        </w:rPr>
        <w:t>年初结转和结余102.46万元，年末结转和结余1.29万元</w:t>
      </w:r>
      <w:bookmarkEnd w:id="10"/>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年度收入与年初预算对比增加292.86万元，原因是：开展双违拆除及打非工作的需要，专项公用收入有所增加，人员增人增资支出增加；与2</w:t>
      </w:r>
      <w:r>
        <w:rPr>
          <w:rFonts w:ascii="仿宋_GB2312"/>
          <w:szCs w:val="32"/>
        </w:rPr>
        <w:t>016</w:t>
      </w:r>
      <w:r>
        <w:rPr>
          <w:rFonts w:hint="eastAsia" w:ascii="仿宋_GB2312"/>
          <w:szCs w:val="32"/>
        </w:rPr>
        <w:t>年度收入相比，增加747.2万元，原因是：</w:t>
      </w:r>
      <w:bookmarkStart w:id="11" w:name="OLE_LINK5"/>
      <w:r>
        <w:rPr>
          <w:rFonts w:hint="eastAsia" w:ascii="仿宋_GB2312"/>
          <w:szCs w:val="32"/>
        </w:rPr>
        <w:t>开展双违拆除及打非工作，</w:t>
      </w:r>
      <w:bookmarkEnd w:id="11"/>
      <w:r>
        <w:rPr>
          <w:rFonts w:hint="eastAsia" w:ascii="仿宋_GB2312"/>
          <w:szCs w:val="32"/>
        </w:rPr>
        <w:t>专项公用收入增加，人员增人增资支出增加。</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年度支出与年初预算对比增加394.02万元，原因是：开展双违拆除和打非工作，专项公用支出增加。人员增人增资支出增加；与2</w:t>
      </w:r>
      <w:r>
        <w:rPr>
          <w:rFonts w:ascii="仿宋_GB2312"/>
          <w:szCs w:val="32"/>
        </w:rPr>
        <w:t>016</w:t>
      </w:r>
      <w:r>
        <w:rPr>
          <w:rFonts w:hint="eastAsia" w:ascii="仿宋_GB2312"/>
          <w:szCs w:val="32"/>
        </w:rPr>
        <w:t>年度支出相比，增加859.5万元，原因是：开展双违拆除和打非工作，专项公用支出增加。人员增人增资支出增加。</w:t>
      </w:r>
    </w:p>
    <w:bookmarkEnd w:id="7"/>
    <w:bookmarkEnd w:id="8"/>
    <w:bookmarkEnd w:id="9"/>
    <w:p>
      <w:pPr>
        <w:ind w:firstLine="643"/>
        <w:rPr>
          <w:rFonts w:ascii="楷体" w:hAnsi="楷体" w:eastAsia="楷体"/>
          <w:b/>
          <w:szCs w:val="32"/>
        </w:rPr>
      </w:pPr>
      <w:bookmarkStart w:id="12" w:name="OLE_LINK3"/>
      <w:bookmarkStart w:id="13"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962.71万元，其中：财政拨款收入962.71万元，占总收入100</w:t>
      </w:r>
      <w:r>
        <w:rPr>
          <w:rFonts w:ascii="仿宋" w:hAnsi="仿宋" w:eastAsia="仿宋"/>
          <w:szCs w:val="32"/>
        </w:rPr>
        <w:t>%</w:t>
      </w:r>
      <w:r>
        <w:rPr>
          <w:rFonts w:hint="eastAsia" w:ascii="仿宋" w:hAnsi="仿宋" w:eastAsia="仿宋"/>
          <w:szCs w:val="32"/>
        </w:rPr>
        <w:t>；</w:t>
      </w:r>
      <w:bookmarkStart w:id="14" w:name="OLE_LINK32"/>
      <w:bookmarkStart w:id="15" w:name="OLE_LINK33"/>
      <w:r>
        <w:rPr>
          <w:rFonts w:hint="eastAsia" w:ascii="仿宋" w:hAnsi="仿宋" w:eastAsia="仿宋"/>
          <w:szCs w:val="32"/>
        </w:rPr>
        <w:t>事业收入0万元，占总收入0%</w:t>
      </w:r>
      <w:bookmarkEnd w:id="14"/>
      <w:bookmarkEnd w:id="15"/>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_GB2312"/>
          <w:szCs w:val="32"/>
        </w:rPr>
        <w:t>1063.87</w:t>
      </w:r>
      <w:r>
        <w:rPr>
          <w:rFonts w:hint="eastAsia" w:ascii="仿宋" w:hAnsi="仿宋" w:eastAsia="仿宋"/>
          <w:szCs w:val="32"/>
        </w:rPr>
        <w:t>万元，其中：</w:t>
      </w:r>
      <w:bookmarkStart w:id="16" w:name="OLE_LINK35"/>
      <w:r>
        <w:rPr>
          <w:rFonts w:hint="eastAsia" w:ascii="仿宋" w:hAnsi="仿宋" w:eastAsia="仿宋"/>
          <w:szCs w:val="32"/>
        </w:rPr>
        <w:t>基本支出</w:t>
      </w:r>
      <w:r>
        <w:rPr>
          <w:rFonts w:ascii="仿宋" w:hAnsi="仿宋" w:eastAsia="仿宋"/>
          <w:szCs w:val="32"/>
        </w:rPr>
        <w:t>73</w:t>
      </w:r>
      <w:r>
        <w:rPr>
          <w:rFonts w:hint="eastAsia" w:ascii="仿宋" w:hAnsi="仿宋" w:eastAsia="仿宋"/>
          <w:szCs w:val="32"/>
        </w:rPr>
        <w:t>.</w:t>
      </w:r>
      <w:r>
        <w:rPr>
          <w:rFonts w:ascii="仿宋" w:hAnsi="仿宋" w:eastAsia="仿宋"/>
          <w:szCs w:val="32"/>
        </w:rPr>
        <w:t>09</w:t>
      </w:r>
      <w:r>
        <w:rPr>
          <w:rFonts w:hint="eastAsia" w:ascii="仿宋" w:hAnsi="仿宋" w:eastAsia="仿宋"/>
          <w:szCs w:val="32"/>
        </w:rPr>
        <w:t>万元，占总支出7%；</w:t>
      </w:r>
      <w:bookmarkEnd w:id="16"/>
      <w:r>
        <w:rPr>
          <w:rFonts w:hint="eastAsia" w:ascii="仿宋" w:hAnsi="仿宋" w:eastAsia="仿宋"/>
          <w:szCs w:val="32"/>
        </w:rPr>
        <w:t>项目支出 990.78万元，占总支出93%。</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2"/>
      <w:bookmarkEnd w:id="13"/>
      <w:r>
        <w:rPr>
          <w:rFonts w:hint="eastAsia" w:ascii="楷体" w:hAnsi="楷体" w:eastAsia="楷体"/>
          <w:b/>
          <w:szCs w:val="32"/>
        </w:rPr>
        <w:t>收入支出决算总体情况说明</w:t>
      </w:r>
    </w:p>
    <w:p>
      <w:pPr>
        <w:ind w:firstLine="640"/>
        <w:rPr>
          <w:rFonts w:ascii="仿宋_GB2312"/>
          <w:szCs w:val="32"/>
        </w:rPr>
      </w:pPr>
      <w:bookmarkStart w:id="17" w:name="OLE_LINK29"/>
      <w:r>
        <w:rPr>
          <w:rFonts w:hint="eastAsia" w:ascii="仿宋_GB2312"/>
          <w:szCs w:val="32"/>
        </w:rPr>
        <w:t>2017年度财政拨款收入决算总计</w:t>
      </w:r>
      <w:r>
        <w:rPr>
          <w:rFonts w:hint="eastAsia" w:ascii="仿宋" w:hAnsi="仿宋" w:eastAsia="仿宋"/>
          <w:szCs w:val="32"/>
        </w:rPr>
        <w:t>962.71</w:t>
      </w:r>
      <w:r>
        <w:rPr>
          <w:rFonts w:hint="eastAsia" w:ascii="仿宋_GB2312"/>
          <w:szCs w:val="32"/>
        </w:rPr>
        <w:t>万元，财政拨款支出决算总计1063.87万元，年初结转和结余102.46万元，年末结转和结余1.29万元。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年度财政拨款收入与年初预算对比增加292.86万元，原因是：开展双违拆除及打非工作的需要，专项公用收入有所增加，人员增人增资支出增加；与2</w:t>
      </w:r>
      <w:r>
        <w:rPr>
          <w:rFonts w:ascii="仿宋_GB2312"/>
          <w:szCs w:val="32"/>
        </w:rPr>
        <w:t>016</w:t>
      </w:r>
      <w:r>
        <w:rPr>
          <w:rFonts w:hint="eastAsia" w:ascii="仿宋_GB2312"/>
          <w:szCs w:val="32"/>
        </w:rPr>
        <w:t>年度相比，增加747.2万元，原因是：开展双违拆除及打非工作的需要，专项公用收入有所增加，人员增人增资支出增加。</w:t>
      </w:r>
      <w:bookmarkEnd w:id="17"/>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年度财政拨款支出与年初预算对比增加394.02万元，原因是：开展双违拆除及打非工作的需要，专项公用收入有所增加，人员增人增资支出增加；与2</w:t>
      </w:r>
      <w:r>
        <w:rPr>
          <w:rFonts w:ascii="仿宋_GB2312"/>
          <w:szCs w:val="32"/>
        </w:rPr>
        <w:t>016</w:t>
      </w:r>
      <w:r>
        <w:rPr>
          <w:rFonts w:hint="eastAsia" w:ascii="仿宋_GB2312"/>
          <w:szCs w:val="32"/>
        </w:rPr>
        <w:t>年度支出相比，增加859.5万元，原因是：开展双违拆除及打非工作的需要，专项公用收入有所增加，人员增人增资支出增加。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0.09</w:t>
            </w:r>
          </w:p>
        </w:tc>
        <w:tc>
          <w:tcPr>
            <w:tcW w:w="1446" w:type="dxa"/>
          </w:tcPr>
          <w:p>
            <w:pPr>
              <w:ind w:firstLine="0" w:firstLineChars="0"/>
              <w:jc w:val="center"/>
              <w:rPr>
                <w:rFonts w:ascii="仿宋_GB2312"/>
                <w:sz w:val="24"/>
                <w:szCs w:val="24"/>
              </w:rPr>
            </w:pPr>
            <w:r>
              <w:rPr>
                <w:rFonts w:hint="eastAsia" w:ascii="仿宋_GB2312"/>
                <w:sz w:val="24"/>
                <w:szCs w:val="24"/>
              </w:rPr>
              <w:t>0.99</w:t>
            </w:r>
          </w:p>
        </w:tc>
        <w:tc>
          <w:tcPr>
            <w:tcW w:w="1474" w:type="dxa"/>
          </w:tcPr>
          <w:p>
            <w:pPr>
              <w:ind w:firstLine="0" w:firstLineChars="0"/>
              <w:jc w:val="center"/>
              <w:rPr>
                <w:rFonts w:ascii="仿宋_GB2312"/>
                <w:sz w:val="24"/>
                <w:szCs w:val="24"/>
              </w:rPr>
            </w:pPr>
            <w:r>
              <w:rPr>
                <w:rFonts w:hint="eastAsia" w:ascii="仿宋_GB2312"/>
                <w:sz w:val="24"/>
                <w:szCs w:val="24"/>
              </w:rPr>
              <w:t>-0.09</w:t>
            </w:r>
          </w:p>
        </w:tc>
        <w:tc>
          <w:tcPr>
            <w:tcW w:w="1417" w:type="dxa"/>
          </w:tcPr>
          <w:p>
            <w:pPr>
              <w:ind w:firstLine="0" w:firstLineChars="0"/>
              <w:jc w:val="center"/>
              <w:rPr>
                <w:rFonts w:ascii="仿宋_GB2312"/>
                <w:sz w:val="24"/>
                <w:szCs w:val="24"/>
              </w:rPr>
            </w:pPr>
            <w:r>
              <w:rPr>
                <w:rFonts w:hint="eastAsia" w:ascii="仿宋_GB2312"/>
                <w:sz w:val="24"/>
                <w:szCs w:val="24"/>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tabs>
                <w:tab w:val="left" w:pos="345"/>
                <w:tab w:val="center" w:pos="629"/>
              </w:tabs>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0.99</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18"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0.99</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-0.99</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0.09</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0.09</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315" w:firstLineChars="98"/>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年度“三公经费”支出总额0万元，与年初预算相比减少0.09万元，</w:t>
      </w:r>
      <w:bookmarkStart w:id="19" w:name="OLE_LINK38"/>
      <w:bookmarkStart w:id="20" w:name="OLE_LINK39"/>
      <w:bookmarkStart w:id="21" w:name="OLE_LINK10"/>
      <w:bookmarkStart w:id="22" w:name="OLE_LINK8"/>
      <w:r>
        <w:rPr>
          <w:rFonts w:hint="eastAsia" w:ascii="仿宋_GB2312"/>
          <w:szCs w:val="32"/>
        </w:rPr>
        <w:t>降低100%</w:t>
      </w:r>
      <w:bookmarkEnd w:id="19"/>
      <w:bookmarkEnd w:id="20"/>
      <w:r>
        <w:rPr>
          <w:rFonts w:hint="eastAsia" w:ascii="仿宋_GB2312"/>
          <w:szCs w:val="32"/>
        </w:rPr>
        <w:t>，</w:t>
      </w:r>
      <w:bookmarkEnd w:id="21"/>
      <w:bookmarkEnd w:id="22"/>
      <w:r>
        <w:rPr>
          <w:rFonts w:hint="eastAsia" w:ascii="仿宋_GB2312"/>
          <w:szCs w:val="32"/>
        </w:rPr>
        <w:t>原因是：我办无三公支出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年度决算数相比减少0.99万元，降低100%，原因是：我办厉行节约无三公经费支出。</w:t>
      </w:r>
    </w:p>
    <w:p>
      <w:pPr>
        <w:ind w:firstLine="643"/>
        <w:rPr>
          <w:rFonts w:ascii="仿宋_GB2312"/>
          <w:szCs w:val="32"/>
        </w:rPr>
      </w:pPr>
      <w:bookmarkStart w:id="23"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4" w:name="OLE_LINK17"/>
      <w:r>
        <w:rPr>
          <w:rFonts w:hint="eastAsia" w:ascii="仿宋_GB2312"/>
          <w:szCs w:val="32"/>
        </w:rPr>
        <w:t>度因公出国（境）</w:t>
      </w:r>
      <w:bookmarkStart w:id="25" w:name="OLE_LINK15"/>
      <w:bookmarkStart w:id="26" w:name="OLE_LINK16"/>
      <w:r>
        <w:rPr>
          <w:rFonts w:hint="eastAsia" w:ascii="仿宋_GB2312"/>
          <w:szCs w:val="32"/>
        </w:rPr>
        <w:t>费</w:t>
      </w:r>
      <w:bookmarkEnd w:id="24"/>
      <w:r>
        <w:rPr>
          <w:rFonts w:hint="eastAsia" w:ascii="仿宋_GB2312"/>
          <w:szCs w:val="32"/>
        </w:rPr>
        <w:t>0万元</w:t>
      </w:r>
      <w:bookmarkEnd w:id="25"/>
      <w:bookmarkEnd w:id="26"/>
      <w:r>
        <w:rPr>
          <w:rFonts w:hint="eastAsia" w:ascii="仿宋_GB2312"/>
          <w:szCs w:val="32"/>
        </w:rPr>
        <w:t>，与年初预算相比增减少0万元，降低100%，原因是：领导未参加出国（境）活动，与2</w:t>
      </w:r>
      <w:r>
        <w:rPr>
          <w:rFonts w:ascii="仿宋_GB2312"/>
          <w:szCs w:val="32"/>
        </w:rPr>
        <w:t>016</w:t>
      </w:r>
      <w:r>
        <w:rPr>
          <w:rFonts w:hint="eastAsia" w:ascii="仿宋_GB2312"/>
          <w:szCs w:val="32"/>
        </w:rPr>
        <w:t>年度决算数相比持续平，无变动，原因是：</w:t>
      </w:r>
      <w:bookmarkEnd w:id="23"/>
      <w:bookmarkStart w:id="27" w:name="OLE_LINK9"/>
      <w:r>
        <w:rPr>
          <w:rFonts w:hint="eastAsia" w:ascii="仿宋_GB2312"/>
          <w:szCs w:val="32"/>
        </w:rPr>
        <w:t>领导未参加出国出境活动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8" w:name="OLE_LINK19"/>
      <w:bookmarkStart w:id="29" w:name="OLE_LINK18"/>
      <w:r>
        <w:rPr>
          <w:rFonts w:hint="eastAsia" w:ascii="仿宋_GB2312"/>
          <w:szCs w:val="32"/>
        </w:rPr>
        <w:t>度公务用车购置及运行维护费</w:t>
      </w:r>
      <w:bookmarkEnd w:id="28"/>
      <w:bookmarkEnd w:id="29"/>
      <w:r>
        <w:rPr>
          <w:rFonts w:hint="eastAsia" w:ascii="仿宋_GB2312"/>
          <w:szCs w:val="32"/>
        </w:rPr>
        <w:t>0万元，与年初预算相无变动，原因是没列入预算，无支出，与2</w:t>
      </w:r>
      <w:r>
        <w:rPr>
          <w:rFonts w:ascii="仿宋_GB2312"/>
          <w:szCs w:val="32"/>
        </w:rPr>
        <w:t>016</w:t>
      </w:r>
      <w:r>
        <w:rPr>
          <w:rFonts w:hint="eastAsia" w:ascii="仿宋_GB2312"/>
          <w:szCs w:val="32"/>
        </w:rPr>
        <w:t>年度决算数相比减少0.99万元，降低100%，原因是：</w:t>
      </w:r>
      <w:bookmarkEnd w:id="27"/>
      <w:r>
        <w:rPr>
          <w:rFonts w:hint="eastAsia" w:ascii="仿宋_GB2312"/>
          <w:szCs w:val="32"/>
        </w:rPr>
        <w:t>无在编车辆，无支出，年初预算未安排。</w:t>
      </w:r>
    </w:p>
    <w:p>
      <w:pPr>
        <w:ind w:firstLine="640"/>
        <w:rPr>
          <w:rFonts w:ascii="仿宋_GB2312"/>
          <w:szCs w:val="32"/>
        </w:rPr>
      </w:pPr>
      <w:r>
        <w:rPr>
          <w:rFonts w:hint="eastAsia" w:ascii="仿宋_GB2312"/>
          <w:szCs w:val="32"/>
        </w:rPr>
        <w:t>其中：公务用车购置费,与年初预算相比无增减，原因是：没有公务用车购置，与2016年度决算数无增减，原因是：没有公务用车购置，年初预算未安排元。</w:t>
      </w:r>
    </w:p>
    <w:p>
      <w:pPr>
        <w:ind w:firstLine="640"/>
        <w:rPr>
          <w:rFonts w:ascii="仿宋_GB2312"/>
          <w:szCs w:val="32"/>
        </w:rPr>
      </w:pPr>
      <w:r>
        <w:rPr>
          <w:rFonts w:hint="eastAsia" w:ascii="仿宋_GB2312"/>
          <w:szCs w:val="32"/>
        </w:rPr>
        <w:t>其中：公务用车维护费,与年初预算相比无增减，原因是：没有支出，与2016年度决算数相比减少0.99万元，原因是：无支出，年初预算未安排。</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0" w:name="OLE_LINK20"/>
      <w:r>
        <w:rPr>
          <w:rFonts w:hint="eastAsia" w:ascii="仿宋_GB2312"/>
          <w:szCs w:val="32"/>
        </w:rPr>
        <w:t>度公务接待费</w:t>
      </w:r>
      <w:bookmarkEnd w:id="30"/>
      <w:r>
        <w:rPr>
          <w:rFonts w:hint="eastAsia" w:ascii="仿宋_GB2312"/>
          <w:szCs w:val="32"/>
        </w:rPr>
        <w:t>0万元，与年初预算相比减少0.09万元，降低</w:t>
      </w:r>
      <w:bookmarkStart w:id="31" w:name="OLE_LINK40"/>
      <w:bookmarkStart w:id="32" w:name="OLE_LINK41"/>
      <w:bookmarkStart w:id="33" w:name="OLE_LINK42"/>
      <w:bookmarkStart w:id="34" w:name="OLE_LINK43"/>
      <w:r>
        <w:rPr>
          <w:rFonts w:hint="eastAsia" w:ascii="仿宋_GB2312"/>
          <w:szCs w:val="32"/>
        </w:rPr>
        <w:t>100%</w:t>
      </w:r>
      <w:bookmarkEnd w:id="31"/>
      <w:bookmarkEnd w:id="32"/>
      <w:bookmarkEnd w:id="33"/>
      <w:bookmarkEnd w:id="34"/>
      <w:r>
        <w:rPr>
          <w:rFonts w:hint="eastAsia" w:ascii="仿宋_GB2312"/>
          <w:szCs w:val="32"/>
        </w:rPr>
        <w:t>，原因是：我办未发生公务接待，与2</w:t>
      </w:r>
      <w:r>
        <w:rPr>
          <w:rFonts w:ascii="仿宋_GB2312"/>
          <w:szCs w:val="32"/>
        </w:rPr>
        <w:t>016</w:t>
      </w:r>
      <w:r>
        <w:rPr>
          <w:rFonts w:hint="eastAsia" w:ascii="仿宋_GB2312"/>
          <w:szCs w:val="32"/>
        </w:rPr>
        <w:t>年度决算数相比持平，原因是：我办未发生公务接待。年初预算未安排。</w:t>
      </w:r>
    </w:p>
    <w:p>
      <w:pPr>
        <w:ind w:firstLine="643"/>
        <w:rPr>
          <w:rFonts w:ascii="仿宋_GB2312" w:hAnsi="仿宋"/>
          <w:b/>
          <w:szCs w:val="32"/>
        </w:rPr>
      </w:pPr>
      <w:r>
        <w:rPr>
          <w:rFonts w:hint="eastAsia" w:ascii="仿宋_GB2312" w:hAnsi="仿宋"/>
          <w:b/>
          <w:szCs w:val="32"/>
        </w:rPr>
        <w:t>（二）2017年度“三公”经费支出相关情况说明。</w:t>
      </w:r>
    </w:p>
    <w:p>
      <w:pPr>
        <w:ind w:firstLine="640"/>
        <w:rPr>
          <w:rFonts w:ascii="仿宋_GB2312"/>
          <w:szCs w:val="32"/>
        </w:rPr>
      </w:pPr>
      <w:r>
        <w:rPr>
          <w:rFonts w:hint="eastAsia" w:ascii="仿宋_GB2312"/>
          <w:szCs w:val="32"/>
        </w:rPr>
        <w:t>1．公务用车购置数量为0辆，公务用车保有量0辆；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仿宋_GB2312" w:hAnsi="楷体"/>
          <w:b/>
          <w:szCs w:val="32"/>
        </w:rPr>
      </w:pPr>
      <w:r>
        <w:rPr>
          <w:rFonts w:hint="eastAsia" w:ascii="仿宋_GB2312" w:hAnsi="楷体"/>
          <w:b/>
          <w:szCs w:val="32"/>
        </w:rPr>
        <w:t>六、绩效预算情况说明</w:t>
      </w:r>
    </w:p>
    <w:p>
      <w:pPr>
        <w:ind w:firstLine="640"/>
        <w:rPr>
          <w:rFonts w:ascii="仿宋_GB2312" w:hAnsi="仿宋" w:cs="仿宋"/>
          <w:szCs w:val="32"/>
        </w:rPr>
      </w:pPr>
      <w:r>
        <w:rPr>
          <w:rFonts w:hint="eastAsia" w:ascii="仿宋_GB2312" w:hAnsi="仿宋" w:cs="仿宋"/>
          <w:szCs w:val="32"/>
        </w:rPr>
        <w:t>我办绩效预算执行情况通过部门决算软件进行测评后得分为 80.5分，主要减分原因为：</w:t>
      </w:r>
    </w:p>
    <w:p>
      <w:pPr>
        <w:ind w:firstLine="640"/>
        <w:rPr>
          <w:rFonts w:ascii="仿宋_GB2312" w:hAnsi="仿宋" w:cs="仿宋"/>
          <w:szCs w:val="32"/>
        </w:rPr>
      </w:pPr>
      <w:r>
        <w:rPr>
          <w:rFonts w:hint="eastAsia" w:ascii="仿宋_GB2312" w:hAnsi="仿宋" w:cs="仿宋"/>
          <w:szCs w:val="32"/>
        </w:rPr>
        <w:t>1、财政拨款收入预决算差异率扣4.5分，其原因一是2017年是“双违”工作的重要一年，为了工作的顺利开展申请了部分追加。二是当年增人增资等原因导致我部门本年实际收入大于年初预算。</w:t>
      </w:r>
    </w:p>
    <w:p>
      <w:pPr>
        <w:ind w:firstLine="640" w:firstLineChars="0"/>
        <w:rPr>
          <w:rFonts w:ascii="仿宋_GB2312" w:hAnsi="仿宋" w:cs="仿宋"/>
          <w:szCs w:val="32"/>
        </w:rPr>
      </w:pPr>
      <w:r>
        <w:rPr>
          <w:rFonts w:hint="eastAsia" w:ascii="仿宋_GB2312" w:hAnsi="仿宋" w:cs="仿宋"/>
          <w:szCs w:val="32"/>
        </w:rPr>
        <w:t>2、年初结转和结余预决然算差异率扣10分，主要原因是，年初和年底都有结转，且变动大。</w:t>
      </w:r>
    </w:p>
    <w:p>
      <w:pPr>
        <w:ind w:firstLine="640"/>
        <w:rPr>
          <w:rFonts w:ascii="仿宋_GB2312" w:hAnsi="仿宋" w:cs="仿宋"/>
          <w:szCs w:val="32"/>
        </w:rPr>
      </w:pPr>
      <w:r>
        <w:rPr>
          <w:rFonts w:hint="eastAsia" w:ascii="仿宋_GB2312" w:hAnsi="仿宋" w:cs="仿宋"/>
          <w:szCs w:val="32"/>
        </w:rPr>
        <w:t>3、人员支出预决算差异率扣7.5分，原因是本年增人增资实际收入增加导致支出增加，同比年初支出预算差异率增大。</w:t>
      </w:r>
    </w:p>
    <w:p>
      <w:pPr>
        <w:ind w:firstLine="640"/>
        <w:rPr>
          <w:rFonts w:ascii="仿宋_GB2312" w:hAnsi="仿宋" w:cs="仿宋"/>
          <w:szCs w:val="32"/>
        </w:rPr>
      </w:pPr>
      <w:r>
        <w:rPr>
          <w:rFonts w:hint="eastAsia" w:ascii="仿宋_GB2312" w:hAnsi="仿宋" w:cs="仿宋"/>
          <w:szCs w:val="32"/>
        </w:rPr>
        <w:t>4、公用经费经费预决算差异率扣9分，主要是由于工作开展，支出增大，同比年初支出预算差异率增大。</w:t>
      </w:r>
    </w:p>
    <w:p>
      <w:pPr>
        <w:ind w:firstLine="640"/>
        <w:rPr>
          <w:rFonts w:ascii="仿宋_GB2312" w:hAnsi="仿宋" w:cs="仿宋"/>
          <w:szCs w:val="32"/>
        </w:rPr>
      </w:pPr>
      <w:r>
        <w:rPr>
          <w:rFonts w:hint="eastAsia" w:ascii="仿宋_GB2312" w:hAnsi="仿宋" w:cs="仿宋"/>
          <w:szCs w:val="32"/>
        </w:rPr>
        <w:t>5、公用经费预算执行差异率扣5分，主要是由于工作开展，支出增大，同比年初支出预算差异率增大。</w:t>
      </w:r>
    </w:p>
    <w:p>
      <w:pPr>
        <w:ind w:firstLine="640"/>
        <w:rPr>
          <w:rFonts w:ascii="仿宋_GB2312" w:hAnsi="仿宋" w:cs="仿宋"/>
          <w:szCs w:val="32"/>
        </w:rPr>
      </w:pPr>
      <w:r>
        <w:rPr>
          <w:rFonts w:hint="eastAsia" w:ascii="仿宋_GB2312" w:hAnsi="仿宋" w:cs="仿宋"/>
          <w:szCs w:val="32"/>
        </w:rPr>
        <w:t>6、财政拨款结转和结余上下年变动率扣5分，其原因是本年年本没有结转结余，造成了比上年年末结余减少幅度大的结果。</w:t>
      </w:r>
    </w:p>
    <w:p>
      <w:pPr>
        <w:ind w:firstLine="640"/>
        <w:rPr>
          <w:rFonts w:ascii="仿宋_GB2312" w:hAnsi="仿宋" w:cs="仿宋"/>
          <w:szCs w:val="32"/>
        </w:rPr>
      </w:pPr>
      <w:r>
        <w:rPr>
          <w:rFonts w:hint="eastAsia" w:ascii="仿宋_GB2312" w:hAnsi="仿宋" w:cs="仿宋"/>
          <w:szCs w:val="32"/>
        </w:rPr>
        <w:t>7、财政收回存量资金占上年财政拨款结转和结余比重扣7分，其原因是以前年度的结转结余资金于年中财政全部收回。</w:t>
      </w:r>
    </w:p>
    <w:p>
      <w:pPr>
        <w:ind w:firstLine="640"/>
        <w:rPr>
          <w:rFonts w:ascii="仿宋_GB2312" w:hAnsi="仿宋" w:cs="仿宋"/>
          <w:color w:val="000000"/>
          <w:szCs w:val="32"/>
        </w:rPr>
      </w:pPr>
      <w:r>
        <w:rPr>
          <w:rFonts w:hint="eastAsia" w:ascii="仿宋_GB2312" w:hAnsi="仿宋" w:cs="仿宋"/>
          <w:color w:val="000000"/>
          <w:szCs w:val="32"/>
        </w:rPr>
        <w:t>8、“三公”经费支出预决算差异率扣10分，主要是今年没有“三公”经费的发生。</w:t>
      </w:r>
    </w:p>
    <w:p>
      <w:pPr>
        <w:ind w:firstLine="640"/>
        <w:rPr>
          <w:rFonts w:ascii="仿宋_GB2312" w:hAnsi="仿宋" w:cs="仿宋"/>
          <w:color w:val="000000"/>
          <w:szCs w:val="32"/>
        </w:rPr>
      </w:pPr>
      <w:r>
        <w:rPr>
          <w:rFonts w:hint="eastAsia" w:ascii="仿宋_GB2312" w:hAnsi="仿宋" w:cs="仿宋"/>
          <w:color w:val="000000"/>
          <w:szCs w:val="32"/>
        </w:rPr>
        <w:t>9、资产类往来款变动率扣3分，主要是今年相较于去年资产往来变支不大。</w:t>
      </w:r>
    </w:p>
    <w:p>
      <w:pPr>
        <w:ind w:firstLine="480" w:firstLineChars="150"/>
        <w:rPr>
          <w:rFonts w:ascii="仿宋_GB2312" w:hAnsi="仿宋" w:cs="仿宋"/>
          <w:color w:val="000000"/>
          <w:szCs w:val="32"/>
        </w:rPr>
      </w:pPr>
      <w:r>
        <w:rPr>
          <w:rFonts w:hint="eastAsia" w:ascii="仿宋_GB2312" w:hAnsi="仿宋" w:cs="仿宋"/>
          <w:color w:val="000000"/>
          <w:szCs w:val="32"/>
        </w:rPr>
        <w:t>10、负债类往来款变动率扣4分，主要原因是，我办今年年底负债往来款没有。</w:t>
      </w:r>
    </w:p>
    <w:p>
      <w:pPr>
        <w:ind w:firstLine="480" w:firstLineChars="150"/>
        <w:rPr>
          <w:rFonts w:ascii="仿宋_GB2312" w:hAnsi="仿宋" w:cs="仿宋"/>
          <w:color w:val="000000"/>
          <w:szCs w:val="32"/>
        </w:rPr>
      </w:pPr>
      <w:r>
        <w:rPr>
          <w:rFonts w:hint="eastAsia" w:ascii="仿宋_GB2312" w:hAnsi="仿宋" w:cs="仿宋"/>
          <w:color w:val="000000"/>
          <w:szCs w:val="32"/>
        </w:rPr>
        <w:t>11、事业单位借款变动率扣8分，主要原因是我办没有事业单位借款。</w:t>
      </w:r>
    </w:p>
    <w:p>
      <w:pPr>
        <w:ind w:firstLine="480" w:firstLineChars="150"/>
        <w:rPr>
          <w:rFonts w:ascii="仿宋_GB2312" w:hAnsi="仿宋" w:cs="仿宋"/>
          <w:color w:val="000000"/>
          <w:szCs w:val="32"/>
        </w:rPr>
      </w:pPr>
      <w:r>
        <w:rPr>
          <w:rFonts w:hint="eastAsia" w:ascii="仿宋_GB2312" w:hAnsi="仿宋" w:cs="仿宋"/>
          <w:color w:val="000000"/>
          <w:szCs w:val="32"/>
        </w:rPr>
        <w:t>12、我在职人员控制率扣7分，主要是我办今年增人情况</w:t>
      </w:r>
    </w:p>
    <w:p>
      <w:pPr>
        <w:ind w:firstLine="480" w:firstLineChars="150"/>
        <w:rPr>
          <w:rFonts w:ascii="仿宋_GB2312" w:hAnsi="仿宋" w:cs="仿宋"/>
          <w:color w:val="000000"/>
          <w:szCs w:val="32"/>
        </w:rPr>
      </w:pPr>
      <w:r>
        <w:rPr>
          <w:rFonts w:hint="eastAsia" w:ascii="仿宋_GB2312" w:hAnsi="仿宋" w:cs="仿宋"/>
          <w:color w:val="000000"/>
          <w:szCs w:val="32"/>
        </w:rPr>
        <w:t>13、其他人员增减率扣9分，主要原因是，我办我无其他人员增减情况。</w:t>
      </w:r>
    </w:p>
    <w:p>
      <w:pPr>
        <w:ind w:firstLine="480" w:firstLineChars="150"/>
        <w:rPr>
          <w:rFonts w:ascii="仿宋_GB2312" w:hAnsi="仿宋_GB2312" w:cs="仿宋_GB2312"/>
          <w:color w:val="000000"/>
          <w:szCs w:val="32"/>
        </w:rPr>
      </w:pPr>
      <w:r>
        <w:rPr>
          <w:rFonts w:hint="eastAsia" w:ascii="仿宋_GB2312" w:hAnsi="仿宋" w:cs="仿宋"/>
          <w:color w:val="000000"/>
          <w:szCs w:val="32"/>
        </w:rPr>
        <w:t>14、一般公共财政拨款（补助）人员增减率扣10分，主要原因是我办今年有人员增人情况。</w:t>
      </w:r>
    </w:p>
    <w:p>
      <w:pPr>
        <w:ind w:firstLine="643"/>
        <w:rPr>
          <w:rFonts w:ascii="仿宋_GB2312" w:hAnsi="楷体"/>
          <w:b/>
          <w:szCs w:val="32"/>
        </w:rPr>
      </w:pPr>
      <w:r>
        <w:rPr>
          <w:rFonts w:hint="eastAsia" w:ascii="仿宋_GB2312" w:hAnsi="楷体"/>
          <w:b/>
          <w:szCs w:val="32"/>
        </w:rPr>
        <w:t>七、其他重要事项的情况说明。</w:t>
      </w:r>
    </w:p>
    <w:p>
      <w:pPr>
        <w:ind w:firstLine="643"/>
        <w:rPr>
          <w:rFonts w:ascii="仿宋_GB2312"/>
          <w:szCs w:val="32"/>
        </w:rPr>
      </w:pPr>
      <w:r>
        <w:rPr>
          <w:rFonts w:hint="eastAsia" w:ascii="仿宋_GB2312" w:hAnsi="仿宋"/>
          <w:b/>
          <w:szCs w:val="32"/>
        </w:rPr>
        <w:t>1．机关运行经费支出情况的说明。</w:t>
      </w:r>
      <w:r>
        <w:rPr>
          <w:rFonts w:hint="eastAsia" w:ascii="仿宋_GB2312"/>
          <w:szCs w:val="32"/>
        </w:rPr>
        <w:t>2017年度本部门机关运行经费支出5.79万元，比2016年度减少0.46万元，</w:t>
      </w:r>
      <w:bookmarkStart w:id="35" w:name="OLE_LINK6"/>
      <w:r>
        <w:rPr>
          <w:rFonts w:hint="eastAsia" w:ascii="仿宋_GB2312"/>
          <w:szCs w:val="32"/>
        </w:rPr>
        <w:t>降低7%</w:t>
      </w:r>
      <w:bookmarkEnd w:id="35"/>
      <w:r>
        <w:rPr>
          <w:rFonts w:hint="eastAsia" w:ascii="仿宋_GB2312"/>
          <w:szCs w:val="32"/>
        </w:rPr>
        <w:t>。主要原因是：本单位在机关运行方面厉行节约。</w:t>
      </w:r>
    </w:p>
    <w:p>
      <w:pPr>
        <w:ind w:firstLine="643"/>
        <w:rPr>
          <w:rFonts w:ascii="仿宋_GB2312"/>
          <w:szCs w:val="32"/>
        </w:rPr>
      </w:pPr>
      <w:r>
        <w:rPr>
          <w:rFonts w:hint="eastAsia" w:ascii="仿宋_GB2312" w:hAnsi="仿宋"/>
          <w:b/>
          <w:szCs w:val="32"/>
        </w:rPr>
        <w:t>2．政府采购情况</w:t>
      </w:r>
      <w:bookmarkStart w:id="36" w:name="OLE_LINK50"/>
      <w:bookmarkStart w:id="37" w:name="OLE_LINK49"/>
      <w:bookmarkStart w:id="38" w:name="OLE_LINK48"/>
      <w:r>
        <w:rPr>
          <w:rFonts w:hint="eastAsia" w:ascii="仿宋_GB2312" w:hAnsi="仿宋"/>
          <w:b/>
          <w:szCs w:val="32"/>
        </w:rPr>
        <w:t>的说明。</w:t>
      </w:r>
      <w:r>
        <w:rPr>
          <w:rFonts w:hint="eastAsia" w:ascii="仿宋_GB2312"/>
          <w:szCs w:val="32"/>
        </w:rPr>
        <w:t>2017年度本部门政府采购支出总额12.04万元，其中：政府采购货物支出11.49万元、政府采购工程支出0万元、政府采购服</w:t>
      </w:r>
      <w:bookmarkEnd w:id="36"/>
      <w:bookmarkEnd w:id="37"/>
      <w:bookmarkEnd w:id="38"/>
      <w:r>
        <w:rPr>
          <w:rFonts w:hint="eastAsia" w:ascii="仿宋_GB2312"/>
          <w:szCs w:val="32"/>
        </w:rPr>
        <w:t>务支出0.55万元。</w:t>
      </w:r>
    </w:p>
    <w:p>
      <w:pPr>
        <w:ind w:firstLine="643"/>
        <w:rPr>
          <w:rFonts w:ascii="仿宋_GB2312" w:hAnsi="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644" w:right="1361" w:bottom="1531" w:left="1191" w:header="851" w:footer="992" w:gutter="0"/>
          <w:cols w:space="425" w:num="1"/>
          <w:docGrid w:linePitch="435" w:charSpace="0"/>
        </w:sectPr>
      </w:pPr>
      <w:r>
        <w:rPr>
          <w:rFonts w:hint="eastAsia" w:ascii="仿宋_GB2312" w:hAnsi="仿宋"/>
          <w:b/>
          <w:szCs w:val="32"/>
        </w:rPr>
        <w:t>3．国有资产占用情况。</w:t>
      </w:r>
    </w:p>
    <w:tbl>
      <w:tblPr>
        <w:tblStyle w:val="4"/>
        <w:tblW w:w="16066" w:type="dxa"/>
        <w:jc w:val="center"/>
        <w:tblInd w:w="0" w:type="dxa"/>
        <w:tblLayout w:type="fixed"/>
        <w:tblCellMar>
          <w:top w:w="0" w:type="dxa"/>
          <w:left w:w="108" w:type="dxa"/>
          <w:bottom w:w="0" w:type="dxa"/>
          <w:right w:w="108" w:type="dxa"/>
        </w:tblCellMar>
      </w:tblPr>
      <w:tblGrid>
        <w:gridCol w:w="4840"/>
        <w:gridCol w:w="656"/>
        <w:gridCol w:w="896"/>
        <w:gridCol w:w="896"/>
        <w:gridCol w:w="1285"/>
        <w:gridCol w:w="983"/>
        <w:gridCol w:w="4935"/>
        <w:gridCol w:w="656"/>
        <w:gridCol w:w="919"/>
      </w:tblGrid>
      <w:tr>
        <w:tblPrEx>
          <w:tblLayout w:type="fixed"/>
          <w:tblCellMar>
            <w:top w:w="0" w:type="dxa"/>
            <w:left w:w="108" w:type="dxa"/>
            <w:bottom w:w="0" w:type="dxa"/>
            <w:right w:w="108" w:type="dxa"/>
          </w:tblCellMar>
        </w:tblPrEx>
        <w:trPr>
          <w:trHeight w:val="402" w:hRule="atLeast"/>
          <w:jc w:val="center"/>
        </w:trPr>
        <w:tc>
          <w:tcPr>
            <w:tcW w:w="4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9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26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510"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510"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19"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52</w:t>
            </w:r>
            <w:r>
              <w:rPr>
                <w:rFonts w:hint="eastAsia" w:ascii="宋体" w:hAnsi="宋体" w:eastAsia="宋体" w:cs="Arial"/>
                <w:color w:val="000000"/>
                <w:kern w:val="0"/>
                <w:sz w:val="22"/>
              </w:rPr>
              <w:t>.</w:t>
            </w:r>
            <w:r>
              <w:rPr>
                <w:rFonts w:ascii="宋体" w:hAnsi="宋体" w:eastAsia="宋体" w:cs="Arial"/>
                <w:color w:val="000000"/>
                <w:kern w:val="0"/>
                <w:sz w:val="22"/>
              </w:rPr>
              <w:t>5</w:t>
            </w:r>
            <w:r>
              <w:rPr>
                <w:rFonts w:hint="eastAsia" w:ascii="宋体" w:hAnsi="宋体" w:eastAsia="宋体" w:cs="Arial"/>
                <w:color w:val="000000"/>
                <w:kern w:val="0"/>
                <w:sz w:val="22"/>
              </w:rPr>
              <w:t>1</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145</w:t>
            </w:r>
            <w:r>
              <w:rPr>
                <w:rFonts w:hint="eastAsia" w:ascii="宋体" w:hAnsi="宋体" w:eastAsia="宋体" w:cs="Arial"/>
                <w:color w:val="000000"/>
                <w:kern w:val="0"/>
                <w:sz w:val="22"/>
              </w:rPr>
              <w:t>.</w:t>
            </w:r>
            <w:r>
              <w:rPr>
                <w:rFonts w:ascii="宋体" w:hAnsi="宋体" w:eastAsia="宋体" w:cs="Arial"/>
                <w:color w:val="000000"/>
                <w:kern w:val="0"/>
                <w:sz w:val="22"/>
              </w:rPr>
              <w:t>5</w:t>
            </w:r>
            <w:r>
              <w:rPr>
                <w:rFonts w:hint="eastAsia" w:ascii="宋体" w:hAnsi="宋体" w:eastAsia="宋体" w:cs="Arial"/>
                <w:color w:val="000000"/>
                <w:kern w:val="0"/>
                <w:sz w:val="22"/>
              </w:rPr>
              <w:t>4</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481</w:t>
            </w:r>
            <w:r>
              <w:rPr>
                <w:rFonts w:hint="eastAsia" w:ascii="宋体" w:hAnsi="宋体" w:eastAsia="宋体" w:cs="Arial"/>
                <w:color w:val="000000"/>
                <w:kern w:val="0"/>
                <w:sz w:val="22"/>
              </w:rPr>
              <w:t>.</w:t>
            </w:r>
            <w:r>
              <w:rPr>
                <w:rFonts w:ascii="宋体" w:hAnsi="宋体" w:eastAsia="宋体" w:cs="Arial"/>
                <w:color w:val="000000"/>
                <w:kern w:val="0"/>
                <w:sz w:val="22"/>
              </w:rPr>
              <w:t>01</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w:t>
            </w:r>
            <w:r>
              <w:rPr>
                <w:rFonts w:ascii="宋体" w:hAnsi="宋体" w:eastAsia="宋体" w:cs="Arial"/>
                <w:color w:val="000000"/>
                <w:kern w:val="0"/>
                <w:sz w:val="22"/>
              </w:rPr>
              <w:t>29</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44</w:t>
            </w:r>
            <w:r>
              <w:rPr>
                <w:rFonts w:hint="eastAsia" w:ascii="宋体" w:hAnsi="宋体" w:eastAsia="宋体" w:cs="Arial"/>
                <w:color w:val="000000"/>
                <w:kern w:val="0"/>
                <w:sz w:val="22"/>
              </w:rPr>
              <w:t>.</w:t>
            </w:r>
            <w:r>
              <w:rPr>
                <w:rFonts w:ascii="宋体" w:hAnsi="宋体" w:eastAsia="宋体" w:cs="Arial"/>
                <w:color w:val="000000"/>
                <w:kern w:val="0"/>
                <w:sz w:val="22"/>
              </w:rPr>
              <w:t>0</w:t>
            </w:r>
            <w:r>
              <w:rPr>
                <w:rFonts w:hint="eastAsia" w:ascii="宋体" w:hAnsi="宋体" w:eastAsia="宋体" w:cs="Arial"/>
                <w:color w:val="000000"/>
                <w:kern w:val="0"/>
                <w:sz w:val="22"/>
              </w:rPr>
              <w:t>9</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144</w:t>
            </w:r>
            <w:r>
              <w:rPr>
                <w:rFonts w:hint="eastAsia" w:ascii="宋体" w:hAnsi="宋体" w:eastAsia="宋体" w:cs="Arial"/>
                <w:color w:val="000000"/>
                <w:kern w:val="0"/>
                <w:sz w:val="22"/>
              </w:rPr>
              <w:t>.</w:t>
            </w:r>
            <w:r>
              <w:rPr>
                <w:rFonts w:ascii="宋体" w:hAnsi="宋体" w:eastAsia="宋体" w:cs="Arial"/>
                <w:color w:val="000000"/>
                <w:kern w:val="0"/>
                <w:sz w:val="22"/>
              </w:rPr>
              <w:t>24</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（一）房屋（平方米）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24.9</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99.79</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Layout w:type="fixed"/>
          <w:tblCellMar>
            <w:top w:w="0" w:type="dxa"/>
            <w:left w:w="108" w:type="dxa"/>
            <w:bottom w:w="0" w:type="dxa"/>
            <w:right w:w="108" w:type="dxa"/>
          </w:tblCellMar>
        </w:tblPrEx>
        <w:trPr>
          <w:trHeight w:val="77"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24.9</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99.79</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19</w:t>
            </w:r>
            <w:r>
              <w:rPr>
                <w:rFonts w:hint="eastAsia" w:ascii="宋体" w:hAnsi="宋体" w:eastAsia="宋体" w:cs="Arial"/>
                <w:color w:val="000000"/>
                <w:kern w:val="0"/>
                <w:sz w:val="22"/>
              </w:rPr>
              <w:t>.</w:t>
            </w:r>
            <w:r>
              <w:rPr>
                <w:rFonts w:ascii="宋体" w:hAnsi="宋体" w:eastAsia="宋体" w:cs="Arial"/>
                <w:color w:val="000000"/>
                <w:kern w:val="0"/>
                <w:sz w:val="22"/>
              </w:rPr>
              <w:t>1</w:t>
            </w:r>
            <w:r>
              <w:rPr>
                <w:rFonts w:hint="eastAsia" w:ascii="宋体" w:hAnsi="宋体" w:eastAsia="宋体" w:cs="Arial"/>
                <w:color w:val="000000"/>
                <w:kern w:val="0"/>
                <w:sz w:val="22"/>
              </w:rPr>
              <w:t>9</w:t>
            </w: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b/>
                <w:color w:val="000000"/>
                <w:kern w:val="0"/>
                <w:sz w:val="22"/>
              </w:rPr>
            </w:pPr>
            <w:r>
              <w:rPr>
                <w:rFonts w:ascii="宋体" w:hAnsi="宋体" w:eastAsia="宋体" w:cs="Arial"/>
                <w:b/>
                <w:color w:val="000000"/>
                <w:kern w:val="0"/>
                <w:sz w:val="22"/>
              </w:rPr>
              <w:t>44</w:t>
            </w:r>
            <w:r>
              <w:rPr>
                <w:rFonts w:hint="eastAsia" w:ascii="宋体" w:hAnsi="宋体" w:eastAsia="宋体" w:cs="Arial"/>
                <w:b/>
                <w:color w:val="000000"/>
                <w:kern w:val="0"/>
                <w:sz w:val="22"/>
              </w:rPr>
              <w:t>.</w:t>
            </w:r>
            <w:r>
              <w:rPr>
                <w:rFonts w:ascii="宋体" w:hAnsi="宋体" w:eastAsia="宋体" w:cs="Arial"/>
                <w:b/>
                <w:color w:val="000000"/>
                <w:kern w:val="0"/>
                <w:sz w:val="22"/>
              </w:rPr>
              <w:t>45</w:t>
            </w: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　</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1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840"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9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85"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3"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935"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19"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ind w:firstLine="0" w:firstLineChars="0"/>
        <w:rPr>
          <w:rFonts w:ascii="仿宋_GB2312" w:hAnsi="仿宋"/>
          <w:b/>
          <w:szCs w:val="32"/>
        </w:rPr>
      </w:pPr>
    </w:p>
    <w:p>
      <w:pPr>
        <w:ind w:firstLine="643"/>
        <w:rPr>
          <w:rFonts w:ascii="仿宋_GB2312" w:hAnsi="仿宋"/>
          <w:b/>
          <w:szCs w:val="32"/>
        </w:rPr>
        <w:sectPr>
          <w:pgSz w:w="16838" w:h="11906" w:orient="landscape"/>
          <w:pgMar w:top="1191" w:right="1644" w:bottom="1361" w:left="1531" w:header="851" w:footer="992" w:gutter="0"/>
          <w:cols w:space="425" w:num="1"/>
          <w:docGrid w:linePitch="435" w:charSpace="0"/>
        </w:sectPr>
      </w:pPr>
    </w:p>
    <w:p>
      <w:pPr>
        <w:ind w:firstLine="800" w:firstLineChars="250"/>
        <w:rPr>
          <w:rFonts w:hint="eastAsia" w:ascii="仿宋_GB2312" w:cs="仿宋_GB2312"/>
        </w:rPr>
      </w:pPr>
      <w:r>
        <w:rPr>
          <w:rFonts w:hint="eastAsia" w:ascii="仿宋_GB2312"/>
          <w:szCs w:val="32"/>
        </w:rPr>
        <w:t>截至2017年12月31日，</w:t>
      </w:r>
      <w:r>
        <w:rPr>
          <w:rFonts w:hint="eastAsia" w:ascii="仿宋_GB2312" w:cs="仿宋_GB2312"/>
        </w:rPr>
        <w:t>固定资产</w:t>
      </w:r>
      <w:r>
        <w:rPr>
          <w:rFonts w:ascii="仿宋_GB2312" w:cs="仿宋_GB2312"/>
        </w:rPr>
        <w:t>144</w:t>
      </w:r>
      <w:r>
        <w:rPr>
          <w:rFonts w:hint="eastAsia" w:ascii="仿宋_GB2312" w:cs="仿宋_GB2312"/>
        </w:rPr>
        <w:t>.24万元，与</w:t>
      </w:r>
      <w:r>
        <w:rPr>
          <w:rFonts w:ascii="仿宋_GB2312" w:cs="仿宋_GB2312"/>
        </w:rPr>
        <w:t>2016</w:t>
      </w:r>
      <w:r>
        <w:rPr>
          <w:rFonts w:hint="eastAsia" w:ascii="仿宋_GB2312" w:cs="仿宋_GB2312"/>
        </w:rPr>
        <w:t>年相比增加100.15万元，主要原因是：外单位调拨雾炮车一辆，购买办公设备和办公家具。</w:t>
      </w:r>
    </w:p>
    <w:p>
      <w:pPr>
        <w:ind w:firstLine="800" w:firstLineChars="250"/>
        <w:rPr>
          <w:rFonts w:ascii="仿宋_GB2312"/>
          <w:szCs w:val="32"/>
        </w:rPr>
      </w:pPr>
      <w:r>
        <w:rPr>
          <w:rFonts w:hint="eastAsia" w:ascii="仿宋_GB2312"/>
          <w:szCs w:val="32"/>
        </w:rPr>
        <w:t>本部门共有车辆3辆，其中，一般公务用车0辆、一般执法执勤用车0辆、特种专业技术用车0辆、其他用车3辆，其他用车主要用于拆违打非等专项事务的踏勘等工作；单位价值200万元以上大型设备0台。</w:t>
      </w:r>
    </w:p>
    <w:p>
      <w:pPr>
        <w:widowControl/>
        <w:spacing w:line="580" w:lineRule="exact"/>
        <w:ind w:firstLine="643"/>
        <w:rPr>
          <w:rFonts w:ascii="仿宋_GB2312" w:hAnsi="仿宋"/>
          <w:b/>
          <w:szCs w:val="32"/>
        </w:rPr>
      </w:pPr>
      <w:r>
        <w:rPr>
          <w:rFonts w:hint="eastAsia" w:ascii="仿宋_GB2312" w:hAnsi="仿宋"/>
          <w:b/>
          <w:szCs w:val="32"/>
        </w:rPr>
        <w:t>4．其他需要说明的情况。</w:t>
      </w:r>
    </w:p>
    <w:p>
      <w:pPr>
        <w:ind w:firstLine="640"/>
        <w:rPr>
          <w:rFonts w:ascii="仿宋" w:hAnsi="仿宋" w:eastAsia="仿宋"/>
        </w:rPr>
      </w:pPr>
      <w:r>
        <w:rPr>
          <w:rFonts w:hint="eastAsia" w:ascii="仿宋" w:hAnsi="仿宋" w:eastAsia="仿宋" w:cs="仿宋"/>
        </w:rPr>
        <w:t>会议费支出情况。</w:t>
      </w:r>
      <w:bookmarkStart w:id="39" w:name="OLE_LINK46"/>
      <w:bookmarkStart w:id="40" w:name="OLE_LINK47"/>
      <w:r>
        <w:rPr>
          <w:rFonts w:hint="eastAsia" w:ascii="仿宋" w:hAnsi="仿宋" w:eastAsia="仿宋"/>
          <w:szCs w:val="32"/>
        </w:rPr>
        <w:t>2017年会议费总计0万元，2016年度决算数为0万元，原因是：2017年未发生会议费支出，2016年也未发生会议费支出。</w:t>
      </w:r>
    </w:p>
    <w:bookmarkEnd w:id="39"/>
    <w:bookmarkEnd w:id="40"/>
    <w:p>
      <w:pPr>
        <w:ind w:firstLine="512" w:firstLineChars="160"/>
        <w:rPr>
          <w:rFonts w:hint="eastAsia" w:ascii="仿宋_GB2312" w:hAnsi="仿宋" w:eastAsia="仿宋"/>
          <w:b/>
          <w:szCs w:val="32"/>
          <w:lang w:val="en-US" w:eastAsia="zh-CN"/>
        </w:rPr>
      </w:pPr>
      <w:r>
        <w:rPr>
          <w:rFonts w:hint="eastAsia" w:ascii="仿宋" w:hAnsi="仿宋" w:eastAsia="仿宋" w:cs="仿宋"/>
        </w:rPr>
        <w:t>培训费支出情况。</w:t>
      </w:r>
      <w:r>
        <w:rPr>
          <w:rFonts w:hint="eastAsia" w:ascii="仿宋" w:hAnsi="仿宋" w:eastAsia="仿宋"/>
          <w:szCs w:val="32"/>
        </w:rPr>
        <w:t>2017年</w:t>
      </w:r>
      <w:r>
        <w:rPr>
          <w:rFonts w:hint="eastAsia" w:ascii="仿宋" w:hAnsi="仿宋" w:eastAsia="仿宋" w:cs="仿宋"/>
        </w:rPr>
        <w:t>培训费</w:t>
      </w:r>
      <w:r>
        <w:rPr>
          <w:rFonts w:hint="eastAsia" w:ascii="仿宋" w:hAnsi="仿宋" w:eastAsia="仿宋"/>
          <w:szCs w:val="32"/>
        </w:rPr>
        <w:t>总计0万元，2016年度决算数为0万元，原因是：2017年未发生</w:t>
      </w:r>
      <w:r>
        <w:rPr>
          <w:rFonts w:hint="eastAsia" w:ascii="仿宋" w:hAnsi="仿宋" w:eastAsia="仿宋" w:cs="仿宋"/>
        </w:rPr>
        <w:t>培训费</w:t>
      </w:r>
      <w:r>
        <w:rPr>
          <w:rFonts w:hint="eastAsia" w:ascii="仿宋" w:hAnsi="仿宋" w:eastAsia="仿宋"/>
          <w:szCs w:val="32"/>
        </w:rPr>
        <w:t>支出，2016年也未发生</w:t>
      </w:r>
      <w:r>
        <w:rPr>
          <w:rFonts w:hint="eastAsia" w:ascii="仿宋" w:hAnsi="仿宋" w:eastAsia="仿宋" w:cs="仿宋"/>
        </w:rPr>
        <w:t>培训费</w:t>
      </w:r>
      <w:r>
        <w:rPr>
          <w:rFonts w:hint="eastAsia" w:ascii="仿宋" w:hAnsi="仿宋" w:eastAsia="仿宋"/>
          <w:szCs w:val="32"/>
        </w:rPr>
        <w:t>支出</w:t>
      </w:r>
      <w:r>
        <w:rPr>
          <w:rFonts w:hint="eastAsia" w:ascii="仿宋" w:hAnsi="仿宋" w:eastAsia="仿宋"/>
          <w:szCs w:val="32"/>
          <w:lang w:eastAsia="zh-CN"/>
        </w:rPr>
        <w:t>。</w:t>
      </w:r>
    </w:p>
    <w:p>
      <w:pPr>
        <w:ind w:firstLine="199" w:firstLineChars="62"/>
        <w:rPr>
          <w:rFonts w:ascii="仿宋_GB2312" w:hAnsi="仿宋"/>
          <w:b/>
          <w:szCs w:val="32"/>
        </w:rPr>
      </w:pPr>
    </w:p>
    <w:p>
      <w:pPr>
        <w:ind w:firstLine="199" w:firstLineChars="62"/>
        <w:rPr>
          <w:rFonts w:ascii="仿宋_GB2312" w:hAnsi="仿宋"/>
          <w:b/>
          <w:szCs w:val="32"/>
        </w:rPr>
      </w:pPr>
    </w:p>
    <w:p>
      <w:pPr>
        <w:ind w:firstLine="199" w:firstLineChars="62"/>
        <w:rPr>
          <w:rFonts w:ascii="仿宋_GB2312" w:hAnsi="仿宋"/>
          <w:b/>
          <w:szCs w:val="32"/>
        </w:rPr>
      </w:pPr>
    </w:p>
    <w:p>
      <w:pPr>
        <w:ind w:firstLine="199" w:firstLineChars="62"/>
        <w:rPr>
          <w:rFonts w:ascii="仿宋_GB2312" w:hAnsi="仿宋"/>
          <w:b/>
          <w:szCs w:val="32"/>
        </w:rPr>
      </w:pPr>
    </w:p>
    <w:p>
      <w:pPr>
        <w:ind w:firstLine="199" w:firstLineChars="62"/>
        <w:rPr>
          <w:rFonts w:ascii="仿宋_GB2312" w:hAnsi="仿宋"/>
          <w:b/>
          <w:szCs w:val="32"/>
        </w:rPr>
      </w:pPr>
    </w:p>
    <w:p>
      <w:pPr>
        <w:ind w:firstLine="199" w:firstLineChars="62"/>
        <w:rPr>
          <w:rFonts w:ascii="仿宋_GB2312" w:hAnsi="仿宋"/>
          <w:b/>
          <w:szCs w:val="32"/>
        </w:rPr>
      </w:pPr>
    </w:p>
    <w:p>
      <w:pPr>
        <w:ind w:firstLine="199" w:firstLineChars="62"/>
        <w:rPr>
          <w:rFonts w:ascii="仿宋_GB2312" w:hAnsi="仿宋"/>
          <w:b/>
          <w:szCs w:val="32"/>
        </w:rPr>
      </w:pPr>
    </w:p>
    <w:p>
      <w:pPr>
        <w:ind w:firstLine="199" w:firstLineChars="62"/>
        <w:rPr>
          <w:rFonts w:ascii="仿宋_GB2312" w:hAnsi="仿宋"/>
          <w:b/>
          <w:szCs w:val="32"/>
        </w:rPr>
      </w:pPr>
    </w:p>
    <w:p>
      <w:pPr>
        <w:ind w:firstLine="199" w:firstLineChars="62"/>
        <w:rPr>
          <w:rFonts w:ascii="仿宋_GB2312" w:hAnsi="仿宋"/>
          <w:b/>
          <w:szCs w:val="32"/>
        </w:rPr>
      </w:pPr>
    </w:p>
    <w:p>
      <w:pPr>
        <w:ind w:firstLine="199" w:firstLineChars="62"/>
        <w:rPr>
          <w:rFonts w:ascii="仿宋_GB2312" w:hAnsi="仿宋"/>
          <w:b/>
          <w:szCs w:val="3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sectPr>
          <w:pgSz w:w="11906" w:h="16838"/>
          <w:pgMar w:top="1644" w:right="1361" w:bottom="1531" w:left="1191" w:header="851" w:footer="992" w:gutter="0"/>
          <w:cols w:space="425" w:num="1"/>
          <w:docGrid w:linePitch="435" w:charSpace="0"/>
        </w:sectPr>
      </w:pPr>
      <w:r>
        <w:rPr>
          <w:color w:val="000000"/>
          <w:kern w:val="0"/>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w:t>
      </w:r>
      <w:r>
        <w:rPr>
          <w:rFonts w:hint="eastAsia"/>
          <w:color w:val="000000"/>
          <w:kern w:val="0"/>
          <w:szCs w:val="32"/>
        </w:rPr>
        <w:t>。</w:t>
      </w:r>
    </w:p>
    <w:p>
      <w:pPr>
        <w:widowControl/>
        <w:spacing w:line="240" w:lineRule="auto"/>
        <w:ind w:firstLine="0" w:firstLineChars="0"/>
        <w:jc w:val="left"/>
        <w:rPr>
          <w:rFonts w:ascii="仿宋_GB2312" w:hAnsi="黑体"/>
          <w:szCs w:val="32"/>
        </w:rPr>
      </w:pPr>
    </w:p>
    <w:sectPr>
      <w:pgSz w:w="11906" w:h="16838"/>
      <w:pgMar w:top="1644" w:right="1361" w:bottom="1531" w:left="1191"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rPr>
        <w:rFonts w:hint="eastAsia"/>
      </w:rP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rPr>
        <w:rFonts w:hint="eastAsia"/>
      </w:rP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15</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7C23"/>
    <w:multiLevelType w:val="multilevel"/>
    <w:tmpl w:val="340C7C2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A2776D"/>
    <w:multiLevelType w:val="multilevel"/>
    <w:tmpl w:val="7AA2776D"/>
    <w:lvl w:ilvl="0" w:tentative="0">
      <w:start w:val="2"/>
      <w:numFmt w:val="none"/>
      <w:lvlText w:val="二、"/>
      <w:lvlJc w:val="left"/>
      <w:pPr>
        <w:ind w:left="862" w:hanging="720"/>
      </w:pPr>
      <w:rPr>
        <w:rFonts w:hint="default"/>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12037"/>
    <w:rsid w:val="000244B1"/>
    <w:rsid w:val="00044988"/>
    <w:rsid w:val="00053EFC"/>
    <w:rsid w:val="00054C53"/>
    <w:rsid w:val="000553D6"/>
    <w:rsid w:val="00071976"/>
    <w:rsid w:val="00091B3A"/>
    <w:rsid w:val="000E5373"/>
    <w:rsid w:val="000F00FD"/>
    <w:rsid w:val="0011224D"/>
    <w:rsid w:val="00122B73"/>
    <w:rsid w:val="00127C8F"/>
    <w:rsid w:val="00155A0C"/>
    <w:rsid w:val="00172A9E"/>
    <w:rsid w:val="00175A3A"/>
    <w:rsid w:val="0017741E"/>
    <w:rsid w:val="0018745A"/>
    <w:rsid w:val="0019263B"/>
    <w:rsid w:val="001B2E4B"/>
    <w:rsid w:val="001C73BD"/>
    <w:rsid w:val="001F1571"/>
    <w:rsid w:val="001F41FA"/>
    <w:rsid w:val="00204503"/>
    <w:rsid w:val="00231700"/>
    <w:rsid w:val="00234111"/>
    <w:rsid w:val="00242CBC"/>
    <w:rsid w:val="002528B2"/>
    <w:rsid w:val="00271D6D"/>
    <w:rsid w:val="0027309A"/>
    <w:rsid w:val="00273E03"/>
    <w:rsid w:val="0029596B"/>
    <w:rsid w:val="002A3356"/>
    <w:rsid w:val="002B3117"/>
    <w:rsid w:val="002C4C27"/>
    <w:rsid w:val="002D1C92"/>
    <w:rsid w:val="002D5C17"/>
    <w:rsid w:val="002E4BDA"/>
    <w:rsid w:val="00305FCB"/>
    <w:rsid w:val="00310A7C"/>
    <w:rsid w:val="00312F9F"/>
    <w:rsid w:val="003155B1"/>
    <w:rsid w:val="00357CE2"/>
    <w:rsid w:val="00366939"/>
    <w:rsid w:val="0037117B"/>
    <w:rsid w:val="003959D3"/>
    <w:rsid w:val="003C353F"/>
    <w:rsid w:val="003C4193"/>
    <w:rsid w:val="003D144F"/>
    <w:rsid w:val="003D5394"/>
    <w:rsid w:val="003F6043"/>
    <w:rsid w:val="00404BA5"/>
    <w:rsid w:val="00405DD5"/>
    <w:rsid w:val="00427CCF"/>
    <w:rsid w:val="0043393D"/>
    <w:rsid w:val="00443128"/>
    <w:rsid w:val="00450D4D"/>
    <w:rsid w:val="004837AF"/>
    <w:rsid w:val="004A3D9D"/>
    <w:rsid w:val="004C5433"/>
    <w:rsid w:val="004D5545"/>
    <w:rsid w:val="004E7B5F"/>
    <w:rsid w:val="004F1F8E"/>
    <w:rsid w:val="00502034"/>
    <w:rsid w:val="005046AD"/>
    <w:rsid w:val="00510EF5"/>
    <w:rsid w:val="0051424E"/>
    <w:rsid w:val="00531E23"/>
    <w:rsid w:val="0055547F"/>
    <w:rsid w:val="00562ED9"/>
    <w:rsid w:val="00576643"/>
    <w:rsid w:val="005843D3"/>
    <w:rsid w:val="00592CF2"/>
    <w:rsid w:val="00593550"/>
    <w:rsid w:val="00594763"/>
    <w:rsid w:val="005A0227"/>
    <w:rsid w:val="005C39CD"/>
    <w:rsid w:val="005C5A21"/>
    <w:rsid w:val="005C7CFB"/>
    <w:rsid w:val="005D1FC1"/>
    <w:rsid w:val="005E2EB4"/>
    <w:rsid w:val="005E382E"/>
    <w:rsid w:val="006110FE"/>
    <w:rsid w:val="006158C7"/>
    <w:rsid w:val="00630D6A"/>
    <w:rsid w:val="00632195"/>
    <w:rsid w:val="006508EE"/>
    <w:rsid w:val="00651CBC"/>
    <w:rsid w:val="00661402"/>
    <w:rsid w:val="00661FC6"/>
    <w:rsid w:val="00682F9B"/>
    <w:rsid w:val="00697ABE"/>
    <w:rsid w:val="006A1D43"/>
    <w:rsid w:val="006B012E"/>
    <w:rsid w:val="006C00CA"/>
    <w:rsid w:val="006D6A17"/>
    <w:rsid w:val="006E0F4D"/>
    <w:rsid w:val="006F5699"/>
    <w:rsid w:val="006F7A05"/>
    <w:rsid w:val="00712D5F"/>
    <w:rsid w:val="00746674"/>
    <w:rsid w:val="00747819"/>
    <w:rsid w:val="00766A83"/>
    <w:rsid w:val="007A33F1"/>
    <w:rsid w:val="007C07E2"/>
    <w:rsid w:val="007C33D9"/>
    <w:rsid w:val="007C4984"/>
    <w:rsid w:val="007D592B"/>
    <w:rsid w:val="00802BBD"/>
    <w:rsid w:val="0080381A"/>
    <w:rsid w:val="00830C9C"/>
    <w:rsid w:val="0083135A"/>
    <w:rsid w:val="00850DCF"/>
    <w:rsid w:val="008529DA"/>
    <w:rsid w:val="008716D0"/>
    <w:rsid w:val="008951B5"/>
    <w:rsid w:val="008B4A37"/>
    <w:rsid w:val="008C0A07"/>
    <w:rsid w:val="008C207D"/>
    <w:rsid w:val="008D56F3"/>
    <w:rsid w:val="008F0681"/>
    <w:rsid w:val="008F3A14"/>
    <w:rsid w:val="0092275C"/>
    <w:rsid w:val="00937A08"/>
    <w:rsid w:val="00952574"/>
    <w:rsid w:val="00965AC4"/>
    <w:rsid w:val="009734A1"/>
    <w:rsid w:val="00976B6E"/>
    <w:rsid w:val="009A2241"/>
    <w:rsid w:val="009B0C8C"/>
    <w:rsid w:val="009D3E47"/>
    <w:rsid w:val="009F0B9D"/>
    <w:rsid w:val="009F4499"/>
    <w:rsid w:val="00A031B4"/>
    <w:rsid w:val="00A05198"/>
    <w:rsid w:val="00A103CF"/>
    <w:rsid w:val="00A12A39"/>
    <w:rsid w:val="00A13A55"/>
    <w:rsid w:val="00A15F91"/>
    <w:rsid w:val="00A266EB"/>
    <w:rsid w:val="00A36ED2"/>
    <w:rsid w:val="00A4272B"/>
    <w:rsid w:val="00A513A6"/>
    <w:rsid w:val="00A56F3C"/>
    <w:rsid w:val="00A77BCB"/>
    <w:rsid w:val="00A83050"/>
    <w:rsid w:val="00A93803"/>
    <w:rsid w:val="00AA33A5"/>
    <w:rsid w:val="00AB34E3"/>
    <w:rsid w:val="00AC76D6"/>
    <w:rsid w:val="00AE31D0"/>
    <w:rsid w:val="00AF2C1C"/>
    <w:rsid w:val="00AF3F2E"/>
    <w:rsid w:val="00B24A44"/>
    <w:rsid w:val="00B42B02"/>
    <w:rsid w:val="00B474FE"/>
    <w:rsid w:val="00B50B22"/>
    <w:rsid w:val="00B60A1B"/>
    <w:rsid w:val="00B701EF"/>
    <w:rsid w:val="00B72BF5"/>
    <w:rsid w:val="00B82B92"/>
    <w:rsid w:val="00B86180"/>
    <w:rsid w:val="00B96A7F"/>
    <w:rsid w:val="00BA26B2"/>
    <w:rsid w:val="00BB260A"/>
    <w:rsid w:val="00BB55D2"/>
    <w:rsid w:val="00BC4069"/>
    <w:rsid w:val="00BC625F"/>
    <w:rsid w:val="00BD125C"/>
    <w:rsid w:val="00BE11DC"/>
    <w:rsid w:val="00BF1C0F"/>
    <w:rsid w:val="00C325F6"/>
    <w:rsid w:val="00C36EFE"/>
    <w:rsid w:val="00C4665F"/>
    <w:rsid w:val="00C8633C"/>
    <w:rsid w:val="00CD5DFD"/>
    <w:rsid w:val="00CE24C5"/>
    <w:rsid w:val="00CE7AA1"/>
    <w:rsid w:val="00CF1175"/>
    <w:rsid w:val="00CF3650"/>
    <w:rsid w:val="00CF7D21"/>
    <w:rsid w:val="00D0276E"/>
    <w:rsid w:val="00D14F57"/>
    <w:rsid w:val="00D168E4"/>
    <w:rsid w:val="00D21B3E"/>
    <w:rsid w:val="00D2211A"/>
    <w:rsid w:val="00D2301D"/>
    <w:rsid w:val="00D26D22"/>
    <w:rsid w:val="00D34D1F"/>
    <w:rsid w:val="00D4698B"/>
    <w:rsid w:val="00D51081"/>
    <w:rsid w:val="00D82AF5"/>
    <w:rsid w:val="00D87BD4"/>
    <w:rsid w:val="00D92C7F"/>
    <w:rsid w:val="00DE20DF"/>
    <w:rsid w:val="00E03175"/>
    <w:rsid w:val="00E3133F"/>
    <w:rsid w:val="00E5216F"/>
    <w:rsid w:val="00E67D8E"/>
    <w:rsid w:val="00E7487B"/>
    <w:rsid w:val="00E84312"/>
    <w:rsid w:val="00EA5972"/>
    <w:rsid w:val="00EA7100"/>
    <w:rsid w:val="00EB45A9"/>
    <w:rsid w:val="00EB63A9"/>
    <w:rsid w:val="00EC62AA"/>
    <w:rsid w:val="00ED09E5"/>
    <w:rsid w:val="00ED654D"/>
    <w:rsid w:val="00ED6876"/>
    <w:rsid w:val="00ED6B4C"/>
    <w:rsid w:val="00ED7A0E"/>
    <w:rsid w:val="00EF1422"/>
    <w:rsid w:val="00EF493B"/>
    <w:rsid w:val="00F0518B"/>
    <w:rsid w:val="00F05F78"/>
    <w:rsid w:val="00F06F8D"/>
    <w:rsid w:val="00F302C8"/>
    <w:rsid w:val="00F514C4"/>
    <w:rsid w:val="00F60F40"/>
    <w:rsid w:val="00F61E61"/>
    <w:rsid w:val="00F7462B"/>
    <w:rsid w:val="00F86BC5"/>
    <w:rsid w:val="00F9758A"/>
    <w:rsid w:val="00FA139A"/>
    <w:rsid w:val="00FB11CF"/>
    <w:rsid w:val="00FB5E00"/>
    <w:rsid w:val="00FC3BAC"/>
    <w:rsid w:val="00FD5BCA"/>
    <w:rsid w:val="00FF65FE"/>
    <w:rsid w:val="3E2E2E9F"/>
    <w:rsid w:val="638F6379"/>
    <w:rsid w:val="7785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5217D-76DA-4A00-8E79-853E219396A1}">
  <ds:schemaRefs/>
</ds:datastoreItem>
</file>

<file path=docProps/app.xml><?xml version="1.0" encoding="utf-8"?>
<Properties xmlns="http://schemas.openxmlformats.org/officeDocument/2006/extended-properties" xmlns:vt="http://schemas.openxmlformats.org/officeDocument/2006/docPropsVTypes">
  <Template>Normal.dotm</Template>
  <Company>gkk</Company>
  <Pages>20</Pages>
  <Words>911</Words>
  <Characters>5197</Characters>
  <Lines>43</Lines>
  <Paragraphs>12</Paragraphs>
  <TotalTime>587</TotalTime>
  <ScaleCrop>false</ScaleCrop>
  <LinksUpToDate>false</LinksUpToDate>
  <CharactersWithSpaces>6096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2018-10-09T01:29:00Z</dcterms:created>
  <dc:creator>jia</dc:creator>
  <cp:lastModifiedBy>Lenovo</cp:lastModifiedBy>
  <cp:lastPrinted>2018-10-15T06:41:00Z</cp:lastPrinted>
  <dcterms:modified xsi:type="dcterms:W3CDTF">2019-03-14T07:49:08Z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