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bookmarkStart w:id="42" w:name="_GoBack"/>
      <w:r>
        <w:rPr>
          <w:rFonts w:hint="eastAsia" w:ascii="黑体" w:hAnsi="黑体" w:eastAsia="黑体"/>
          <w:sz w:val="44"/>
          <w:szCs w:val="44"/>
        </w:rPr>
        <w:t>秦皇岛市海港区科学技术协会部门</w:t>
      </w:r>
      <w:bookmarkEnd w:id="42"/>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年9月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第一部分   秦皇岛市海港区科学技术协会概况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第二部分   秦皇岛市海港区科学技术协会2017年度部门决算报表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第三部分  秦皇岛市海港区科学技术协会2017年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7"/>
      <w:bookmarkStart w:id="3" w:name="OLE_LINK26"/>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 秦皇岛市海港区科学技术协会概况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pStyle w:val="10"/>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firstLine="640"/>
        <w:rPr>
          <w:rFonts w:ascii="仿宋" w:hAnsi="仿宋" w:eastAsia="仿宋" w:cs="宋体"/>
          <w:szCs w:val="32"/>
        </w:rPr>
      </w:pPr>
      <w:r>
        <w:rPr>
          <w:rFonts w:ascii="仿宋" w:hAnsi="仿宋" w:eastAsia="仿宋"/>
          <w:szCs w:val="32"/>
        </w:rPr>
        <w:t>1</w:t>
      </w:r>
      <w:r>
        <w:rPr>
          <w:rFonts w:hint="eastAsia" w:ascii="仿宋" w:hAnsi="仿宋" w:eastAsia="仿宋" w:cs="宋体"/>
          <w:szCs w:val="32"/>
        </w:rPr>
        <w:t>、提升重点人群科学素质，包括农民、社区居民、公务员和领导干部、青少年等；</w:t>
      </w:r>
    </w:p>
    <w:p>
      <w:pPr>
        <w:ind w:firstLine="640"/>
        <w:rPr>
          <w:rFonts w:ascii="仿宋" w:hAnsi="仿宋" w:eastAsia="仿宋"/>
          <w:szCs w:val="32"/>
        </w:rPr>
      </w:pPr>
      <w:r>
        <w:rPr>
          <w:rFonts w:ascii="仿宋" w:hAnsi="仿宋" w:eastAsia="仿宋"/>
          <w:szCs w:val="32"/>
        </w:rPr>
        <w:t>2</w:t>
      </w:r>
      <w:r>
        <w:rPr>
          <w:rFonts w:hint="eastAsia" w:ascii="仿宋" w:hAnsi="仿宋" w:eastAsia="仿宋" w:cs="宋体"/>
          <w:szCs w:val="32"/>
        </w:rPr>
        <w:t>、重点组织好全国科普日河北科普活动，组织参与科技周、防灾减灾日、食品安全宣传周、节水日、土地日等科普宣传周日和节能、环保等重点科普宣传活动</w:t>
      </w:r>
      <w:r>
        <w:rPr>
          <w:rFonts w:ascii="仿宋" w:hAnsi="仿宋" w:eastAsia="仿宋"/>
          <w:szCs w:val="32"/>
        </w:rPr>
        <w:t>;</w:t>
      </w:r>
    </w:p>
    <w:p>
      <w:pPr>
        <w:ind w:firstLine="640"/>
        <w:rPr>
          <w:rFonts w:ascii="仿宋" w:hAnsi="仿宋" w:eastAsia="仿宋"/>
          <w:szCs w:val="32"/>
        </w:rPr>
      </w:pPr>
      <w:r>
        <w:rPr>
          <w:rFonts w:ascii="仿宋" w:hAnsi="仿宋" w:eastAsia="仿宋"/>
          <w:szCs w:val="32"/>
        </w:rPr>
        <w:t>3</w:t>
      </w:r>
      <w:r>
        <w:rPr>
          <w:rFonts w:hint="eastAsia" w:ascii="仿宋" w:hAnsi="仿宋" w:eastAsia="仿宋" w:cs="宋体"/>
          <w:szCs w:val="32"/>
        </w:rPr>
        <w:t>、加强乡镇（街道）科协和园区科协等基层科协体系建设，促进基层科普工作广泛开展，对于提高公众科学素质、助力我区经济社会发展具有重要意义</w:t>
      </w:r>
      <w:r>
        <w:rPr>
          <w:rFonts w:hint="eastAsia" w:ascii="仿宋" w:hAnsi="仿宋" w:eastAsia="仿宋"/>
          <w:szCs w:val="32"/>
        </w:rPr>
        <w:t>。</w:t>
      </w:r>
    </w:p>
    <w:p>
      <w:pPr>
        <w:ind w:firstLine="640"/>
        <w:rPr>
          <w:rFonts w:ascii="仿宋" w:hAnsi="仿宋" w:eastAsia="仿宋"/>
          <w:szCs w:val="32"/>
        </w:rPr>
      </w:pPr>
      <w:r>
        <w:rPr>
          <w:rFonts w:ascii="仿宋" w:hAnsi="仿宋" w:eastAsia="仿宋"/>
          <w:szCs w:val="32"/>
        </w:rPr>
        <w:t>4</w:t>
      </w:r>
      <w:r>
        <w:rPr>
          <w:rFonts w:hint="eastAsia" w:ascii="仿宋" w:hAnsi="仿宋" w:eastAsia="仿宋" w:cs="宋体"/>
          <w:szCs w:val="32"/>
        </w:rPr>
        <w:t>、保障区科技馆的正常运行，开展多种形式的科普活动</w:t>
      </w:r>
      <w:r>
        <w:rPr>
          <w:rFonts w:ascii="仿宋" w:hAnsi="仿宋" w:eastAsia="仿宋"/>
          <w:szCs w:val="32"/>
        </w:rPr>
        <w:t>,</w:t>
      </w:r>
      <w:r>
        <w:rPr>
          <w:rFonts w:hint="eastAsia" w:ascii="仿宋" w:hAnsi="仿宋" w:eastAsia="仿宋" w:cs="宋体"/>
          <w:szCs w:val="32"/>
        </w:rPr>
        <w:t>利用数字化手段开发构建科普公共服务平台，实现农村、社区、校园科普一体化推荐平台</w:t>
      </w:r>
      <w:r>
        <w:rPr>
          <w:rFonts w:ascii="仿宋" w:hAnsi="仿宋" w:eastAsia="仿宋"/>
          <w:szCs w:val="32"/>
        </w:rPr>
        <w:t>;</w:t>
      </w:r>
    </w:p>
    <w:p>
      <w:pPr>
        <w:ind w:firstLine="640"/>
        <w:rPr>
          <w:rFonts w:ascii="仿宋" w:hAnsi="仿宋" w:eastAsia="仿宋"/>
          <w:szCs w:val="32"/>
        </w:rPr>
      </w:pPr>
      <w:r>
        <w:rPr>
          <w:rFonts w:ascii="仿宋" w:hAnsi="仿宋" w:eastAsia="仿宋"/>
          <w:szCs w:val="32"/>
        </w:rPr>
        <w:t>5</w:t>
      </w:r>
      <w:r>
        <w:rPr>
          <w:rFonts w:hint="eastAsia" w:ascii="仿宋" w:hAnsi="仿宋" w:eastAsia="仿宋" w:cs="宋体"/>
          <w:szCs w:val="32"/>
        </w:rPr>
        <w:t>、</w:t>
      </w:r>
      <w:r>
        <w:rPr>
          <w:rFonts w:ascii="仿宋" w:hAnsi="仿宋" w:eastAsia="仿宋" w:cs="Arial"/>
          <w:szCs w:val="32"/>
          <w:shd w:val="clear" w:color="auto" w:fill="FCFCFC"/>
        </w:rPr>
        <w:t>按照国家、省和市有关科普工作的方针、政策、规定，制定全区科协系统科普工作的具体计划，并组织实施；广泛开展科普活动和青少年科技教育活动，推广先进技术；指导科普设施、场所的规划、建设、管理及科普工作队伍的建设工作。</w:t>
      </w:r>
    </w:p>
    <w:p>
      <w:pPr>
        <w:ind w:firstLine="640"/>
        <w:rPr>
          <w:rFonts w:ascii="仿宋" w:hAnsi="仿宋" w:eastAsia="仿宋"/>
          <w:szCs w:val="32"/>
        </w:rPr>
      </w:pPr>
      <w:r>
        <w:rPr>
          <w:rFonts w:hint="eastAsia" w:ascii="仿宋" w:hAnsi="仿宋" w:eastAsia="仿宋"/>
          <w:szCs w:val="32"/>
        </w:rPr>
        <w:t>6、</w:t>
      </w:r>
      <w:r>
        <w:rPr>
          <w:rFonts w:hint="eastAsia" w:ascii="仿宋" w:hAnsi="仿宋" w:eastAsia="仿宋" w:cs="宋体"/>
          <w:szCs w:val="32"/>
        </w:rPr>
        <w:t>为科技工作者服务的能力更强，把科协建成科技工作者之家。</w:t>
      </w:r>
    </w:p>
    <w:p>
      <w:pPr>
        <w:ind w:firstLine="640"/>
        <w:rPr>
          <w:rFonts w:ascii="仿宋" w:hAnsi="仿宋" w:eastAsia="仿宋"/>
          <w:szCs w:val="32"/>
        </w:rPr>
      </w:pPr>
      <w:r>
        <w:rPr>
          <w:rFonts w:hint="eastAsia" w:ascii="仿宋" w:hAnsi="仿宋" w:eastAsia="仿宋"/>
          <w:szCs w:val="32"/>
        </w:rPr>
        <w:t>7、</w:t>
      </w:r>
      <w:r>
        <w:rPr>
          <w:rFonts w:hint="eastAsia" w:ascii="仿宋_GB2312"/>
          <w:szCs w:val="32"/>
        </w:rPr>
        <w:t>承办区委区政府交办的其他事项。</w:t>
      </w:r>
    </w:p>
    <w:p>
      <w:pPr>
        <w:ind w:firstLine="1273" w:firstLineChars="398"/>
        <w:rPr>
          <w:rFonts w:ascii="仿宋_GB2312" w:hAnsi="黑体"/>
          <w:szCs w:val="32"/>
        </w:rPr>
      </w:pPr>
    </w:p>
    <w:p>
      <w:pPr>
        <w:ind w:firstLine="1273" w:firstLineChars="398"/>
        <w:rPr>
          <w:rFonts w:ascii="仿宋_GB2312" w:hAnsi="黑体"/>
          <w:szCs w:val="32"/>
        </w:rPr>
      </w:pPr>
    </w:p>
    <w:p>
      <w:pPr>
        <w:ind w:firstLine="1273" w:firstLineChars="398"/>
        <w:rPr>
          <w:rFonts w:ascii="仿宋_GB2312" w:hAnsi="黑体"/>
          <w:szCs w:val="32"/>
        </w:rPr>
      </w:pPr>
      <w:r>
        <w:rPr>
          <w:rFonts w:hint="eastAsia" w:ascii="仿宋_GB2312" w:hAnsi="黑体"/>
          <w:szCs w:val="32"/>
        </w:rPr>
        <w:t>二、部门决算单位构成</w:t>
      </w:r>
    </w:p>
    <w:bookmarkEnd w:id="8"/>
    <w:tbl>
      <w:tblPr>
        <w:tblStyle w:val="6"/>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351"/>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jc w:val="center"/>
              <w:rPr>
                <w:rFonts w:ascii="仿宋_GB2312" w:hAnsi="黑体"/>
                <w:sz w:val="28"/>
                <w:szCs w:val="28"/>
              </w:rPr>
            </w:pPr>
            <w:bookmarkStart w:id="9" w:name="OLE_LINK12"/>
            <w:r>
              <w:rPr>
                <w:rFonts w:hint="eastAsia" w:ascii="仿宋_GB2312" w:hAnsi="黑体" w:cs="仿宋_GB2312"/>
                <w:sz w:val="28"/>
                <w:szCs w:val="28"/>
              </w:rPr>
              <w:t>单位名称</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rPr>
                <w:rFonts w:ascii="仿宋_GB2312" w:hAnsi="黑体"/>
                <w:sz w:val="28"/>
                <w:szCs w:val="28"/>
              </w:rPr>
            </w:pPr>
            <w:r>
              <w:rPr>
                <w:rFonts w:hint="eastAsia" w:ascii="仿宋_GB2312" w:hAnsi="黑体" w:cs="仿宋_GB2312"/>
                <w:sz w:val="28"/>
                <w:szCs w:val="28"/>
              </w:rPr>
              <w:t>秦皇岛市海港区科学技术协会</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群众团体</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秦皇岛市海港区科学技术协会201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640" w:firstLine="640"/>
        <w:rPr>
          <w:rFonts w:hint="eastAsia" w:ascii="仿宋_GB2312"/>
          <w:szCs w:val="32"/>
          <w:lang w:eastAsia="zh-CN"/>
        </w:rPr>
      </w:pPr>
    </w:p>
    <w:p>
      <w:pPr>
        <w:ind w:left="0" w:leftChars="0" w:firstLine="0" w:firstLineChars="0"/>
        <w:rPr>
          <w:rFonts w:hint="eastAsia" w:ascii="仿宋_GB231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lang w:eastAsia="zh-CN"/>
        </w:rPr>
        <w:t>附件一：部门决算报表</w:t>
      </w: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hint="eastAsia"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秦皇岛市海港区科学技术协会201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黑体" w:hAnsi="黑体" w:eastAsia="黑体"/>
          <w:sz w:val="72"/>
          <w:szCs w:val="72"/>
        </w:rPr>
        <w:sectPr>
          <w:pgSz w:w="11906" w:h="16838"/>
          <w:pgMar w:top="1984" w:right="1531" w:bottom="1984" w:left="1531" w:header="851" w:footer="992" w:gutter="0"/>
          <w:paperSrc/>
          <w:cols w:space="0" w:num="1"/>
          <w:rtlGutter w:val="0"/>
          <w:docGrid w:type="linesAndChars" w:linePitch="435" w:charSpace="0"/>
        </w:sect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2017年度决算收入总计150.7万元，决算支出总计166.19万元，</w:t>
      </w:r>
      <w:bookmarkStart w:id="13" w:name="OLE_LINK37"/>
      <w:r>
        <w:rPr>
          <w:rFonts w:hint="eastAsia" w:ascii="仿宋_GB2312"/>
          <w:szCs w:val="32"/>
        </w:rPr>
        <w:t>年初结转和结余17.35万元，年末结转和结余1.86万元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年度收入与年初预算对比增加11.1万元，原因是：主要是人员经费及公用经费增加；与2</w:t>
      </w:r>
      <w:r>
        <w:rPr>
          <w:rFonts w:ascii="仿宋_GB2312"/>
          <w:szCs w:val="32"/>
        </w:rPr>
        <w:t>016</w:t>
      </w:r>
      <w:r>
        <w:rPr>
          <w:rFonts w:hint="eastAsia" w:ascii="仿宋_GB2312"/>
          <w:szCs w:val="32"/>
        </w:rPr>
        <w:t>年度收入相比，减少0.26万元，原因是：公用经费减少。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年度支出与年初预算对比增加26.59万元，原因是：主要是人员经费及公用经费增加；与2</w:t>
      </w:r>
      <w:r>
        <w:rPr>
          <w:rFonts w:ascii="仿宋_GB2312"/>
          <w:szCs w:val="32"/>
        </w:rPr>
        <w:t>016</w:t>
      </w:r>
      <w:r>
        <w:rPr>
          <w:rFonts w:hint="eastAsia" w:ascii="仿宋_GB2312"/>
          <w:szCs w:val="32"/>
        </w:rPr>
        <w:t>年度支出相比，增加31.3万元，原因是：人员经费及公用经费增加。</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150.7万元，其中：财政拨款收入150.7万元，占总收入 100</w:t>
      </w:r>
      <w:r>
        <w:rPr>
          <w:rFonts w:ascii="仿宋" w:hAnsi="仿宋" w:eastAsia="仿宋"/>
          <w:szCs w:val="32"/>
        </w:rPr>
        <w:t>%</w:t>
      </w:r>
      <w:r>
        <w:rPr>
          <w:rFonts w:hint="eastAsia" w:ascii="仿宋" w:hAnsi="仿宋" w:eastAsia="仿宋"/>
          <w:szCs w:val="32"/>
        </w:rPr>
        <w:t>；</w:t>
      </w:r>
      <w:bookmarkStart w:id="16" w:name="OLE_LINK32"/>
      <w:bookmarkStart w:id="17" w:name="OLE_LINK33"/>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年度支出合计166.19万元，其中：</w:t>
      </w:r>
      <w:bookmarkStart w:id="18" w:name="OLE_LINK35"/>
      <w:r>
        <w:rPr>
          <w:rFonts w:hint="eastAsia" w:ascii="仿宋" w:hAnsi="仿宋" w:eastAsia="仿宋"/>
          <w:szCs w:val="32"/>
        </w:rPr>
        <w:t>基本支出 166.19万元，占总支出100%；</w:t>
      </w:r>
      <w:bookmarkEnd w:id="18"/>
      <w:r>
        <w:rPr>
          <w:rFonts w:hint="eastAsia" w:ascii="仿宋" w:hAnsi="仿宋" w:eastAsia="仿宋"/>
          <w:szCs w:val="32"/>
        </w:rPr>
        <w:t>项目支出 0万元，占总支出0。</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150.7</w:t>
      </w:r>
      <w:r>
        <w:rPr>
          <w:rFonts w:hint="eastAsia" w:ascii="仿宋_GB2312"/>
          <w:szCs w:val="32"/>
        </w:rPr>
        <w:t>万元，财政拨款支出决算总计</w:t>
      </w:r>
      <w:r>
        <w:rPr>
          <w:rFonts w:hint="eastAsia" w:ascii="仿宋" w:hAnsi="仿宋" w:eastAsia="仿宋"/>
          <w:szCs w:val="32"/>
        </w:rPr>
        <w:t>166.19</w:t>
      </w:r>
      <w:r>
        <w:rPr>
          <w:rFonts w:hint="eastAsia" w:ascii="仿宋_GB2312"/>
          <w:szCs w:val="32"/>
        </w:rPr>
        <w:t>万元，年初结转和结余0万元，年末结转和结余1.86万元。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w:t>
      </w:r>
      <w:bookmarkEnd w:id="19"/>
      <w:r>
        <w:rPr>
          <w:rFonts w:hint="eastAsia" w:ascii="仿宋_GB2312"/>
          <w:szCs w:val="32"/>
        </w:rPr>
        <w:t>增加11.1万元，原因是：主要是人员经费及公用经费增加；与2</w:t>
      </w:r>
      <w:r>
        <w:rPr>
          <w:rFonts w:ascii="仿宋_GB2312"/>
          <w:szCs w:val="32"/>
        </w:rPr>
        <w:t>016</w:t>
      </w:r>
      <w:r>
        <w:rPr>
          <w:rFonts w:hint="eastAsia" w:ascii="仿宋_GB2312"/>
          <w:szCs w:val="32"/>
        </w:rPr>
        <w:t>年度收入相比，增加31.3万元，原因是：人员经费及公用经费增加。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年度财政拨款支出与年初预算对比增加26.59万元，原因是：人员经费及公用经费增加；与2</w:t>
      </w:r>
      <w:r>
        <w:rPr>
          <w:rFonts w:ascii="仿宋_GB2312"/>
          <w:szCs w:val="32"/>
        </w:rPr>
        <w:t>016</w:t>
      </w:r>
      <w:r>
        <w:rPr>
          <w:rFonts w:hint="eastAsia" w:ascii="仿宋_GB2312"/>
          <w:szCs w:val="32"/>
        </w:rPr>
        <w:t>年度支出相比，增加31.3万元，原因是：人员经费及公用经费增加。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7"/>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0.08</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-0.08</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其中：公务用车购置费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0.08</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-0.08</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hAnsi="仿宋" w:cs="仿宋"/>
          <w:szCs w:val="32"/>
          <w:lang w:bidi="ar"/>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年度“三公经费”支出总额0万元，与年初预算相比减少0.08万元，</w:t>
      </w:r>
      <w:bookmarkStart w:id="20" w:name="OLE_LINK38"/>
      <w:bookmarkStart w:id="21" w:name="OLE_LINK39"/>
      <w:bookmarkStart w:id="22" w:name="OLE_LINK8"/>
      <w:bookmarkStart w:id="23" w:name="OLE_LINK10"/>
      <w:r>
        <w:rPr>
          <w:rFonts w:hint="eastAsia" w:ascii="仿宋_GB2312"/>
          <w:szCs w:val="32"/>
        </w:rPr>
        <w:t>降低100%</w:t>
      </w:r>
      <w:bookmarkEnd w:id="20"/>
      <w:bookmarkEnd w:id="21"/>
      <w:r>
        <w:rPr>
          <w:rFonts w:hint="eastAsia" w:ascii="仿宋_GB2312"/>
          <w:szCs w:val="32"/>
        </w:rPr>
        <w:t>，</w:t>
      </w:r>
      <w:bookmarkEnd w:id="22"/>
      <w:bookmarkEnd w:id="23"/>
      <w:r>
        <w:rPr>
          <w:rFonts w:hint="eastAsia" w:ascii="仿宋_GB2312"/>
          <w:szCs w:val="32"/>
        </w:rPr>
        <w:t>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w:t>
      </w:r>
    </w:p>
    <w:p>
      <w:pPr>
        <w:ind w:firstLine="643"/>
        <w:rPr>
          <w:rFonts w:ascii="仿宋_GB2312" w:hAnsi="仿宋" w:cs="仿宋"/>
          <w:szCs w:val="32"/>
          <w:lang w:bidi="ar"/>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5"/>
      <w:bookmarkStart w:id="27" w:name="OLE_LINK16"/>
      <w:r>
        <w:rPr>
          <w:rFonts w:hint="eastAsia" w:ascii="仿宋_GB2312"/>
          <w:szCs w:val="32"/>
        </w:rPr>
        <w:t>费</w:t>
      </w:r>
      <w:bookmarkEnd w:id="25"/>
      <w:r>
        <w:rPr>
          <w:rFonts w:hint="eastAsia" w:ascii="仿宋_GB2312"/>
          <w:szCs w:val="32"/>
        </w:rPr>
        <w:t>0万元</w:t>
      </w:r>
      <w:bookmarkEnd w:id="26"/>
      <w:bookmarkEnd w:id="27"/>
      <w:r>
        <w:rPr>
          <w:rFonts w:hint="eastAsia" w:ascii="仿宋_GB2312"/>
          <w:szCs w:val="32"/>
        </w:rPr>
        <w:t>，与年初预算相比增加0万元，增长0%，原因是：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4"/>
      <w:bookmarkStart w:id="28" w:name="OLE_LINK9"/>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8"/>
      <w:bookmarkStart w:id="30" w:name="OLE_LINK19"/>
      <w:r>
        <w:rPr>
          <w:rFonts w:hint="eastAsia" w:ascii="仿宋_GB2312"/>
          <w:szCs w:val="32"/>
        </w:rPr>
        <w:t>度公务用车购置及运行维护费</w:t>
      </w:r>
      <w:bookmarkEnd w:id="29"/>
      <w:bookmarkEnd w:id="30"/>
      <w:r>
        <w:rPr>
          <w:rFonts w:hint="eastAsia" w:ascii="仿宋_GB2312"/>
          <w:szCs w:val="32"/>
        </w:rPr>
        <w:t>0万元，与年初预算相比增加0万元，增长0%，原因是：本部门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8"/>
      <w:r>
        <w:rPr>
          <w:rFonts w:hint="eastAsia" w:ascii="仿宋_GB2312"/>
          <w:szCs w:val="32"/>
        </w:rPr>
        <w:t>本部门</w:t>
      </w:r>
      <w:r>
        <w:rPr>
          <w:rFonts w:ascii="仿宋_GB2312"/>
          <w:szCs w:val="32"/>
        </w:rPr>
        <w:t>无公务用车</w:t>
      </w:r>
      <w:r>
        <w:rPr>
          <w:rFonts w:hint="eastAsia" w:ascii="仿宋_GB2312"/>
          <w:szCs w:val="32"/>
        </w:rPr>
        <w:t>。</w:t>
      </w:r>
    </w:p>
    <w:p>
      <w:pPr>
        <w:ind w:firstLine="640"/>
        <w:rPr>
          <w:rFonts w:ascii="仿宋" w:hAnsi="仿宋" w:eastAsia="仿宋"/>
        </w:rPr>
      </w:pPr>
      <w:r>
        <w:rPr>
          <w:rFonts w:hint="eastAsia" w:ascii="仿宋_GB2312"/>
          <w:szCs w:val="32"/>
        </w:rPr>
        <w:t>其中：公务用车购置费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公务用车购置费</w:t>
      </w:r>
      <w:r>
        <w:rPr>
          <w:rFonts w:hint="eastAsia" w:ascii="仿宋" w:hAnsi="仿宋" w:eastAsia="仿宋"/>
          <w:szCs w:val="32"/>
        </w:rPr>
        <w:t>总计0万元，年初预算为0万元，2016年度决算数为0万元，原因是：2017年未发生</w:t>
      </w:r>
      <w:r>
        <w:rPr>
          <w:rFonts w:hint="eastAsia" w:ascii="仿宋_GB2312"/>
          <w:szCs w:val="32"/>
        </w:rPr>
        <w:t>公务用车购置费</w:t>
      </w:r>
      <w:r>
        <w:rPr>
          <w:rFonts w:hint="eastAsia" w:ascii="仿宋" w:hAnsi="仿宋" w:eastAsia="仿宋"/>
          <w:szCs w:val="32"/>
        </w:rPr>
        <w:t>支出，年初预算未安排，2016年也未发生</w:t>
      </w:r>
      <w:r>
        <w:rPr>
          <w:rFonts w:hint="eastAsia" w:ascii="仿宋_GB2312"/>
          <w:szCs w:val="32"/>
        </w:rPr>
        <w:t>公务用车购置费</w:t>
      </w:r>
      <w:r>
        <w:rPr>
          <w:rFonts w:hint="eastAsia" w:ascii="仿宋" w:hAnsi="仿宋" w:eastAsia="仿宋"/>
          <w:szCs w:val="32"/>
        </w:rPr>
        <w:t>支出。</w:t>
      </w:r>
    </w:p>
    <w:p>
      <w:pPr>
        <w:ind w:firstLine="640"/>
        <w:rPr>
          <w:rFonts w:ascii="仿宋" w:hAnsi="仿宋" w:eastAsia="仿宋"/>
        </w:rPr>
      </w:pPr>
      <w:r>
        <w:rPr>
          <w:rFonts w:hint="eastAsia" w:ascii="仿宋_GB2312"/>
          <w:szCs w:val="32"/>
        </w:rPr>
        <w:t>其中：公务用车维护费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公务用车维护费</w:t>
      </w:r>
      <w:r>
        <w:rPr>
          <w:rFonts w:hint="eastAsia" w:ascii="仿宋" w:hAnsi="仿宋" w:eastAsia="仿宋"/>
          <w:szCs w:val="32"/>
        </w:rPr>
        <w:t>总计0万元，年初预算为0万元，2016年度决算数为0万元，原因是：2017年未发生</w:t>
      </w:r>
      <w:r>
        <w:rPr>
          <w:rFonts w:hint="eastAsia" w:ascii="仿宋_GB2312"/>
          <w:szCs w:val="32"/>
        </w:rPr>
        <w:t>公务用车维护费</w:t>
      </w:r>
      <w:r>
        <w:rPr>
          <w:rFonts w:hint="eastAsia" w:ascii="仿宋" w:hAnsi="仿宋" w:eastAsia="仿宋"/>
          <w:szCs w:val="32"/>
        </w:rPr>
        <w:t>支出，年初预算未安排，2016年也未发生</w:t>
      </w:r>
      <w:r>
        <w:rPr>
          <w:rFonts w:hint="eastAsia" w:ascii="仿宋_GB2312"/>
          <w:szCs w:val="32"/>
        </w:rPr>
        <w:t>公务用车维护费</w:t>
      </w:r>
      <w:r>
        <w:rPr>
          <w:rFonts w:hint="eastAsia" w:ascii="仿宋" w:hAnsi="仿宋" w:eastAsia="仿宋"/>
          <w:szCs w:val="32"/>
        </w:rPr>
        <w:t>支出。</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0万元，与年初预算相比减少0.08万元，</w:t>
      </w:r>
      <w:bookmarkStart w:id="32" w:name="OLE_LINK40"/>
      <w:bookmarkStart w:id="33" w:name="OLE_LINK41"/>
      <w:bookmarkStart w:id="34" w:name="OLE_LINK42"/>
      <w:bookmarkStart w:id="35" w:name="OLE_LINK43"/>
      <w:r>
        <w:rPr>
          <w:rFonts w:hint="eastAsia" w:ascii="仿宋_GB2312"/>
          <w:szCs w:val="32"/>
        </w:rPr>
        <w:t>降低100%</w:t>
      </w:r>
      <w:bookmarkEnd w:id="32"/>
      <w:bookmarkEnd w:id="33"/>
      <w:bookmarkEnd w:id="34"/>
      <w:bookmarkEnd w:id="35"/>
      <w:r>
        <w:rPr>
          <w:rFonts w:hint="eastAsia" w:ascii="仿宋_GB2312"/>
          <w:szCs w:val="32"/>
        </w:rPr>
        <w:t>，原因是：本部门全年无</w:t>
      </w:r>
      <w:r>
        <w:rPr>
          <w:rFonts w:ascii="仿宋_GB2312"/>
          <w:szCs w:val="32"/>
        </w:rPr>
        <w:t>公务接待费用</w:t>
      </w:r>
      <w:r>
        <w:rPr>
          <w:rFonts w:hint="eastAsia" w:ascii="仿宋_GB2312"/>
          <w:szCs w:val="32"/>
        </w:rPr>
        <w:t>，与2</w:t>
      </w:r>
      <w:r>
        <w:rPr>
          <w:rFonts w:ascii="仿宋_GB2312"/>
          <w:szCs w:val="32"/>
        </w:rPr>
        <w:t>016</w:t>
      </w:r>
      <w:r>
        <w:rPr>
          <w:rFonts w:hint="eastAsia" w:ascii="仿宋_GB2312"/>
          <w:szCs w:val="32"/>
        </w:rPr>
        <w:t>年度决算数相比增加0万元，增长0%，原因是：本部门全年无</w:t>
      </w:r>
      <w:r>
        <w:rPr>
          <w:rFonts w:ascii="仿宋_GB2312"/>
          <w:szCs w:val="32"/>
        </w:rPr>
        <w:t>公务接待费用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cs="仿宋_GB2312"/>
        </w:rPr>
      </w:pPr>
      <w:r>
        <w:rPr>
          <w:rFonts w:hint="eastAsia" w:ascii="仿宋_GB2312" w:cs="仿宋_GB2312"/>
        </w:rPr>
        <w:t>（一）预算绩效管理工作开展情况</w:t>
      </w:r>
    </w:p>
    <w:p>
      <w:pPr>
        <w:spacing w:line="500" w:lineRule="exact"/>
        <w:ind w:firstLine="640"/>
        <w:rPr>
          <w:rFonts w:ascii="仿宋" w:hAnsi="仿宋" w:eastAsia="仿宋"/>
          <w:szCs w:val="32"/>
        </w:rPr>
      </w:pPr>
      <w:r>
        <w:rPr>
          <w:rFonts w:hint="eastAsia" w:ascii="仿宋" w:hAnsi="仿宋" w:eastAsia="仿宋"/>
          <w:szCs w:val="32"/>
        </w:rPr>
        <w:t>实施《全民科学素质行动计划纲要》，改善科普设施，提升科普能力，开展多种形式的科普活动。</w:t>
      </w:r>
      <w:r>
        <w:rPr>
          <w:rFonts w:hint="eastAsia" w:ascii="仿宋" w:hAnsi="仿宋" w:eastAsia="仿宋" w:cs="宋体"/>
          <w:szCs w:val="32"/>
        </w:rPr>
        <w:t>加强科普设施建设，提升科普能力：组织各种学术交流活动，提升区级学会能力。</w:t>
      </w:r>
      <w:r>
        <w:rPr>
          <w:rFonts w:ascii="仿宋" w:hAnsi="仿宋" w:eastAsia="仿宋"/>
          <w:szCs w:val="32"/>
        </w:rPr>
        <w:t xml:space="preserve"> </w:t>
      </w:r>
    </w:p>
    <w:p>
      <w:pPr>
        <w:ind w:firstLine="640"/>
        <w:rPr>
          <w:rFonts w:ascii="仿宋_GB2312" w:cs="仿宋_GB2312"/>
        </w:rPr>
      </w:pPr>
      <w:r>
        <w:rPr>
          <w:rFonts w:hint="eastAsia" w:ascii="仿宋_GB2312" w:cs="仿宋_GB2312"/>
        </w:rPr>
        <w:t>（二）预算项目绩效评价开展情况</w:t>
      </w:r>
    </w:p>
    <w:p>
      <w:pPr>
        <w:ind w:firstLine="640"/>
        <w:rPr>
          <w:rFonts w:ascii="仿宋" w:hAnsi="仿宋" w:eastAsia="仿宋"/>
          <w:szCs w:val="32"/>
        </w:rPr>
      </w:pPr>
      <w:r>
        <w:rPr>
          <w:rFonts w:ascii="仿宋" w:hAnsi="仿宋" w:eastAsia="仿宋"/>
          <w:szCs w:val="32"/>
        </w:rPr>
        <w:t>提升重点人群科学素质，包括农民、社区居民、公务员和领导干部、青少年等；重点组织好全国科普日河北科普活动，组织参与科技周、防灾减灾日、食品安全宣传周、节水日、土地日等科普宣传周日和节能、环保等重点科普宣传活动;</w:t>
      </w:r>
    </w:p>
    <w:p>
      <w:pPr>
        <w:ind w:firstLine="640"/>
        <w:rPr>
          <w:rFonts w:ascii="仿宋_GB2312" w:cs="仿宋_GB2312"/>
        </w:rPr>
      </w:pPr>
      <w:r>
        <w:rPr>
          <w:rFonts w:hint="eastAsia" w:ascii="仿宋_GB2312" w:cs="仿宋_GB2312"/>
        </w:rPr>
        <w:t>（三）预算项目绩效自评选例</w:t>
      </w:r>
    </w:p>
    <w:p>
      <w:pPr>
        <w:ind w:firstLine="640"/>
        <w:rPr>
          <w:rFonts w:ascii="仿宋" w:hAnsi="仿宋" w:eastAsia="仿宋" w:cs="仿宋_GB2312"/>
        </w:rPr>
      </w:pPr>
      <w:r>
        <w:rPr>
          <w:rFonts w:hint="eastAsia" w:ascii="仿宋" w:hAnsi="仿宋" w:eastAsia="仿宋"/>
        </w:rPr>
        <w:t>加强全区科技馆体系建设，推动科普大篷车、流动科技馆建设，加强全民科学素质教育基地建设，加强科普设施、展品研发，建立互联网云科普、手机科普、数字科技馆等数字化科普公共服务平台。</w:t>
      </w:r>
    </w:p>
    <w:p>
      <w:pPr>
        <w:ind w:firstLine="640"/>
        <w:rPr>
          <w:rFonts w:ascii="仿宋_GB2312" w:cs="仿宋_GB2312"/>
        </w:rPr>
      </w:pPr>
      <w:r>
        <w:rPr>
          <w:rFonts w:hint="eastAsia" w:ascii="仿宋_GB2312" w:cs="仿宋_GB2312"/>
        </w:rPr>
        <w:t>（四）部门决算量化评价说明，</w:t>
      </w:r>
      <w:r>
        <w:rPr>
          <w:rFonts w:hint="eastAsia" w:ascii="仿宋" w:hAnsi="仿宋" w:eastAsia="仿宋" w:cs="仿宋_GB2312"/>
          <w:szCs w:val="32"/>
        </w:rPr>
        <w:t>我部门绩效预算执行情况通过部门决算软件进行测评后得分为77分，主要减分原因为：</w:t>
      </w:r>
      <w:r>
        <w:rPr>
          <w:rFonts w:ascii="仿宋" w:hAnsi="仿宋" w:eastAsia="仿宋" w:cs="仿宋_GB2312"/>
          <w:szCs w:val="32"/>
        </w:rPr>
        <w:t>1</w:t>
      </w:r>
      <w:r>
        <w:rPr>
          <w:rFonts w:hint="eastAsia" w:ascii="仿宋" w:hAnsi="仿宋" w:eastAsia="仿宋" w:cs="仿宋_GB2312"/>
          <w:szCs w:val="32"/>
        </w:rPr>
        <w:t>、财政拨款收入预决算差异率一项中减1分。</w:t>
      </w:r>
      <w:r>
        <w:rPr>
          <w:rFonts w:hint="eastAsia" w:ascii="仿宋" w:hAnsi="仿宋" w:eastAsia="仿宋"/>
          <w:szCs w:val="32"/>
        </w:rPr>
        <w:t>原因一是临时项目等原因申请本级预算追加指标；二是当年基本工资标准进行调整人员性支出大幅增加。以上原因导致我部门本年实际收入大于年初预算。2、年初结转和结余预决算差异率预决算差异率一项减5分，原因是年初结转和结余预决算差异较大。</w:t>
      </w:r>
      <w:r>
        <w:rPr>
          <w:rFonts w:hint="eastAsia" w:ascii="仿宋" w:hAnsi="仿宋" w:eastAsia="仿宋" w:cs="仿宋_GB2312"/>
          <w:szCs w:val="32"/>
        </w:rPr>
        <w:t>3、人员经费预决算差异率一项减0.5分，原因是</w:t>
      </w:r>
      <w:r>
        <w:rPr>
          <w:rFonts w:hint="eastAsia" w:ascii="仿宋" w:hAnsi="仿宋" w:eastAsia="仿宋"/>
          <w:szCs w:val="32"/>
        </w:rPr>
        <w:t>当年基本工资标准进行调整人员性支出大幅增加。4、公用经费预决算差异率一项减2分，原因是公用经费支出增加。5、</w:t>
      </w:r>
      <w:r>
        <w:rPr>
          <w:rFonts w:hint="eastAsia" w:ascii="仿宋" w:hAnsi="仿宋" w:eastAsia="仿宋" w:cs="仿宋_GB2312"/>
          <w:szCs w:val="32"/>
        </w:rPr>
        <w:t>财政拨款结转和结余上下年变动率一项减0.5分，</w:t>
      </w:r>
      <w:r>
        <w:rPr>
          <w:rFonts w:hint="eastAsia" w:ascii="仿宋" w:hAnsi="仿宋" w:eastAsia="仿宋"/>
          <w:szCs w:val="32"/>
        </w:rPr>
        <w:t>原因为本年财政拨款结转同比上年增加</w:t>
      </w:r>
      <w:r>
        <w:rPr>
          <w:rFonts w:hint="eastAsia" w:ascii="仿宋" w:hAnsi="仿宋" w:eastAsia="仿宋" w:cs="仿宋_GB2312"/>
          <w:szCs w:val="32"/>
        </w:rPr>
        <w:t>。</w:t>
      </w:r>
      <w:r>
        <w:rPr>
          <w:rFonts w:hint="eastAsia" w:ascii="仿宋" w:hAnsi="仿宋" w:eastAsia="仿宋"/>
          <w:szCs w:val="32"/>
        </w:rPr>
        <w:t>6、财政收回存量资金占上年财政拨款结转和结余比重一项减5分，本年有财政收回存量资金。7、“三公”经费支出预决算差异率一项减5分，原因是三公经费变化。8、在职人员控制率一项减3分，本部门超编。9一般公共预算财政拨款（补助）人员增减率减1分。</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年度本部门机关运行经费支出90.23万元，比201</w:t>
      </w:r>
      <w:r>
        <w:rPr>
          <w:rFonts w:ascii="仿宋_GB2312"/>
          <w:szCs w:val="32"/>
        </w:rPr>
        <w:t>6</w:t>
      </w:r>
      <w:r>
        <w:rPr>
          <w:rFonts w:hint="eastAsia" w:ascii="仿宋_GB2312"/>
          <w:szCs w:val="32"/>
        </w:rPr>
        <w:t>年度增加15.96万元，</w:t>
      </w:r>
      <w:bookmarkStart w:id="36" w:name="OLE_LINK6"/>
      <w:r>
        <w:rPr>
          <w:rFonts w:hint="eastAsia" w:ascii="仿宋_GB2312"/>
          <w:szCs w:val="32"/>
        </w:rPr>
        <w:t>增长28.24%</w:t>
      </w:r>
      <w:bookmarkEnd w:id="36"/>
      <w:r>
        <w:rPr>
          <w:rFonts w:hint="eastAsia" w:ascii="仿宋_GB2312"/>
          <w:szCs w:val="32"/>
        </w:rPr>
        <w:t>。主要原因是：日常公用经费支出增加。</w:t>
      </w:r>
    </w:p>
    <w:p>
      <w:pPr>
        <w:ind w:firstLine="643"/>
        <w:rPr>
          <w:rFonts w:ascii="仿宋_GB2312"/>
          <w:szCs w:val="32"/>
        </w:rPr>
      </w:pPr>
      <w:r>
        <w:rPr>
          <w:rFonts w:hint="eastAsia" w:ascii="仿宋" w:hAnsi="仿宋" w:eastAsia="仿宋"/>
          <w:b/>
          <w:szCs w:val="32"/>
        </w:rPr>
        <w:t>2．政府采购情况</w:t>
      </w:r>
      <w:bookmarkStart w:id="37" w:name="OLE_LINK48"/>
      <w:bookmarkStart w:id="38" w:name="OLE_LINK49"/>
      <w:bookmarkStart w:id="39" w:name="OLE_LINK50"/>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年度本部门政府采购支出总额9.53万元，其中：政府采购货物支出9.53万元、政府采购工程支出0万元、政府采购服</w:t>
      </w:r>
      <w:bookmarkEnd w:id="37"/>
      <w:bookmarkEnd w:id="38"/>
      <w:bookmarkEnd w:id="39"/>
      <w:r>
        <w:rPr>
          <w:rFonts w:hint="eastAsia" w:ascii="仿宋_GB2312"/>
          <w:szCs w:val="32"/>
        </w:rPr>
        <w:t>务支出0万元。</w:t>
      </w:r>
    </w:p>
    <w:p>
      <w:pPr>
        <w:ind w:firstLine="643"/>
        <w:rPr>
          <w:rFonts w:hint="eastAsia" w:ascii="仿宋" w:hAnsi="仿宋" w:eastAsia="仿宋"/>
          <w:b/>
          <w:szCs w:val="32"/>
        </w:rPr>
      </w:pPr>
      <w:r>
        <w:rPr>
          <w:rFonts w:hint="eastAsia" w:ascii="仿宋" w:hAnsi="仿宋" w:eastAsia="仿宋"/>
          <w:b/>
          <w:szCs w:val="32"/>
        </w:rPr>
        <w:t>3．国有资产占用情况。</w:t>
      </w:r>
    </w:p>
    <w:p>
      <w:pPr>
        <w:ind w:firstLine="643"/>
        <w:rPr>
          <w:rFonts w:hint="eastAsia" w:ascii="仿宋" w:hAnsi="仿宋" w:eastAsia="仿宋"/>
          <w:b/>
          <w:szCs w:val="32"/>
        </w:rPr>
        <w:sectPr>
          <w:pgSz w:w="11906" w:h="16838"/>
          <w:pgMar w:top="1984" w:right="1531" w:bottom="1984" w:left="1531" w:header="851" w:footer="992" w:gutter="0"/>
          <w:paperSrc/>
          <w:cols w:space="0" w:num="1"/>
          <w:rtlGutter w:val="0"/>
          <w:docGrid w:type="linesAndChars" w:linePitch="435" w:charSpace="0"/>
        </w:sectPr>
      </w:pPr>
    </w:p>
    <w:tbl>
      <w:tblPr>
        <w:tblStyle w:val="6"/>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40.61</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24.71</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18.55</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2.57</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22.06</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22.14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89"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ind w:firstLine="0" w:firstLineChars="0"/>
        <w:rPr>
          <w:rFonts w:hint="eastAsia" w:ascii="仿宋_GB2312"/>
          <w:szCs w:val="32"/>
        </w:rPr>
      </w:pPr>
    </w:p>
    <w:p>
      <w:pPr>
        <w:ind w:firstLine="640"/>
        <w:rPr>
          <w:rFonts w:hint="eastAsia" w:ascii="仿宋_GB2312"/>
          <w:szCs w:val="32"/>
        </w:rPr>
        <w:sectPr>
          <w:pgSz w:w="16838" w:h="11906" w:orient="landscape"/>
          <w:pgMar w:top="1531" w:right="1984" w:bottom="1531" w:left="1984" w:header="851" w:footer="992" w:gutter="0"/>
          <w:paperSrc/>
          <w:cols w:space="0" w:num="1"/>
          <w:rtlGutter w:val="0"/>
          <w:docGrid w:type="linesAndChars" w:linePitch="442" w:charSpace="0"/>
        </w:sectPr>
      </w:pPr>
    </w:p>
    <w:p>
      <w:pPr>
        <w:ind w:firstLine="640"/>
        <w:rPr>
          <w:rFonts w:hint="eastAsia"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年12月31日，固定资产22.14万元，与2016年相比增加0.08万元，主要原因是：办公室增加路由器1台0.08万元</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年12月31日，本部门共有车辆0辆，其中，一般公务用车0辆、一般执法执勤用车0辆、特种专业技术用车0辆、其他用车0辆，单位价值200万元以上大型设备0台（套）。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40" w:name="OLE_LINK46"/>
      <w:bookmarkStart w:id="41" w:name="OLE_LINK47"/>
      <w:r>
        <w:rPr>
          <w:rFonts w:hint="eastAsia" w:ascii="仿宋" w:hAnsi="仿宋" w:eastAsia="仿宋"/>
          <w:szCs w:val="32"/>
        </w:rPr>
        <w:t>2017年会议费总计0万元，年初预算为0万元，2016年度决算数为0万元，原因是：2017年未发生会议费支出，年初预算未安排，2016年也未发生会议费支出。</w:t>
      </w:r>
    </w:p>
    <w:bookmarkEnd w:id="40"/>
    <w:bookmarkEnd w:id="41"/>
    <w:p>
      <w:pPr>
        <w:ind w:firstLine="640"/>
        <w:rPr>
          <w:rFonts w:ascii="仿宋" w:hAnsi="仿宋" w:eastAsia="仿宋"/>
        </w:rPr>
      </w:pPr>
      <w:r>
        <w:rPr>
          <w:rFonts w:hint="eastAsia" w:ascii="仿宋" w:hAnsi="仿宋" w:eastAsia="仿宋" w:cs="仿宋"/>
        </w:rPr>
        <w:t>培训费支出情况。</w:t>
      </w:r>
      <w:r>
        <w:rPr>
          <w:rFonts w:hint="eastAsia" w:ascii="仿宋" w:hAnsi="仿宋" w:eastAsia="仿宋"/>
          <w:szCs w:val="32"/>
        </w:rPr>
        <w:t>2017年培训费总计0万元，年初预算为0万元，2016年度决算数为0万元，原因是：2017年未发生培训费支出，年初预算未安排，2016年也未发生培训费支出。</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paperSrc/>
      <w:cols w:space="0" w:num="1"/>
      <w:rtlGutter w:val="0"/>
      <w:docGrid w:type="linesAndChars" w:linePitch="442"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18</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56B2"/>
    <w:multiLevelType w:val="multilevel"/>
    <w:tmpl w:val="2D9156B2"/>
    <w:lvl w:ilvl="0" w:tentative="0">
      <w:start w:val="1"/>
      <w:numFmt w:val="none"/>
      <w:lvlText w:val="一、"/>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4"/>
  <w:drawingGridVerticalSpacing w:val="22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576B0"/>
    <w:rsid w:val="000C08B5"/>
    <w:rsid w:val="000F00FD"/>
    <w:rsid w:val="001010BC"/>
    <w:rsid w:val="0011224D"/>
    <w:rsid w:val="00127C8F"/>
    <w:rsid w:val="001300C2"/>
    <w:rsid w:val="00155A0C"/>
    <w:rsid w:val="00172A9E"/>
    <w:rsid w:val="00175A3A"/>
    <w:rsid w:val="0017741E"/>
    <w:rsid w:val="0019263B"/>
    <w:rsid w:val="001D4513"/>
    <w:rsid w:val="001F41FA"/>
    <w:rsid w:val="00204503"/>
    <w:rsid w:val="00231700"/>
    <w:rsid w:val="00245926"/>
    <w:rsid w:val="00271D6D"/>
    <w:rsid w:val="0027309A"/>
    <w:rsid w:val="00273E03"/>
    <w:rsid w:val="0029596B"/>
    <w:rsid w:val="00296757"/>
    <w:rsid w:val="002A3356"/>
    <w:rsid w:val="002C2FB8"/>
    <w:rsid w:val="002D1C92"/>
    <w:rsid w:val="002D57E3"/>
    <w:rsid w:val="002F45BE"/>
    <w:rsid w:val="00305FCB"/>
    <w:rsid w:val="00310A7C"/>
    <w:rsid w:val="00312F9F"/>
    <w:rsid w:val="003155B1"/>
    <w:rsid w:val="00333A30"/>
    <w:rsid w:val="0036137F"/>
    <w:rsid w:val="003B0497"/>
    <w:rsid w:val="003C1713"/>
    <w:rsid w:val="003D144F"/>
    <w:rsid w:val="003E252C"/>
    <w:rsid w:val="003F1E51"/>
    <w:rsid w:val="003F6043"/>
    <w:rsid w:val="00404BA5"/>
    <w:rsid w:val="00405DD5"/>
    <w:rsid w:val="00412C54"/>
    <w:rsid w:val="00443128"/>
    <w:rsid w:val="00450D4D"/>
    <w:rsid w:val="00482ED0"/>
    <w:rsid w:val="004E7B5F"/>
    <w:rsid w:val="004F1F8E"/>
    <w:rsid w:val="00502034"/>
    <w:rsid w:val="005046AD"/>
    <w:rsid w:val="005268ED"/>
    <w:rsid w:val="00536AD1"/>
    <w:rsid w:val="00562ED9"/>
    <w:rsid w:val="00582C2F"/>
    <w:rsid w:val="00593550"/>
    <w:rsid w:val="00594763"/>
    <w:rsid w:val="005C39CD"/>
    <w:rsid w:val="005C5A21"/>
    <w:rsid w:val="005C7CFB"/>
    <w:rsid w:val="005E2EB4"/>
    <w:rsid w:val="005E382E"/>
    <w:rsid w:val="006263FE"/>
    <w:rsid w:val="00630D6A"/>
    <w:rsid w:val="00632195"/>
    <w:rsid w:val="006508EE"/>
    <w:rsid w:val="00661402"/>
    <w:rsid w:val="00661FC6"/>
    <w:rsid w:val="00682F9B"/>
    <w:rsid w:val="006A1D43"/>
    <w:rsid w:val="006A5268"/>
    <w:rsid w:val="006B012E"/>
    <w:rsid w:val="006B4BDF"/>
    <w:rsid w:val="006C00CA"/>
    <w:rsid w:val="006D6A17"/>
    <w:rsid w:val="006E76B4"/>
    <w:rsid w:val="006F5699"/>
    <w:rsid w:val="006F7A05"/>
    <w:rsid w:val="00712D5F"/>
    <w:rsid w:val="00746674"/>
    <w:rsid w:val="007C4984"/>
    <w:rsid w:val="007D592B"/>
    <w:rsid w:val="0080381A"/>
    <w:rsid w:val="00825404"/>
    <w:rsid w:val="00830C9C"/>
    <w:rsid w:val="00850EA9"/>
    <w:rsid w:val="008529DA"/>
    <w:rsid w:val="008716D0"/>
    <w:rsid w:val="008951B5"/>
    <w:rsid w:val="008B55B4"/>
    <w:rsid w:val="008C65A7"/>
    <w:rsid w:val="008D22C3"/>
    <w:rsid w:val="008F3A14"/>
    <w:rsid w:val="00904747"/>
    <w:rsid w:val="00904D1F"/>
    <w:rsid w:val="0092275C"/>
    <w:rsid w:val="00934E53"/>
    <w:rsid w:val="00937A08"/>
    <w:rsid w:val="00952574"/>
    <w:rsid w:val="00965AC4"/>
    <w:rsid w:val="0099564E"/>
    <w:rsid w:val="009A2241"/>
    <w:rsid w:val="009A77FA"/>
    <w:rsid w:val="009D3E47"/>
    <w:rsid w:val="009F4499"/>
    <w:rsid w:val="00A05198"/>
    <w:rsid w:val="00A10D76"/>
    <w:rsid w:val="00A13A55"/>
    <w:rsid w:val="00A266EB"/>
    <w:rsid w:val="00A40512"/>
    <w:rsid w:val="00A4272B"/>
    <w:rsid w:val="00A513A6"/>
    <w:rsid w:val="00A60831"/>
    <w:rsid w:val="00A920FB"/>
    <w:rsid w:val="00A93803"/>
    <w:rsid w:val="00AA33A5"/>
    <w:rsid w:val="00AB34E3"/>
    <w:rsid w:val="00AC76D6"/>
    <w:rsid w:val="00AF2C1C"/>
    <w:rsid w:val="00B42B02"/>
    <w:rsid w:val="00B701EF"/>
    <w:rsid w:val="00B72BF5"/>
    <w:rsid w:val="00B760BF"/>
    <w:rsid w:val="00B86180"/>
    <w:rsid w:val="00B96A7F"/>
    <w:rsid w:val="00BA26B2"/>
    <w:rsid w:val="00BB55D2"/>
    <w:rsid w:val="00BC4069"/>
    <w:rsid w:val="00BC625F"/>
    <w:rsid w:val="00BF1C0F"/>
    <w:rsid w:val="00BF36AB"/>
    <w:rsid w:val="00C330F7"/>
    <w:rsid w:val="00C36EFE"/>
    <w:rsid w:val="00C62732"/>
    <w:rsid w:val="00C6739C"/>
    <w:rsid w:val="00CE7AA1"/>
    <w:rsid w:val="00CF1175"/>
    <w:rsid w:val="00CF7D21"/>
    <w:rsid w:val="00D145A9"/>
    <w:rsid w:val="00D2211A"/>
    <w:rsid w:val="00D2301D"/>
    <w:rsid w:val="00D34D1F"/>
    <w:rsid w:val="00D4698B"/>
    <w:rsid w:val="00D51081"/>
    <w:rsid w:val="00D60386"/>
    <w:rsid w:val="00D82AF5"/>
    <w:rsid w:val="00D87BD4"/>
    <w:rsid w:val="00DC4AB9"/>
    <w:rsid w:val="00DE2F03"/>
    <w:rsid w:val="00E03175"/>
    <w:rsid w:val="00E234AC"/>
    <w:rsid w:val="00E5216F"/>
    <w:rsid w:val="00E7487B"/>
    <w:rsid w:val="00E953A9"/>
    <w:rsid w:val="00EA5972"/>
    <w:rsid w:val="00EB45A9"/>
    <w:rsid w:val="00EB63A9"/>
    <w:rsid w:val="00EC62AA"/>
    <w:rsid w:val="00ED09E5"/>
    <w:rsid w:val="00ED2BC0"/>
    <w:rsid w:val="00ED6876"/>
    <w:rsid w:val="00ED6B4C"/>
    <w:rsid w:val="00EE7670"/>
    <w:rsid w:val="00EF493B"/>
    <w:rsid w:val="00F0518B"/>
    <w:rsid w:val="00F05F78"/>
    <w:rsid w:val="00F06F8D"/>
    <w:rsid w:val="00F43B6E"/>
    <w:rsid w:val="00F62DDD"/>
    <w:rsid w:val="00F7462B"/>
    <w:rsid w:val="00F9758A"/>
    <w:rsid w:val="00FB4825"/>
    <w:rsid w:val="00FC3BAC"/>
    <w:rsid w:val="00FD5BCA"/>
    <w:rsid w:val="00FF65FE"/>
    <w:rsid w:val="7D71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7">
    <w:name w:val="Table Grid"/>
    <w:basedOn w:val="6"/>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libri" w:hAnsi="Calibri" w:eastAsia="宋体" w:cs="Times New Roman"/>
      <w:kern w:val="0"/>
      <w:sz w:val="18"/>
      <w:szCs w:val="18"/>
    </w:rPr>
  </w:style>
  <w:style w:type="character" w:customStyle="1" w:styleId="9">
    <w:name w:val="页脚 Char"/>
    <w:basedOn w:val="5"/>
    <w:link w:val="3"/>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customStyle="1" w:styleId="11">
    <w:name w:val="批注框文本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134D7-D94B-4A8D-937D-F73962AE3C48}">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24</Pages>
  <Words>940</Words>
  <Characters>5359</Characters>
  <Lines>44</Lines>
  <Paragraphs>12</Paragraphs>
  <TotalTime>16</TotalTime>
  <ScaleCrop>false</ScaleCrop>
  <LinksUpToDate>false</LinksUpToDate>
  <CharactersWithSpaces>6287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2019-03-12T00:46:00Z</dcterms:created>
  <dc:creator>jia</dc:creator>
  <cp:lastModifiedBy>Lenovo</cp:lastModifiedBy>
  <dcterms:modified xsi:type="dcterms:W3CDTF">2019-03-12T09:16:34Z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