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B9" w:rsidRPr="0096683F" w:rsidRDefault="000C2FB9" w:rsidP="000C2FB9">
      <w:pPr>
        <w:adjustRightInd w:val="0"/>
        <w:snapToGrid w:val="0"/>
        <w:spacing w:afterLines="50" w:line="560" w:lineRule="exact"/>
        <w:jc w:val="center"/>
        <w:rPr>
          <w:rFonts w:ascii="方正小标宋简体" w:eastAsia="方正小标宋简体" w:hAnsi="宋体"/>
          <w:color w:val="000000"/>
          <w:sz w:val="44"/>
          <w:szCs w:val="44"/>
        </w:rPr>
      </w:pPr>
      <w:r w:rsidRPr="0096683F">
        <w:rPr>
          <w:rFonts w:ascii="方正小标宋简体" w:eastAsia="方正小标宋简体" w:hAnsi="宋体" w:cs="方正小标宋简体" w:hint="eastAsia"/>
          <w:color w:val="000000"/>
          <w:sz w:val="44"/>
          <w:szCs w:val="44"/>
        </w:rPr>
        <w:t>事件分级标准及响应级别</w:t>
      </w:r>
    </w:p>
    <w:tbl>
      <w:tblPr>
        <w:tblW w:w="10092" w:type="dxa"/>
        <w:jc w:val="center"/>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5670"/>
        <w:gridCol w:w="1276"/>
        <w:gridCol w:w="1444"/>
      </w:tblGrid>
      <w:tr w:rsidR="000C2FB9" w:rsidRPr="007B28FF" w:rsidTr="00172BB6">
        <w:trPr>
          <w:trHeight w:val="565"/>
          <w:jc w:val="center"/>
        </w:trPr>
        <w:tc>
          <w:tcPr>
            <w:tcW w:w="1702" w:type="dxa"/>
            <w:vAlign w:val="center"/>
          </w:tcPr>
          <w:p w:rsidR="000C2FB9" w:rsidRPr="007B28FF" w:rsidRDefault="000C2FB9" w:rsidP="00172BB6">
            <w:pPr>
              <w:adjustRightInd w:val="0"/>
              <w:snapToGrid w:val="0"/>
              <w:spacing w:line="480" w:lineRule="exact"/>
              <w:jc w:val="center"/>
              <w:rPr>
                <w:rFonts w:eastAsia="黑体"/>
                <w:color w:val="000000"/>
                <w:kern w:val="0"/>
                <w:sz w:val="24"/>
                <w:szCs w:val="24"/>
              </w:rPr>
            </w:pPr>
            <w:r w:rsidRPr="007B28FF">
              <w:rPr>
                <w:rFonts w:eastAsia="黑体" w:hAnsi="黑体"/>
                <w:color w:val="000000"/>
                <w:kern w:val="0"/>
                <w:sz w:val="24"/>
                <w:szCs w:val="24"/>
              </w:rPr>
              <w:t>分级</w:t>
            </w:r>
          </w:p>
        </w:tc>
        <w:tc>
          <w:tcPr>
            <w:tcW w:w="5670" w:type="dxa"/>
            <w:vAlign w:val="center"/>
          </w:tcPr>
          <w:p w:rsidR="000C2FB9" w:rsidRPr="007159C7" w:rsidRDefault="000C2FB9" w:rsidP="00172BB6">
            <w:pPr>
              <w:adjustRightInd w:val="0"/>
              <w:snapToGrid w:val="0"/>
              <w:spacing w:line="480" w:lineRule="exact"/>
              <w:jc w:val="center"/>
              <w:rPr>
                <w:rFonts w:ascii="黑体" w:eastAsia="黑体" w:hAnsi="黑体"/>
                <w:color w:val="000000"/>
                <w:kern w:val="0"/>
                <w:sz w:val="24"/>
                <w:szCs w:val="24"/>
              </w:rPr>
            </w:pPr>
            <w:r w:rsidRPr="007159C7">
              <w:rPr>
                <w:rFonts w:ascii="黑体" w:eastAsia="黑体" w:hAnsi="黑体"/>
                <w:color w:val="000000"/>
                <w:kern w:val="0"/>
                <w:sz w:val="24"/>
                <w:szCs w:val="24"/>
              </w:rPr>
              <w:t>标</w:t>
            </w:r>
            <w:r w:rsidRPr="007159C7">
              <w:rPr>
                <w:rFonts w:ascii="黑体" w:eastAsia="黑体" w:hAnsi="黑体" w:hint="eastAsia"/>
                <w:color w:val="000000"/>
                <w:kern w:val="0"/>
                <w:sz w:val="24"/>
                <w:szCs w:val="24"/>
              </w:rPr>
              <w:t>准(符合其中一项可定为相应级别)</w:t>
            </w:r>
          </w:p>
        </w:tc>
        <w:tc>
          <w:tcPr>
            <w:tcW w:w="1276" w:type="dxa"/>
            <w:vAlign w:val="center"/>
          </w:tcPr>
          <w:p w:rsidR="000C2FB9" w:rsidRPr="007B28FF" w:rsidRDefault="000C2FB9" w:rsidP="00172BB6">
            <w:pPr>
              <w:adjustRightInd w:val="0"/>
              <w:snapToGrid w:val="0"/>
              <w:spacing w:line="480" w:lineRule="exact"/>
              <w:jc w:val="center"/>
              <w:rPr>
                <w:rFonts w:eastAsia="黑体"/>
                <w:color w:val="000000"/>
                <w:kern w:val="0"/>
                <w:sz w:val="24"/>
                <w:szCs w:val="24"/>
              </w:rPr>
            </w:pPr>
            <w:r w:rsidRPr="007B28FF">
              <w:rPr>
                <w:rFonts w:eastAsia="黑体" w:hAnsi="黑体"/>
                <w:color w:val="000000"/>
                <w:kern w:val="0"/>
                <w:sz w:val="24"/>
                <w:szCs w:val="24"/>
              </w:rPr>
              <w:t>响应级别</w:t>
            </w:r>
          </w:p>
        </w:tc>
        <w:tc>
          <w:tcPr>
            <w:tcW w:w="1444" w:type="dxa"/>
            <w:vAlign w:val="center"/>
          </w:tcPr>
          <w:p w:rsidR="000C2FB9" w:rsidRPr="007B28FF" w:rsidRDefault="000C2FB9" w:rsidP="00172BB6">
            <w:pPr>
              <w:adjustRightInd w:val="0"/>
              <w:snapToGrid w:val="0"/>
              <w:spacing w:line="480" w:lineRule="exact"/>
              <w:jc w:val="center"/>
              <w:rPr>
                <w:rFonts w:eastAsia="黑体"/>
                <w:color w:val="000000"/>
                <w:kern w:val="0"/>
                <w:sz w:val="24"/>
                <w:szCs w:val="24"/>
              </w:rPr>
            </w:pPr>
            <w:r w:rsidRPr="007B28FF">
              <w:rPr>
                <w:rFonts w:eastAsia="黑体" w:hAnsi="黑体"/>
                <w:color w:val="000000"/>
                <w:kern w:val="0"/>
                <w:sz w:val="24"/>
                <w:szCs w:val="24"/>
              </w:rPr>
              <w:t>启动级别</w:t>
            </w:r>
          </w:p>
        </w:tc>
      </w:tr>
      <w:tr w:rsidR="000C2FB9" w:rsidRPr="007B28FF" w:rsidTr="00172BB6">
        <w:trPr>
          <w:trHeight w:val="1706"/>
          <w:jc w:val="center"/>
        </w:trPr>
        <w:tc>
          <w:tcPr>
            <w:tcW w:w="1702" w:type="dxa"/>
            <w:vAlign w:val="center"/>
          </w:tcPr>
          <w:p w:rsidR="000C2FB9" w:rsidRDefault="000C2FB9" w:rsidP="00172BB6">
            <w:pPr>
              <w:adjustRightInd w:val="0"/>
              <w:snapToGrid w:val="0"/>
              <w:spacing w:line="480" w:lineRule="exact"/>
              <w:jc w:val="center"/>
              <w:rPr>
                <w:rFonts w:eastAsia="仿宋_GB2312" w:hint="eastAsia"/>
                <w:color w:val="000000"/>
                <w:kern w:val="0"/>
                <w:sz w:val="24"/>
                <w:szCs w:val="24"/>
              </w:rPr>
            </w:pPr>
            <w:r w:rsidRPr="007B28FF">
              <w:rPr>
                <w:rFonts w:eastAsia="仿宋_GB2312"/>
                <w:color w:val="000000"/>
                <w:kern w:val="0"/>
                <w:sz w:val="24"/>
                <w:szCs w:val="24"/>
              </w:rPr>
              <w:t>特别重大</w:t>
            </w:r>
          </w:p>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食品安全突发事件</w:t>
            </w:r>
          </w:p>
        </w:tc>
        <w:tc>
          <w:tcPr>
            <w:tcW w:w="5670" w:type="dxa"/>
            <w:vAlign w:val="center"/>
          </w:tcPr>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1</w:t>
            </w:r>
            <w:r w:rsidRPr="007B28FF">
              <w:rPr>
                <w:rFonts w:eastAsia="仿宋_GB2312"/>
                <w:color w:val="000000"/>
                <w:kern w:val="0"/>
                <w:sz w:val="24"/>
                <w:szCs w:val="24"/>
              </w:rPr>
              <w:t>）受污染食品流入</w:t>
            </w:r>
            <w:r w:rsidRPr="007B28FF">
              <w:rPr>
                <w:rFonts w:eastAsia="仿宋_GB2312"/>
                <w:color w:val="000000"/>
                <w:kern w:val="0"/>
                <w:sz w:val="24"/>
                <w:szCs w:val="24"/>
              </w:rPr>
              <w:t>2</w:t>
            </w:r>
            <w:r w:rsidRPr="007B28FF">
              <w:rPr>
                <w:rFonts w:eastAsia="仿宋_GB2312"/>
                <w:color w:val="000000"/>
                <w:kern w:val="0"/>
                <w:sz w:val="24"/>
                <w:szCs w:val="24"/>
              </w:rPr>
              <w:t>个以上省份、港澳台地区或国（境）外，造成特别严重健康损害后果的；或经评估认为事件危害特别严重的；</w:t>
            </w:r>
          </w:p>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2</w:t>
            </w:r>
            <w:r w:rsidRPr="007B28FF">
              <w:rPr>
                <w:rFonts w:eastAsia="仿宋_GB2312"/>
                <w:color w:val="000000"/>
                <w:kern w:val="0"/>
                <w:sz w:val="24"/>
                <w:szCs w:val="24"/>
              </w:rPr>
              <w:t>）国务院认定的其他</w:t>
            </w:r>
            <w:r w:rsidRPr="007B28FF">
              <w:rPr>
                <w:rFonts w:eastAsia="仿宋_GB2312"/>
                <w:color w:val="000000"/>
                <w:kern w:val="0"/>
                <w:sz w:val="24"/>
                <w:szCs w:val="24"/>
              </w:rPr>
              <w:t>Ⅰ</w:t>
            </w:r>
            <w:r w:rsidRPr="007B28FF">
              <w:rPr>
                <w:rFonts w:eastAsia="仿宋_GB2312"/>
                <w:color w:val="000000"/>
                <w:kern w:val="0"/>
                <w:sz w:val="24"/>
                <w:szCs w:val="24"/>
              </w:rPr>
              <w:t>级食品安全突发事件。</w:t>
            </w:r>
          </w:p>
        </w:tc>
        <w:tc>
          <w:tcPr>
            <w:tcW w:w="1276"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Ⅰ</w:t>
            </w:r>
            <w:r w:rsidRPr="007B28FF">
              <w:rPr>
                <w:rFonts w:eastAsia="仿宋_GB2312"/>
                <w:color w:val="000000"/>
                <w:kern w:val="0"/>
                <w:sz w:val="24"/>
                <w:szCs w:val="24"/>
              </w:rPr>
              <w:t>级响应</w:t>
            </w:r>
          </w:p>
        </w:tc>
        <w:tc>
          <w:tcPr>
            <w:tcW w:w="1444"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国家级</w:t>
            </w:r>
          </w:p>
        </w:tc>
      </w:tr>
      <w:tr w:rsidR="000C2FB9" w:rsidRPr="007B28FF" w:rsidTr="00172BB6">
        <w:trPr>
          <w:trHeight w:val="2808"/>
          <w:jc w:val="center"/>
        </w:trPr>
        <w:tc>
          <w:tcPr>
            <w:tcW w:w="1702"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重大</w:t>
            </w:r>
          </w:p>
          <w:p w:rsidR="000C2FB9" w:rsidRDefault="000C2FB9" w:rsidP="00172BB6">
            <w:pPr>
              <w:adjustRightInd w:val="0"/>
              <w:snapToGrid w:val="0"/>
              <w:spacing w:line="480" w:lineRule="exact"/>
              <w:jc w:val="center"/>
              <w:rPr>
                <w:rFonts w:eastAsia="仿宋_GB2312" w:hint="eastAsia"/>
                <w:color w:val="000000"/>
                <w:kern w:val="0"/>
                <w:sz w:val="24"/>
                <w:szCs w:val="24"/>
              </w:rPr>
            </w:pPr>
            <w:r w:rsidRPr="007B28FF">
              <w:rPr>
                <w:rFonts w:eastAsia="仿宋_GB2312"/>
                <w:color w:val="000000"/>
                <w:kern w:val="0"/>
                <w:sz w:val="24"/>
                <w:szCs w:val="24"/>
              </w:rPr>
              <w:t>食品安全</w:t>
            </w:r>
          </w:p>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突发事件</w:t>
            </w:r>
          </w:p>
        </w:tc>
        <w:tc>
          <w:tcPr>
            <w:tcW w:w="5670" w:type="dxa"/>
            <w:vAlign w:val="center"/>
          </w:tcPr>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1</w:t>
            </w:r>
            <w:r w:rsidRPr="007B28FF">
              <w:rPr>
                <w:rFonts w:eastAsia="仿宋_GB2312"/>
                <w:color w:val="000000"/>
                <w:kern w:val="0"/>
                <w:sz w:val="24"/>
                <w:szCs w:val="24"/>
              </w:rPr>
              <w:t>）受污染食品流入</w:t>
            </w:r>
            <w:r w:rsidRPr="007B28FF">
              <w:rPr>
                <w:rFonts w:eastAsia="仿宋_GB2312"/>
                <w:color w:val="000000"/>
                <w:kern w:val="0"/>
                <w:sz w:val="24"/>
                <w:szCs w:val="24"/>
              </w:rPr>
              <w:t>2</w:t>
            </w:r>
            <w:r w:rsidRPr="007B28FF">
              <w:rPr>
                <w:rFonts w:eastAsia="仿宋_GB2312"/>
                <w:color w:val="000000"/>
                <w:kern w:val="0"/>
                <w:sz w:val="24"/>
                <w:szCs w:val="24"/>
              </w:rPr>
              <w:t>个以上设区市，造成或经评估认为可能造成对社会公众健康产生严重损害的食物中毒或食源性疾病的；</w:t>
            </w:r>
          </w:p>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2</w:t>
            </w:r>
            <w:r w:rsidRPr="007B28FF">
              <w:rPr>
                <w:rFonts w:eastAsia="仿宋_GB2312"/>
                <w:color w:val="000000"/>
                <w:kern w:val="0"/>
                <w:sz w:val="24"/>
                <w:szCs w:val="24"/>
              </w:rPr>
              <w:t>）发现在我国首次出现的新的污染物引起的食源性疾病，造成严重健康损害后果，并有扩散趋势的；</w:t>
            </w:r>
          </w:p>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3</w:t>
            </w:r>
            <w:r w:rsidRPr="007B28FF">
              <w:rPr>
                <w:rFonts w:eastAsia="仿宋_GB2312"/>
                <w:color w:val="000000"/>
                <w:kern w:val="0"/>
                <w:sz w:val="24"/>
                <w:szCs w:val="24"/>
              </w:rPr>
              <w:t>）</w:t>
            </w:r>
            <w:r w:rsidRPr="007B28FF">
              <w:rPr>
                <w:rFonts w:eastAsia="仿宋_GB2312"/>
                <w:color w:val="000000"/>
                <w:kern w:val="0"/>
                <w:sz w:val="24"/>
                <w:szCs w:val="24"/>
              </w:rPr>
              <w:t>1</w:t>
            </w:r>
            <w:r w:rsidRPr="007B28FF">
              <w:rPr>
                <w:rFonts w:eastAsia="仿宋_GB2312"/>
                <w:color w:val="000000"/>
                <w:kern w:val="0"/>
                <w:sz w:val="24"/>
                <w:szCs w:val="24"/>
              </w:rPr>
              <w:t>起食物中毒人数在</w:t>
            </w:r>
            <w:r w:rsidRPr="007B28FF">
              <w:rPr>
                <w:rFonts w:eastAsia="仿宋_GB2312"/>
                <w:color w:val="000000"/>
                <w:kern w:val="0"/>
                <w:sz w:val="24"/>
                <w:szCs w:val="24"/>
              </w:rPr>
              <w:t>100</w:t>
            </w:r>
            <w:r w:rsidRPr="007B28FF">
              <w:rPr>
                <w:rFonts w:eastAsia="仿宋_GB2312"/>
                <w:color w:val="000000"/>
                <w:kern w:val="0"/>
                <w:sz w:val="24"/>
                <w:szCs w:val="24"/>
              </w:rPr>
              <w:t>人（含）以上并出现死亡病例；或出现</w:t>
            </w:r>
            <w:r w:rsidRPr="007B28FF">
              <w:rPr>
                <w:rFonts w:eastAsia="仿宋_GB2312"/>
                <w:color w:val="000000"/>
                <w:kern w:val="0"/>
                <w:sz w:val="24"/>
                <w:szCs w:val="24"/>
              </w:rPr>
              <w:t>10</w:t>
            </w:r>
            <w:r w:rsidRPr="007B28FF">
              <w:rPr>
                <w:rFonts w:eastAsia="仿宋_GB2312"/>
                <w:color w:val="000000"/>
                <w:kern w:val="0"/>
                <w:sz w:val="24"/>
                <w:szCs w:val="24"/>
              </w:rPr>
              <w:t>人（含）以上死亡的；</w:t>
            </w:r>
          </w:p>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4</w:t>
            </w:r>
            <w:r w:rsidRPr="007B28FF">
              <w:rPr>
                <w:rFonts w:eastAsia="仿宋_GB2312"/>
                <w:color w:val="000000"/>
                <w:kern w:val="0"/>
                <w:sz w:val="24"/>
                <w:szCs w:val="24"/>
              </w:rPr>
              <w:t>）省政府认定的其他</w:t>
            </w:r>
            <w:r w:rsidRPr="007B28FF">
              <w:rPr>
                <w:rFonts w:eastAsia="仿宋_GB2312"/>
                <w:color w:val="000000"/>
                <w:kern w:val="0"/>
                <w:sz w:val="24"/>
                <w:szCs w:val="24"/>
              </w:rPr>
              <w:t>Ⅱ</w:t>
            </w:r>
            <w:r w:rsidRPr="007B28FF">
              <w:rPr>
                <w:rFonts w:eastAsia="仿宋_GB2312"/>
                <w:color w:val="000000"/>
                <w:kern w:val="0"/>
                <w:sz w:val="24"/>
                <w:szCs w:val="24"/>
              </w:rPr>
              <w:t>级食品安全突发事件。</w:t>
            </w:r>
          </w:p>
        </w:tc>
        <w:tc>
          <w:tcPr>
            <w:tcW w:w="1276"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Ⅱ</w:t>
            </w:r>
            <w:r w:rsidRPr="007B28FF">
              <w:rPr>
                <w:rFonts w:eastAsia="仿宋_GB2312"/>
                <w:color w:val="000000"/>
                <w:kern w:val="0"/>
                <w:sz w:val="24"/>
                <w:szCs w:val="24"/>
              </w:rPr>
              <w:t>级响应</w:t>
            </w:r>
          </w:p>
        </w:tc>
        <w:tc>
          <w:tcPr>
            <w:tcW w:w="1444"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省级</w:t>
            </w:r>
          </w:p>
        </w:tc>
      </w:tr>
      <w:tr w:rsidR="000C2FB9" w:rsidRPr="007B28FF" w:rsidTr="00172BB6">
        <w:trPr>
          <w:trHeight w:val="1969"/>
          <w:jc w:val="center"/>
        </w:trPr>
        <w:tc>
          <w:tcPr>
            <w:tcW w:w="1702"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较大</w:t>
            </w:r>
          </w:p>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食品安全突发事件</w:t>
            </w:r>
          </w:p>
        </w:tc>
        <w:tc>
          <w:tcPr>
            <w:tcW w:w="5670" w:type="dxa"/>
            <w:vAlign w:val="center"/>
          </w:tcPr>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1</w:t>
            </w:r>
            <w:r w:rsidRPr="007B28FF">
              <w:rPr>
                <w:rFonts w:eastAsia="仿宋_GB2312"/>
                <w:color w:val="000000"/>
                <w:kern w:val="0"/>
                <w:sz w:val="24"/>
                <w:szCs w:val="24"/>
              </w:rPr>
              <w:t>）受污染食品流入</w:t>
            </w:r>
            <w:r w:rsidRPr="007B28FF">
              <w:rPr>
                <w:rFonts w:eastAsia="仿宋_GB2312"/>
                <w:color w:val="000000"/>
                <w:kern w:val="0"/>
                <w:sz w:val="24"/>
                <w:szCs w:val="24"/>
              </w:rPr>
              <w:t>2</w:t>
            </w:r>
            <w:r w:rsidRPr="007B28FF">
              <w:rPr>
                <w:rFonts w:eastAsia="仿宋_GB2312"/>
                <w:color w:val="000000"/>
                <w:kern w:val="0"/>
                <w:sz w:val="24"/>
                <w:szCs w:val="24"/>
              </w:rPr>
              <w:t>个以上县（区），已造成严重健康损害后果的；</w:t>
            </w:r>
          </w:p>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2</w:t>
            </w:r>
            <w:r w:rsidRPr="007B28FF">
              <w:rPr>
                <w:rFonts w:eastAsia="仿宋_GB2312"/>
                <w:color w:val="000000"/>
                <w:kern w:val="0"/>
                <w:sz w:val="24"/>
                <w:szCs w:val="24"/>
              </w:rPr>
              <w:t>）</w:t>
            </w:r>
            <w:r w:rsidRPr="007B28FF">
              <w:rPr>
                <w:rFonts w:eastAsia="仿宋_GB2312"/>
                <w:color w:val="000000"/>
                <w:kern w:val="0"/>
                <w:sz w:val="24"/>
                <w:szCs w:val="24"/>
              </w:rPr>
              <w:t>1</w:t>
            </w:r>
            <w:r w:rsidRPr="007B28FF">
              <w:rPr>
                <w:rFonts w:eastAsia="仿宋_GB2312"/>
                <w:color w:val="000000"/>
                <w:kern w:val="0"/>
                <w:sz w:val="24"/>
                <w:szCs w:val="24"/>
              </w:rPr>
              <w:t>起食物中毒事件中毒人数在</w:t>
            </w:r>
            <w:r w:rsidRPr="007B28FF">
              <w:rPr>
                <w:rFonts w:eastAsia="仿宋_GB2312"/>
                <w:color w:val="000000"/>
                <w:kern w:val="0"/>
                <w:sz w:val="24"/>
                <w:szCs w:val="24"/>
              </w:rPr>
              <w:t>100</w:t>
            </w:r>
            <w:r w:rsidRPr="007B28FF">
              <w:rPr>
                <w:rFonts w:eastAsia="仿宋_GB2312"/>
                <w:color w:val="000000"/>
                <w:kern w:val="0"/>
                <w:sz w:val="24"/>
                <w:szCs w:val="24"/>
              </w:rPr>
              <w:t>人（含）以上；或出现死亡病例的；</w:t>
            </w:r>
          </w:p>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3</w:t>
            </w:r>
            <w:r w:rsidRPr="007B28FF">
              <w:rPr>
                <w:rFonts w:eastAsia="仿宋_GB2312"/>
                <w:color w:val="000000"/>
                <w:kern w:val="0"/>
                <w:sz w:val="24"/>
                <w:szCs w:val="24"/>
              </w:rPr>
              <w:t>）市级政府认定的其他</w:t>
            </w:r>
            <w:r w:rsidRPr="007B28FF">
              <w:rPr>
                <w:rFonts w:eastAsia="仿宋_GB2312"/>
                <w:color w:val="000000"/>
                <w:kern w:val="0"/>
                <w:sz w:val="24"/>
                <w:szCs w:val="24"/>
              </w:rPr>
              <w:t>Ⅲ</w:t>
            </w:r>
            <w:r w:rsidRPr="007B28FF">
              <w:rPr>
                <w:rFonts w:eastAsia="仿宋_GB2312"/>
                <w:color w:val="000000"/>
                <w:kern w:val="0"/>
                <w:sz w:val="24"/>
                <w:szCs w:val="24"/>
              </w:rPr>
              <w:t>级食品安全突发事件。</w:t>
            </w:r>
          </w:p>
        </w:tc>
        <w:tc>
          <w:tcPr>
            <w:tcW w:w="1276"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Ⅲ</w:t>
            </w:r>
            <w:r w:rsidRPr="007B28FF">
              <w:rPr>
                <w:rFonts w:eastAsia="仿宋_GB2312"/>
                <w:color w:val="000000"/>
                <w:kern w:val="0"/>
                <w:sz w:val="24"/>
                <w:szCs w:val="24"/>
              </w:rPr>
              <w:t>级响应</w:t>
            </w:r>
          </w:p>
        </w:tc>
        <w:tc>
          <w:tcPr>
            <w:tcW w:w="1444"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市级</w:t>
            </w:r>
          </w:p>
        </w:tc>
      </w:tr>
      <w:tr w:rsidR="000C2FB9" w:rsidRPr="007B28FF" w:rsidTr="00172BB6">
        <w:trPr>
          <w:trHeight w:val="2125"/>
          <w:jc w:val="center"/>
        </w:trPr>
        <w:tc>
          <w:tcPr>
            <w:tcW w:w="1702"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一般</w:t>
            </w:r>
          </w:p>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食品安全突发事件</w:t>
            </w:r>
          </w:p>
        </w:tc>
        <w:tc>
          <w:tcPr>
            <w:tcW w:w="5670" w:type="dxa"/>
            <w:vAlign w:val="center"/>
          </w:tcPr>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1</w:t>
            </w:r>
            <w:r w:rsidRPr="007B28FF">
              <w:rPr>
                <w:rFonts w:eastAsia="仿宋_GB2312"/>
                <w:color w:val="000000"/>
                <w:kern w:val="0"/>
                <w:sz w:val="24"/>
                <w:szCs w:val="24"/>
              </w:rPr>
              <w:t>）存在健康损害的污染食品，已造成严重健康损害后果的；</w:t>
            </w:r>
          </w:p>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2</w:t>
            </w:r>
            <w:r w:rsidRPr="007B28FF">
              <w:rPr>
                <w:rFonts w:eastAsia="仿宋_GB2312"/>
                <w:color w:val="000000"/>
                <w:kern w:val="0"/>
                <w:sz w:val="24"/>
                <w:szCs w:val="24"/>
              </w:rPr>
              <w:t>）</w:t>
            </w:r>
            <w:r w:rsidRPr="007B28FF">
              <w:rPr>
                <w:rFonts w:eastAsia="仿宋_GB2312"/>
                <w:color w:val="000000"/>
                <w:kern w:val="0"/>
                <w:sz w:val="24"/>
                <w:szCs w:val="24"/>
              </w:rPr>
              <w:t>1</w:t>
            </w:r>
            <w:r w:rsidRPr="007B28FF">
              <w:rPr>
                <w:rFonts w:eastAsia="仿宋_GB2312"/>
                <w:color w:val="000000"/>
                <w:kern w:val="0"/>
                <w:sz w:val="24"/>
                <w:szCs w:val="24"/>
              </w:rPr>
              <w:t>起食物中毒事件中毒人数在</w:t>
            </w:r>
            <w:r w:rsidRPr="007B28FF">
              <w:rPr>
                <w:rFonts w:eastAsia="仿宋_GB2312"/>
                <w:color w:val="000000"/>
                <w:kern w:val="0"/>
                <w:sz w:val="24"/>
                <w:szCs w:val="24"/>
              </w:rPr>
              <w:t>30</w:t>
            </w:r>
            <w:r w:rsidRPr="007B28FF">
              <w:rPr>
                <w:rFonts w:eastAsia="仿宋_GB2312"/>
                <w:color w:val="000000"/>
                <w:kern w:val="0"/>
                <w:sz w:val="24"/>
                <w:szCs w:val="24"/>
              </w:rPr>
              <w:t>人（含）以上、</w:t>
            </w:r>
            <w:r w:rsidRPr="007B28FF">
              <w:rPr>
                <w:rFonts w:eastAsia="仿宋_GB2312"/>
                <w:color w:val="000000"/>
                <w:kern w:val="0"/>
                <w:sz w:val="24"/>
                <w:szCs w:val="24"/>
              </w:rPr>
              <w:t>99</w:t>
            </w:r>
            <w:r w:rsidRPr="007B28FF">
              <w:rPr>
                <w:rFonts w:eastAsia="仿宋_GB2312"/>
                <w:color w:val="000000"/>
                <w:kern w:val="0"/>
                <w:sz w:val="24"/>
                <w:szCs w:val="24"/>
              </w:rPr>
              <w:t>人（含）以下，且未出现死亡病例的；</w:t>
            </w:r>
          </w:p>
          <w:p w:rsidR="000C2FB9" w:rsidRPr="007B28FF" w:rsidRDefault="000C2FB9" w:rsidP="00172BB6">
            <w:pPr>
              <w:adjustRightInd w:val="0"/>
              <w:snapToGrid w:val="0"/>
              <w:spacing w:line="480" w:lineRule="exact"/>
              <w:rPr>
                <w:rFonts w:eastAsia="仿宋_GB2312"/>
                <w:color w:val="000000"/>
                <w:kern w:val="0"/>
                <w:sz w:val="24"/>
                <w:szCs w:val="24"/>
              </w:rPr>
            </w:pPr>
            <w:r w:rsidRPr="007B28FF">
              <w:rPr>
                <w:rFonts w:eastAsia="仿宋_GB2312"/>
                <w:color w:val="000000"/>
                <w:kern w:val="0"/>
                <w:sz w:val="24"/>
                <w:szCs w:val="24"/>
              </w:rPr>
              <w:t>（</w:t>
            </w:r>
            <w:r w:rsidRPr="007B28FF">
              <w:rPr>
                <w:rFonts w:eastAsia="仿宋_GB2312"/>
                <w:color w:val="000000"/>
                <w:kern w:val="0"/>
                <w:sz w:val="24"/>
                <w:szCs w:val="24"/>
              </w:rPr>
              <w:t>3</w:t>
            </w:r>
            <w:r w:rsidRPr="007B28FF">
              <w:rPr>
                <w:rFonts w:eastAsia="仿宋_GB2312"/>
                <w:color w:val="000000"/>
                <w:kern w:val="0"/>
                <w:sz w:val="24"/>
                <w:szCs w:val="24"/>
              </w:rPr>
              <w:t>）区级政府认定的其他</w:t>
            </w:r>
            <w:r w:rsidRPr="007B28FF">
              <w:rPr>
                <w:rFonts w:eastAsia="仿宋_GB2312"/>
                <w:color w:val="000000"/>
                <w:kern w:val="0"/>
                <w:sz w:val="24"/>
                <w:szCs w:val="24"/>
              </w:rPr>
              <w:t>Ⅳ</w:t>
            </w:r>
            <w:r w:rsidRPr="007B28FF">
              <w:rPr>
                <w:rFonts w:eastAsia="仿宋_GB2312"/>
                <w:color w:val="000000"/>
                <w:kern w:val="0"/>
                <w:sz w:val="24"/>
                <w:szCs w:val="24"/>
              </w:rPr>
              <w:t>级食品安全突发事件。</w:t>
            </w:r>
          </w:p>
        </w:tc>
        <w:tc>
          <w:tcPr>
            <w:tcW w:w="1276"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Ⅳ</w:t>
            </w:r>
            <w:r w:rsidRPr="007B28FF">
              <w:rPr>
                <w:rFonts w:eastAsia="仿宋_GB2312"/>
                <w:color w:val="000000"/>
                <w:kern w:val="0"/>
                <w:sz w:val="24"/>
                <w:szCs w:val="24"/>
              </w:rPr>
              <w:t>级响应</w:t>
            </w:r>
          </w:p>
        </w:tc>
        <w:tc>
          <w:tcPr>
            <w:tcW w:w="1444" w:type="dxa"/>
            <w:vAlign w:val="center"/>
          </w:tcPr>
          <w:p w:rsidR="000C2FB9" w:rsidRPr="007B28FF" w:rsidRDefault="000C2FB9" w:rsidP="00172BB6">
            <w:pPr>
              <w:adjustRightInd w:val="0"/>
              <w:snapToGrid w:val="0"/>
              <w:spacing w:line="480" w:lineRule="exact"/>
              <w:jc w:val="center"/>
              <w:rPr>
                <w:rFonts w:eastAsia="仿宋_GB2312"/>
                <w:color w:val="000000"/>
                <w:kern w:val="0"/>
                <w:sz w:val="24"/>
                <w:szCs w:val="24"/>
              </w:rPr>
            </w:pPr>
            <w:r w:rsidRPr="007B28FF">
              <w:rPr>
                <w:rFonts w:eastAsia="仿宋_GB2312"/>
                <w:color w:val="000000"/>
                <w:kern w:val="0"/>
                <w:sz w:val="24"/>
                <w:szCs w:val="24"/>
              </w:rPr>
              <w:t>区级</w:t>
            </w:r>
          </w:p>
        </w:tc>
      </w:tr>
    </w:tbl>
    <w:p w:rsidR="008C2616" w:rsidRDefault="008C2616"/>
    <w:sectPr w:rsidR="008C26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616" w:rsidRDefault="008C2616" w:rsidP="000C2FB9">
      <w:r>
        <w:separator/>
      </w:r>
    </w:p>
  </w:endnote>
  <w:endnote w:type="continuationSeparator" w:id="1">
    <w:p w:rsidR="008C2616" w:rsidRDefault="008C2616" w:rsidP="000C2F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616" w:rsidRDefault="008C2616" w:rsidP="000C2FB9">
      <w:r>
        <w:separator/>
      </w:r>
    </w:p>
  </w:footnote>
  <w:footnote w:type="continuationSeparator" w:id="1">
    <w:p w:rsidR="008C2616" w:rsidRDefault="008C2616" w:rsidP="000C2F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FB9"/>
    <w:rsid w:val="000C2FB9"/>
    <w:rsid w:val="008C2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FB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2F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2FB9"/>
    <w:rPr>
      <w:sz w:val="18"/>
      <w:szCs w:val="18"/>
    </w:rPr>
  </w:style>
  <w:style w:type="paragraph" w:styleId="a4">
    <w:name w:val="footer"/>
    <w:basedOn w:val="a"/>
    <w:link w:val="Char0"/>
    <w:uiPriority w:val="99"/>
    <w:semiHidden/>
    <w:unhideWhenUsed/>
    <w:rsid w:val="000C2F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C2F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2020-06-30T09:31:00Z</dcterms:created>
  <dcterms:modified xsi:type="dcterms:W3CDTF">2020-06-30T09:32:00Z</dcterms:modified>
</cp:coreProperties>
</file>