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45" w:type="dxa"/>
        <w:jc w:val="center"/>
        <w:tblLayout w:type="fixed"/>
        <w:tblCellMar>
          <w:top w:w="0" w:type="dxa"/>
          <w:left w:w="15" w:type="dxa"/>
          <w:bottom w:w="0" w:type="dxa"/>
          <w:right w:w="15" w:type="dxa"/>
        </w:tblCellMar>
      </w:tblPr>
      <w:tblGrid>
        <w:gridCol w:w="1138"/>
        <w:gridCol w:w="851"/>
        <w:gridCol w:w="6095"/>
        <w:gridCol w:w="1280"/>
        <w:gridCol w:w="281"/>
      </w:tblGrid>
      <w:tr>
        <w:tblPrEx>
          <w:tblCellMar>
            <w:top w:w="0" w:type="dxa"/>
            <w:left w:w="15" w:type="dxa"/>
            <w:bottom w:w="0" w:type="dxa"/>
            <w:right w:w="15" w:type="dxa"/>
          </w:tblCellMar>
        </w:tblPrEx>
        <w:trPr>
          <w:gridAfter w:val="1"/>
          <w:wAfter w:w="281" w:type="dxa"/>
          <w:trHeight w:val="283" w:hRule="atLeast"/>
          <w:jc w:val="center"/>
        </w:trPr>
        <w:tc>
          <w:tcPr>
            <w:tcW w:w="9364" w:type="dxa"/>
            <w:gridSpan w:val="4"/>
            <w:noWrap w:val="0"/>
            <w:vAlign w:val="center"/>
          </w:tcPr>
          <w:p>
            <w:pPr>
              <w:widowControl/>
              <w:spacing w:line="578" w:lineRule="exact"/>
              <w:jc w:val="left"/>
              <w:rPr>
                <w:rFonts w:ascii="黑体" w:eastAsia="黑体"/>
                <w:color w:val="000000"/>
                <w:sz w:val="32"/>
                <w:szCs w:val="32"/>
              </w:rPr>
            </w:pPr>
            <w:r>
              <w:rPr>
                <w:rFonts w:hint="eastAsia" w:ascii="黑体" w:eastAsia="黑体"/>
                <w:color w:val="000000"/>
                <w:sz w:val="32"/>
                <w:szCs w:val="32"/>
              </w:rPr>
              <w:t>附件1</w:t>
            </w:r>
          </w:p>
          <w:p>
            <w:pPr>
              <w:spacing w:after="120" w:line="560" w:lineRule="exact"/>
              <w:ind w:firstLine="640"/>
              <w:jc w:val="center"/>
              <w:rPr>
                <w:rFonts w:ascii="方正小标宋简体" w:eastAsia="方正小标宋简体"/>
                <w:sz w:val="44"/>
                <w:szCs w:val="44"/>
              </w:rPr>
            </w:pPr>
            <w:r>
              <w:rPr>
                <w:rFonts w:hint="eastAsia" w:ascii="方正小标宋简体" w:eastAsia="方正小标宋简体"/>
                <w:sz w:val="44"/>
                <w:szCs w:val="44"/>
              </w:rPr>
              <w:t>健康海港区行动考核指标框架</w:t>
            </w:r>
          </w:p>
        </w:tc>
      </w:tr>
      <w:tr>
        <w:tblPrEx>
          <w:tblCellMar>
            <w:top w:w="0" w:type="dxa"/>
            <w:left w:w="15" w:type="dxa"/>
            <w:bottom w:w="0" w:type="dxa"/>
            <w:right w:w="15" w:type="dxa"/>
          </w:tblCellMar>
        </w:tblPrEx>
        <w:trPr>
          <w:gridAfter w:val="1"/>
          <w:wAfter w:w="281" w:type="dxa"/>
          <w:trHeight w:val="283" w:hRule="atLeast"/>
          <w:jc w:val="center"/>
        </w:trPr>
        <w:tc>
          <w:tcPr>
            <w:tcW w:w="9364" w:type="dxa"/>
            <w:gridSpan w:val="4"/>
            <w:noWrap w:val="0"/>
            <w:vAlign w:val="center"/>
          </w:tcPr>
          <w:p>
            <w:pPr>
              <w:widowControl/>
              <w:spacing w:line="578" w:lineRule="exact"/>
              <w:jc w:val="left"/>
              <w:rPr>
                <w:rFonts w:ascii="黑体" w:eastAsia="黑体"/>
                <w:color w:val="000000"/>
                <w:sz w:val="32"/>
                <w:szCs w:val="32"/>
              </w:rPr>
            </w:pPr>
          </w:p>
        </w:tc>
      </w:tr>
      <w:tr>
        <w:tblPrEx>
          <w:tblCellMar>
            <w:top w:w="0" w:type="dxa"/>
            <w:left w:w="15" w:type="dxa"/>
            <w:bottom w:w="0" w:type="dxa"/>
            <w:right w:w="15" w:type="dxa"/>
          </w:tblCellMar>
        </w:tblPrEx>
        <w:trPr>
          <w:trHeight w:val="283" w:hRule="atLeast"/>
          <w:jc w:val="center"/>
        </w:trPr>
        <w:tc>
          <w:tcPr>
            <w:tcW w:w="113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b/>
                <w:bCs/>
                <w:color w:val="000000"/>
                <w:szCs w:val="21"/>
              </w:rPr>
            </w:pPr>
            <w:r>
              <w:rPr>
                <w:rFonts w:eastAsia="仿宋_GB2312"/>
                <w:b/>
                <w:bCs/>
                <w:color w:val="000000"/>
                <w:szCs w:val="21"/>
              </w:rPr>
              <w:t>考核依据</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b/>
                <w:bCs/>
                <w:color w:val="000000"/>
                <w:szCs w:val="21"/>
              </w:rPr>
            </w:pPr>
            <w:r>
              <w:rPr>
                <w:rFonts w:eastAsia="仿宋_GB2312"/>
                <w:b/>
                <w:bCs/>
                <w:color w:val="000000"/>
                <w:szCs w:val="21"/>
              </w:rPr>
              <w:t>序号</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b/>
                <w:bCs/>
                <w:color w:val="000000"/>
                <w:szCs w:val="21"/>
              </w:rPr>
            </w:pPr>
            <w:r>
              <w:rPr>
                <w:rFonts w:eastAsia="仿宋_GB2312"/>
                <w:b/>
                <w:bCs/>
                <w:color w:val="000000"/>
                <w:szCs w:val="21"/>
              </w:rPr>
              <w:t>指    标</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left="105" w:leftChars="50"/>
              <w:jc w:val="center"/>
              <w:textAlignment w:val="center"/>
              <w:rPr>
                <w:rFonts w:eastAsia="仿宋_GB2312"/>
                <w:b/>
                <w:bCs/>
                <w:color w:val="000000"/>
                <w:szCs w:val="21"/>
              </w:rPr>
            </w:pPr>
            <w:r>
              <w:rPr>
                <w:rFonts w:eastAsia="仿宋_GB2312"/>
                <w:b/>
                <w:bCs/>
                <w:color w:val="000000"/>
                <w:szCs w:val="21"/>
              </w:rPr>
              <w:t>2022年目标值</w:t>
            </w:r>
          </w:p>
        </w:tc>
      </w:tr>
      <w:tr>
        <w:tblPrEx>
          <w:tblCellMar>
            <w:top w:w="0" w:type="dxa"/>
            <w:left w:w="15" w:type="dxa"/>
            <w:bottom w:w="0" w:type="dxa"/>
            <w:right w:w="15" w:type="dxa"/>
          </w:tblCellMar>
        </w:tblPrEx>
        <w:trPr>
          <w:trHeight w:val="283" w:hRule="atLeast"/>
          <w:jc w:val="center"/>
        </w:trPr>
        <w:tc>
          <w:tcPr>
            <w:tcW w:w="1138" w:type="dxa"/>
            <w:vMerge w:val="restart"/>
            <w:tcBorders>
              <w:top w:val="single" w:color="000000" w:sz="4" w:space="0"/>
              <w:left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《“健康中国2030”规划纲要》</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人均预期寿命（岁）</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79</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婴儿死亡率（‰）</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sz w:val="18"/>
                <w:szCs w:val="18"/>
              </w:rPr>
            </w:pPr>
            <w:r>
              <w:rPr>
                <w:rFonts w:eastAsia="仿宋_GB2312"/>
                <w:bCs/>
                <w:sz w:val="18"/>
                <w:szCs w:val="18"/>
              </w:rPr>
              <w:t>≤4.9</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3</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5岁以下儿童死亡率（‰）</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sz w:val="18"/>
                <w:szCs w:val="18"/>
              </w:rPr>
            </w:pPr>
            <w:r>
              <w:rPr>
                <w:rFonts w:eastAsia="仿宋_GB2312"/>
                <w:bCs/>
                <w:sz w:val="18"/>
                <w:szCs w:val="18"/>
              </w:rPr>
              <w:t>≤6</w:t>
            </w:r>
          </w:p>
        </w:tc>
      </w:tr>
      <w:tr>
        <w:tblPrEx>
          <w:tblCellMar>
            <w:top w:w="0" w:type="dxa"/>
            <w:left w:w="15" w:type="dxa"/>
            <w:bottom w:w="0" w:type="dxa"/>
            <w:right w:w="15" w:type="dxa"/>
          </w:tblCellMar>
        </w:tblPrEx>
        <w:trPr>
          <w:trHeight w:val="513"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4</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孕产妇死亡率（1/10万）</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jc w:val="center"/>
              <w:textAlignment w:val="center"/>
              <w:rPr>
                <w:rFonts w:eastAsia="仿宋_GB2312"/>
                <w:bCs/>
                <w:sz w:val="18"/>
                <w:szCs w:val="18"/>
              </w:rPr>
            </w:pPr>
            <w:r>
              <w:rPr>
                <w:rFonts w:eastAsia="仿宋_GB2312"/>
                <w:bCs/>
                <w:sz w:val="18"/>
                <w:szCs w:val="18"/>
              </w:rPr>
              <w:t>≤11.5</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5</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城乡居民达到《国民体质测定标准》合格以上的人数比例（％）</w:t>
            </w:r>
          </w:p>
        </w:tc>
        <w:tc>
          <w:tcPr>
            <w:tcW w:w="1561" w:type="dxa"/>
            <w:gridSpan w:val="2"/>
            <w:tcBorders>
              <w:top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≥92</w:t>
            </w:r>
          </w:p>
        </w:tc>
      </w:tr>
      <w:tr>
        <w:tblPrEx>
          <w:tblCellMar>
            <w:top w:w="0" w:type="dxa"/>
            <w:left w:w="15" w:type="dxa"/>
            <w:bottom w:w="0" w:type="dxa"/>
            <w:right w:w="15" w:type="dxa"/>
          </w:tblCellMar>
        </w:tblPrEx>
        <w:trPr>
          <w:trHeight w:val="514"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6</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居民健康素养水平（％）</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≥22</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7</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经常参加体育锻炼人数比例（％）</w:t>
            </w:r>
          </w:p>
        </w:tc>
        <w:tc>
          <w:tcPr>
            <w:tcW w:w="1561" w:type="dxa"/>
            <w:gridSpan w:val="2"/>
            <w:tcBorders>
              <w:top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≥38</w:t>
            </w:r>
          </w:p>
        </w:tc>
      </w:tr>
      <w:tr>
        <w:tblPrEx>
          <w:tblCellMar>
            <w:top w:w="0" w:type="dxa"/>
            <w:left w:w="15" w:type="dxa"/>
            <w:bottom w:w="0" w:type="dxa"/>
            <w:right w:w="15" w:type="dxa"/>
          </w:tblCellMar>
        </w:tblPrEx>
        <w:trPr>
          <w:trHeight w:val="90"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8</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重大慢性病过早死亡率（％）</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jc w:val="center"/>
              <w:textAlignment w:val="center"/>
              <w:rPr>
                <w:rFonts w:eastAsia="仿宋_GB2312"/>
                <w:bCs/>
                <w:color w:val="000000"/>
                <w:sz w:val="18"/>
                <w:szCs w:val="18"/>
              </w:rPr>
            </w:pPr>
            <w:r>
              <w:rPr>
                <w:rFonts w:eastAsia="仿宋_GB2312"/>
                <w:bCs/>
                <w:color w:val="000000"/>
                <w:sz w:val="18"/>
                <w:szCs w:val="18"/>
              </w:rPr>
              <w:t>≤18.5</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000000"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9</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每千常住人口执业（助理）医师数（人）</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3.1</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000000" w:sz="4" w:space="0"/>
              <w:bottom w:val="single" w:color="auto" w:sz="4" w:space="0"/>
              <w:right w:val="single" w:color="000000" w:sz="4" w:space="0"/>
            </w:tcBorders>
            <w:noWrap w:val="0"/>
            <w:vAlign w:val="center"/>
          </w:tcPr>
          <w:p>
            <w:pPr>
              <w:ind w:firstLine="632"/>
              <w:jc w:val="center"/>
              <w:rPr>
                <w:rFonts w:eastAsia="仿宋_GB2312"/>
              </w:rPr>
            </w:pPr>
          </w:p>
        </w:tc>
        <w:tc>
          <w:tcPr>
            <w:tcW w:w="851"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10</w:t>
            </w:r>
          </w:p>
        </w:tc>
        <w:tc>
          <w:tcPr>
            <w:tcW w:w="6095"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400" w:lineRule="exact"/>
              <w:jc w:val="center"/>
              <w:textAlignment w:val="center"/>
              <w:rPr>
                <w:rFonts w:eastAsia="仿宋_GB2312"/>
                <w:b/>
                <w:bCs/>
                <w:color w:val="000000"/>
                <w:sz w:val="20"/>
              </w:rPr>
            </w:pPr>
            <w:r>
              <w:rPr>
                <w:rFonts w:eastAsia="仿宋_GB2312"/>
                <w:color w:val="000000"/>
                <w:sz w:val="20"/>
              </w:rPr>
              <w:t>个人卫生支出占卫生总费用的比重（％）</w:t>
            </w:r>
          </w:p>
        </w:tc>
        <w:tc>
          <w:tcPr>
            <w:tcW w:w="1561"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27.5</w:t>
            </w:r>
          </w:p>
        </w:tc>
      </w:tr>
      <w:tr>
        <w:tblPrEx>
          <w:tblCellMar>
            <w:top w:w="0" w:type="dxa"/>
            <w:left w:w="15" w:type="dxa"/>
            <w:bottom w:w="0" w:type="dxa"/>
            <w:right w:w="15" w:type="dxa"/>
          </w:tblCellMar>
        </w:tblPrEx>
        <w:trPr>
          <w:trHeight w:val="559" w:hRule="atLeast"/>
          <w:jc w:val="center"/>
        </w:trPr>
        <w:tc>
          <w:tcPr>
            <w:tcW w:w="1138"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ind w:firstLine="392"/>
              <w:jc w:val="center"/>
              <w:textAlignment w:val="center"/>
              <w:rPr>
                <w:rFonts w:eastAsia="仿宋_GB2312"/>
                <w:color w:val="000000"/>
                <w:sz w:val="20"/>
              </w:rPr>
            </w:pPr>
          </w:p>
          <w:p>
            <w:pPr>
              <w:autoSpaceDN w:val="0"/>
              <w:spacing w:line="400" w:lineRule="exact"/>
              <w:jc w:val="center"/>
              <w:textAlignment w:val="center"/>
              <w:rPr>
                <w:rFonts w:hint="eastAsia" w:eastAsia="仿宋_GB2312"/>
                <w:color w:val="000000"/>
                <w:sz w:val="20"/>
              </w:rPr>
            </w:pPr>
            <w:r>
              <w:rPr>
                <w:rFonts w:hint="eastAsia" w:eastAsia="仿宋_GB2312"/>
                <w:color w:val="000000"/>
                <w:sz w:val="20"/>
              </w:rPr>
              <w:t xml:space="preserve"> </w:t>
            </w:r>
          </w:p>
          <w:p>
            <w:pPr>
              <w:autoSpaceDN w:val="0"/>
              <w:spacing w:line="400" w:lineRule="exact"/>
              <w:jc w:val="center"/>
              <w:textAlignment w:val="center"/>
              <w:rPr>
                <w:rFonts w:hint="eastAsia" w:eastAsia="仿宋_GB2312"/>
                <w:color w:val="000000"/>
                <w:sz w:val="20"/>
              </w:rPr>
            </w:pPr>
          </w:p>
          <w:p>
            <w:pPr>
              <w:autoSpaceDN w:val="0"/>
              <w:spacing w:line="400" w:lineRule="exact"/>
              <w:jc w:val="center"/>
              <w:textAlignment w:val="center"/>
              <w:rPr>
                <w:rFonts w:hint="eastAsia" w:eastAsia="仿宋_GB2312"/>
                <w:color w:val="000000"/>
                <w:sz w:val="20"/>
              </w:rPr>
            </w:pPr>
          </w:p>
          <w:p>
            <w:pPr>
              <w:autoSpaceDN w:val="0"/>
              <w:spacing w:line="400" w:lineRule="exact"/>
              <w:jc w:val="center"/>
              <w:textAlignment w:val="center"/>
              <w:rPr>
                <w:rFonts w:hint="eastAsia" w:eastAsia="仿宋_GB2312"/>
                <w:color w:val="000000"/>
                <w:sz w:val="20"/>
              </w:rPr>
            </w:pPr>
          </w:p>
          <w:p>
            <w:pPr>
              <w:autoSpaceDN w:val="0"/>
              <w:spacing w:line="400" w:lineRule="exact"/>
              <w:jc w:val="center"/>
              <w:textAlignment w:val="center"/>
              <w:rPr>
                <w:rFonts w:hint="eastAsia" w:eastAsia="仿宋_GB2312"/>
                <w:color w:val="000000"/>
                <w:sz w:val="20"/>
              </w:rPr>
            </w:pPr>
          </w:p>
          <w:p>
            <w:pPr>
              <w:autoSpaceDN w:val="0"/>
              <w:spacing w:line="400" w:lineRule="exact"/>
              <w:jc w:val="center"/>
              <w:textAlignment w:val="center"/>
              <w:rPr>
                <w:rFonts w:hint="eastAsia" w:eastAsia="仿宋_GB2312"/>
                <w:color w:val="000000"/>
                <w:sz w:val="20"/>
              </w:rPr>
            </w:pPr>
          </w:p>
          <w:p>
            <w:pPr>
              <w:autoSpaceDN w:val="0"/>
              <w:spacing w:line="400" w:lineRule="exact"/>
              <w:jc w:val="center"/>
              <w:textAlignment w:val="center"/>
              <w:rPr>
                <w:rFonts w:hint="eastAsia" w:eastAsia="仿宋_GB2312"/>
                <w:color w:val="000000"/>
                <w:sz w:val="20"/>
              </w:rPr>
            </w:pPr>
          </w:p>
          <w:p>
            <w:pPr>
              <w:autoSpaceDN w:val="0"/>
              <w:spacing w:line="400" w:lineRule="exact"/>
              <w:jc w:val="center"/>
              <w:textAlignment w:val="center"/>
              <w:rPr>
                <w:rFonts w:hint="eastAsia" w:eastAsia="仿宋_GB2312"/>
                <w:color w:val="000000"/>
                <w:sz w:val="20"/>
              </w:rPr>
            </w:pPr>
            <w:r>
              <w:rPr>
                <w:rFonts w:eastAsia="仿宋_GB2312"/>
                <w:color w:val="000000"/>
                <w:sz w:val="20"/>
              </w:rPr>
              <w:t>相关规划</w:t>
            </w:r>
          </w:p>
          <w:p>
            <w:pPr>
              <w:autoSpaceDN w:val="0"/>
              <w:spacing w:line="400" w:lineRule="exact"/>
              <w:jc w:val="center"/>
              <w:textAlignment w:val="center"/>
              <w:rPr>
                <w:rFonts w:eastAsia="仿宋_GB2312"/>
                <w:color w:val="000000"/>
                <w:sz w:val="20"/>
              </w:rPr>
            </w:pPr>
            <w:r>
              <w:rPr>
                <w:rFonts w:eastAsia="仿宋_GB2312"/>
                <w:color w:val="000000"/>
                <w:sz w:val="20"/>
              </w:rPr>
              <w:t>文件</w:t>
            </w:r>
          </w:p>
          <w:p>
            <w:pPr>
              <w:autoSpaceDN w:val="0"/>
              <w:spacing w:line="400" w:lineRule="exact"/>
              <w:ind w:firstLine="392"/>
              <w:jc w:val="center"/>
              <w:textAlignment w:val="center"/>
              <w:rPr>
                <w:rFonts w:eastAsia="仿宋_GB2312"/>
                <w:color w:val="000000"/>
                <w:sz w:val="20"/>
              </w:rPr>
            </w:pPr>
          </w:p>
          <w:p>
            <w:pPr>
              <w:autoSpaceDN w:val="0"/>
              <w:spacing w:line="400" w:lineRule="exact"/>
              <w:ind w:firstLine="392"/>
              <w:jc w:val="center"/>
              <w:textAlignment w:val="center"/>
              <w:rPr>
                <w:rFonts w:eastAsia="仿宋_GB2312"/>
                <w:color w:val="000000"/>
                <w:sz w:val="20"/>
              </w:rPr>
            </w:pPr>
          </w:p>
          <w:p>
            <w:pPr>
              <w:autoSpaceDN w:val="0"/>
              <w:spacing w:line="400" w:lineRule="exact"/>
              <w:ind w:firstLine="392"/>
              <w:jc w:val="center"/>
              <w:textAlignment w:val="center"/>
              <w:rPr>
                <w:rFonts w:eastAsia="仿宋_GB2312"/>
                <w:color w:val="000000"/>
                <w:sz w:val="20"/>
              </w:rPr>
            </w:pPr>
          </w:p>
          <w:p>
            <w:pPr>
              <w:autoSpaceDN w:val="0"/>
              <w:spacing w:line="400" w:lineRule="exact"/>
              <w:ind w:firstLine="392"/>
              <w:jc w:val="center"/>
              <w:textAlignment w:val="center"/>
              <w:rPr>
                <w:rFonts w:eastAsia="仿宋_GB2312"/>
                <w:color w:val="000000"/>
                <w:sz w:val="20"/>
              </w:rPr>
            </w:pPr>
          </w:p>
          <w:p>
            <w:pPr>
              <w:autoSpaceDN w:val="0"/>
              <w:spacing w:line="400" w:lineRule="exact"/>
              <w:ind w:firstLine="392"/>
              <w:jc w:val="center"/>
              <w:textAlignment w:val="center"/>
              <w:rPr>
                <w:rFonts w:hint="eastAsia" w:eastAsia="仿宋_GB2312"/>
                <w:color w:val="000000"/>
                <w:sz w:val="20"/>
              </w:rPr>
            </w:pPr>
          </w:p>
          <w:p>
            <w:pPr>
              <w:autoSpaceDN w:val="0"/>
              <w:spacing w:line="400" w:lineRule="exact"/>
              <w:ind w:firstLine="392"/>
              <w:jc w:val="center"/>
              <w:textAlignment w:val="center"/>
              <w:rPr>
                <w:rFonts w:hint="eastAsia" w:eastAsia="仿宋_GB2312"/>
                <w:color w:val="000000"/>
                <w:sz w:val="20"/>
              </w:rPr>
            </w:pPr>
          </w:p>
          <w:p>
            <w:pPr>
              <w:autoSpaceDN w:val="0"/>
              <w:spacing w:line="400" w:lineRule="exact"/>
              <w:ind w:firstLine="392"/>
              <w:jc w:val="center"/>
              <w:textAlignment w:val="center"/>
              <w:rPr>
                <w:rFonts w:hint="eastAsia" w:eastAsia="仿宋_GB2312"/>
                <w:color w:val="000000"/>
                <w:sz w:val="20"/>
              </w:rPr>
            </w:pPr>
          </w:p>
          <w:p>
            <w:pPr>
              <w:autoSpaceDN w:val="0"/>
              <w:spacing w:line="400" w:lineRule="exact"/>
              <w:ind w:firstLine="392"/>
              <w:jc w:val="center"/>
              <w:textAlignment w:val="center"/>
              <w:rPr>
                <w:rFonts w:hint="eastAsia" w:eastAsia="仿宋_GB2312"/>
                <w:color w:val="000000"/>
                <w:sz w:val="20"/>
              </w:rPr>
            </w:pPr>
          </w:p>
          <w:p>
            <w:pPr>
              <w:autoSpaceDN w:val="0"/>
              <w:spacing w:line="400" w:lineRule="exact"/>
              <w:ind w:firstLine="392"/>
              <w:jc w:val="center"/>
              <w:textAlignment w:val="center"/>
              <w:rPr>
                <w:rFonts w:hint="eastAsia" w:eastAsia="仿宋_GB2312"/>
                <w:color w:val="000000"/>
                <w:sz w:val="20"/>
              </w:rPr>
            </w:pPr>
          </w:p>
          <w:p>
            <w:pPr>
              <w:autoSpaceDN w:val="0"/>
              <w:spacing w:line="400" w:lineRule="exact"/>
              <w:textAlignment w:val="center"/>
              <w:rPr>
                <w:rFonts w:eastAsia="仿宋_GB2312"/>
                <w:color w:val="000000"/>
                <w:sz w:val="20"/>
              </w:rPr>
            </w:pPr>
          </w:p>
          <w:p>
            <w:pPr>
              <w:autoSpaceDN w:val="0"/>
              <w:spacing w:line="400" w:lineRule="exact"/>
              <w:jc w:val="center"/>
              <w:textAlignment w:val="center"/>
              <w:rPr>
                <w:rFonts w:hint="eastAsia" w:eastAsia="仿宋_GB2312"/>
                <w:color w:val="000000"/>
                <w:sz w:val="20"/>
              </w:rPr>
            </w:pPr>
            <w:r>
              <w:rPr>
                <w:rFonts w:eastAsia="仿宋_GB2312"/>
                <w:color w:val="000000"/>
                <w:sz w:val="20"/>
              </w:rPr>
              <w:t>相关规划</w:t>
            </w:r>
          </w:p>
          <w:p>
            <w:pPr>
              <w:autoSpaceDN w:val="0"/>
              <w:spacing w:line="400" w:lineRule="exact"/>
              <w:jc w:val="center"/>
              <w:textAlignment w:val="center"/>
              <w:rPr>
                <w:rFonts w:eastAsia="仿宋_GB2312"/>
                <w:color w:val="000000"/>
                <w:sz w:val="20"/>
              </w:rPr>
            </w:pPr>
            <w:r>
              <w:rPr>
                <w:rFonts w:eastAsia="仿宋_GB2312"/>
                <w:color w:val="000000"/>
                <w:sz w:val="20"/>
              </w:rPr>
              <w:t>文件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11</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b/>
                <w:bCs/>
                <w:color w:val="000000"/>
                <w:sz w:val="20"/>
              </w:rPr>
            </w:pPr>
            <w:r>
              <w:rPr>
                <w:rFonts w:eastAsia="仿宋_GB2312"/>
                <w:color w:val="000000"/>
                <w:sz w:val="20"/>
              </w:rPr>
              <w:t>建立并完善健康科普专家库，构建健康科普知识发布和传播机制</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实现</w:t>
            </w:r>
          </w:p>
        </w:tc>
      </w:tr>
      <w:tr>
        <w:tblPrEx>
          <w:tblCellMar>
            <w:top w:w="0" w:type="dxa"/>
            <w:left w:w="15" w:type="dxa"/>
            <w:bottom w:w="0" w:type="dxa"/>
            <w:right w:w="15" w:type="dxa"/>
          </w:tblCellMar>
        </w:tblPrEx>
        <w:trPr>
          <w:trHeight w:val="757"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12</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建立医疗机构和医务人员开展健康教育和健康促进的绩效考核机制</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实现</w:t>
            </w:r>
          </w:p>
        </w:tc>
      </w:tr>
      <w:tr>
        <w:tblPrEx>
          <w:tblCellMar>
            <w:top w:w="0" w:type="dxa"/>
            <w:left w:w="15" w:type="dxa"/>
            <w:bottom w:w="0" w:type="dxa"/>
            <w:right w:w="15" w:type="dxa"/>
          </w:tblCellMar>
        </w:tblPrEx>
        <w:trPr>
          <w:trHeight w:val="478"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13</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产前筛查率（％）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≥83</w:t>
            </w:r>
          </w:p>
        </w:tc>
      </w:tr>
      <w:tr>
        <w:tblPrEx>
          <w:tblCellMar>
            <w:top w:w="0" w:type="dxa"/>
            <w:left w:w="15" w:type="dxa"/>
            <w:bottom w:w="0" w:type="dxa"/>
            <w:right w:w="15" w:type="dxa"/>
          </w:tblCellMar>
        </w:tblPrEx>
        <w:trPr>
          <w:trHeight w:val="283"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14</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新生儿遗传代谢性疾病筛查率（％）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≥98</w:t>
            </w:r>
          </w:p>
        </w:tc>
      </w:tr>
      <w:tr>
        <w:tblPrEx>
          <w:tblCellMar>
            <w:top w:w="0" w:type="dxa"/>
            <w:left w:w="15" w:type="dxa"/>
            <w:bottom w:w="0" w:type="dxa"/>
            <w:right w:w="15" w:type="dxa"/>
          </w:tblCellMar>
        </w:tblPrEx>
        <w:trPr>
          <w:trHeight w:val="283"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15</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农村适龄妇女宫颈癌和乳腺癌筛查覆盖率（％）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开展</w:t>
            </w:r>
          </w:p>
        </w:tc>
      </w:tr>
      <w:tr>
        <w:tblPrEx>
          <w:tblCellMar>
            <w:top w:w="0" w:type="dxa"/>
            <w:left w:w="15" w:type="dxa"/>
            <w:bottom w:w="0" w:type="dxa"/>
            <w:right w:w="15" w:type="dxa"/>
          </w:tblCellMar>
        </w:tblPrEx>
        <w:trPr>
          <w:trHeight w:val="283"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16</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国家学生体质健康标准达标优良率（％）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≥50</w:t>
            </w:r>
          </w:p>
        </w:tc>
      </w:tr>
      <w:tr>
        <w:tblPrEx>
          <w:tblCellMar>
            <w:top w:w="0" w:type="dxa"/>
            <w:left w:w="15" w:type="dxa"/>
            <w:bottom w:w="0" w:type="dxa"/>
            <w:right w:w="15" w:type="dxa"/>
          </w:tblCellMar>
        </w:tblPrEx>
        <w:trPr>
          <w:trHeight w:val="662"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17</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符合要求的中小学体育与健康课程开课率（％）</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100</w:t>
            </w:r>
          </w:p>
        </w:tc>
      </w:tr>
      <w:tr>
        <w:tblPrEx>
          <w:tblCellMar>
            <w:top w:w="0" w:type="dxa"/>
            <w:left w:w="15" w:type="dxa"/>
            <w:bottom w:w="0" w:type="dxa"/>
            <w:right w:w="15" w:type="dxa"/>
          </w:tblCellMar>
        </w:tblPrEx>
        <w:trPr>
          <w:trHeight w:val="700"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18</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中小学生每天的校内体育活动时间（小时）</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≥1</w:t>
            </w:r>
          </w:p>
        </w:tc>
      </w:tr>
      <w:tr>
        <w:tblPrEx>
          <w:tblCellMar>
            <w:top w:w="0" w:type="dxa"/>
            <w:left w:w="15" w:type="dxa"/>
            <w:bottom w:w="0" w:type="dxa"/>
            <w:right w:w="15" w:type="dxa"/>
          </w:tblCellMar>
        </w:tblPrEx>
        <w:trPr>
          <w:trHeight w:val="1032"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19</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寄宿制中小学校或600名学生以上的非寄宿制中小学校配备专职卫生专业技术人员、600名学生以下的非寄宿制中小学校配备专兼职保健教师或卫生专业技术人员比例（％）</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≥70</w:t>
            </w:r>
          </w:p>
        </w:tc>
      </w:tr>
      <w:tr>
        <w:tblPrEx>
          <w:tblCellMar>
            <w:top w:w="0" w:type="dxa"/>
            <w:left w:w="15" w:type="dxa"/>
            <w:bottom w:w="0" w:type="dxa"/>
            <w:right w:w="15" w:type="dxa"/>
          </w:tblCellMar>
        </w:tblPrEx>
        <w:trPr>
          <w:trHeight w:val="755"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20</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配备专兼职心理健康工作人员的中小学校比例（％）</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≥80</w:t>
            </w:r>
          </w:p>
        </w:tc>
      </w:tr>
      <w:tr>
        <w:tblPrEx>
          <w:tblCellMar>
            <w:top w:w="0" w:type="dxa"/>
            <w:left w:w="15" w:type="dxa"/>
            <w:bottom w:w="0" w:type="dxa"/>
            <w:right w:w="15" w:type="dxa"/>
          </w:tblCellMar>
        </w:tblPrEx>
        <w:trPr>
          <w:trHeight w:val="283" w:hRule="atLeast"/>
          <w:jc w:val="center"/>
        </w:trPr>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21</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hint="eastAsia" w:eastAsia="仿宋_GB2312"/>
                <w:color w:val="000000"/>
                <w:sz w:val="20"/>
              </w:rPr>
            </w:pPr>
            <w:r>
              <w:rPr>
                <w:rFonts w:eastAsia="仿宋_GB2312"/>
                <w:color w:val="000000"/>
                <w:sz w:val="20"/>
              </w:rPr>
              <w:t>接尘工龄不足5年的劳动者新发尘肺病报告例数占年度报告</w:t>
            </w:r>
          </w:p>
          <w:p>
            <w:pPr>
              <w:autoSpaceDN w:val="0"/>
              <w:spacing w:line="400" w:lineRule="exact"/>
              <w:jc w:val="center"/>
              <w:textAlignment w:val="center"/>
              <w:rPr>
                <w:rFonts w:eastAsia="仿宋_GB2312"/>
                <w:color w:val="000000"/>
                <w:sz w:val="20"/>
              </w:rPr>
            </w:pPr>
            <w:r>
              <w:rPr>
                <w:rFonts w:eastAsia="仿宋_GB2312"/>
                <w:color w:val="000000"/>
                <w:sz w:val="20"/>
              </w:rPr>
              <w:t>总例数比例（％）</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下降</w:t>
            </w:r>
          </w:p>
        </w:tc>
      </w:tr>
      <w:tr>
        <w:tblPrEx>
          <w:tblCellMar>
            <w:top w:w="0" w:type="dxa"/>
            <w:left w:w="15" w:type="dxa"/>
            <w:bottom w:w="0" w:type="dxa"/>
            <w:right w:w="15" w:type="dxa"/>
          </w:tblCellMar>
        </w:tblPrEx>
        <w:trPr>
          <w:trHeight w:val="621" w:hRule="atLeast"/>
          <w:jc w:val="center"/>
        </w:trPr>
        <w:tc>
          <w:tcPr>
            <w:tcW w:w="1138" w:type="dxa"/>
            <w:vMerge w:val="continue"/>
            <w:tcBorders>
              <w:top w:val="single" w:color="auto" w:sz="4" w:space="0"/>
              <w:left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22</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区属二级以上综合性医院设老年医学科比例（％）</w:t>
            </w:r>
          </w:p>
        </w:tc>
        <w:tc>
          <w:tcPr>
            <w:tcW w:w="1561"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≥50</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23</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高血压患者规范管理率（％）</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≥60</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24</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糖尿病患者规范管理率（％）</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≥60</w:t>
            </w:r>
          </w:p>
        </w:tc>
      </w:tr>
      <w:tr>
        <w:tblPrEx>
          <w:tblCellMar>
            <w:top w:w="0" w:type="dxa"/>
            <w:left w:w="15" w:type="dxa"/>
            <w:bottom w:w="0" w:type="dxa"/>
            <w:right w:w="15" w:type="dxa"/>
          </w:tblCellMar>
        </w:tblPrEx>
        <w:trPr>
          <w:trHeight w:val="283" w:hRule="atLeast"/>
          <w:jc w:val="center"/>
        </w:trPr>
        <w:tc>
          <w:tcPr>
            <w:tcW w:w="1138" w:type="dxa"/>
            <w:vMerge w:val="continue"/>
            <w:tcBorders>
              <w:left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25</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乡镇卫生院、社区卫生服务中心提供中医非药物疗法的比例（％）</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100</w:t>
            </w:r>
          </w:p>
        </w:tc>
      </w:tr>
      <w:tr>
        <w:tblPrEx>
          <w:tblCellMar>
            <w:top w:w="0" w:type="dxa"/>
            <w:left w:w="15" w:type="dxa"/>
            <w:bottom w:w="0" w:type="dxa"/>
            <w:right w:w="15" w:type="dxa"/>
          </w:tblCellMar>
        </w:tblPrEx>
        <w:trPr>
          <w:trHeight w:val="715" w:hRule="atLeast"/>
          <w:jc w:val="center"/>
        </w:trPr>
        <w:tc>
          <w:tcPr>
            <w:tcW w:w="1138" w:type="dxa"/>
            <w:vMerge w:val="continue"/>
            <w:tcBorders>
              <w:left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26</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村卫生室提供中医非药物疗法的比例（％）</w:t>
            </w:r>
          </w:p>
        </w:tc>
        <w:tc>
          <w:tcPr>
            <w:tcW w:w="1561"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70</w:t>
            </w:r>
          </w:p>
        </w:tc>
      </w:tr>
      <w:tr>
        <w:tblPrEx>
          <w:tblCellMar>
            <w:top w:w="0" w:type="dxa"/>
            <w:left w:w="15" w:type="dxa"/>
            <w:bottom w:w="0" w:type="dxa"/>
            <w:right w:w="15" w:type="dxa"/>
          </w:tblCellMar>
        </w:tblPrEx>
        <w:trPr>
          <w:trHeight w:val="697" w:hRule="atLeast"/>
          <w:jc w:val="center"/>
        </w:trPr>
        <w:tc>
          <w:tcPr>
            <w:tcW w:w="1138" w:type="dxa"/>
            <w:vMerge w:val="continue"/>
            <w:tcBorders>
              <w:left w:val="single" w:color="auto" w:sz="4" w:space="0"/>
              <w:bottom w:val="single" w:color="auto" w:sz="4" w:space="0"/>
              <w:right w:val="single" w:color="auto" w:sz="4" w:space="0"/>
            </w:tcBorders>
            <w:noWrap w:val="0"/>
            <w:vAlign w:val="center"/>
          </w:tcPr>
          <w:p>
            <w:pPr>
              <w:ind w:firstLine="632"/>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27</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eastAsia="仿宋_GB2312"/>
                <w:color w:val="000000"/>
                <w:sz w:val="20"/>
              </w:rPr>
            </w:pPr>
            <w:r>
              <w:rPr>
                <w:rFonts w:eastAsia="仿宋_GB2312"/>
                <w:color w:val="000000"/>
                <w:sz w:val="20"/>
              </w:rPr>
              <w:t>以乡（镇、街道）为单位适龄儿童免疫规划疫苗接种率（％）</w:t>
            </w:r>
          </w:p>
        </w:tc>
        <w:tc>
          <w:tcPr>
            <w:tcW w:w="1561"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spacing w:line="360" w:lineRule="exact"/>
              <w:ind w:firstLine="352"/>
              <w:jc w:val="center"/>
              <w:textAlignment w:val="center"/>
              <w:rPr>
                <w:rFonts w:eastAsia="仿宋_GB2312"/>
                <w:bCs/>
                <w:color w:val="000000"/>
                <w:sz w:val="18"/>
                <w:szCs w:val="18"/>
              </w:rPr>
            </w:pPr>
            <w:r>
              <w:rPr>
                <w:rFonts w:eastAsia="仿宋_GB2312"/>
                <w:bCs/>
                <w:color w:val="000000"/>
                <w:sz w:val="18"/>
                <w:szCs w:val="18"/>
              </w:rPr>
              <w:t>＞90</w:t>
            </w:r>
          </w:p>
        </w:tc>
      </w:tr>
    </w:tbl>
    <w:p>
      <w:pPr>
        <w:spacing w:line="320" w:lineRule="exact"/>
        <w:jc w:val="left"/>
        <w:rPr>
          <w:rFonts w:ascii="宋体" w:hAnsi="宋体"/>
          <w:szCs w:val="21"/>
        </w:rPr>
      </w:pPr>
      <w:r>
        <w:rPr>
          <w:rFonts w:hint="eastAsia" w:ascii="宋体" w:hAnsi="宋体"/>
          <w:color w:val="000000"/>
          <w:szCs w:val="21"/>
        </w:rPr>
        <w:t>备注：</w:t>
      </w:r>
      <w:r>
        <w:rPr>
          <w:rFonts w:ascii="宋体" w:hAnsi="宋体"/>
          <w:color w:val="000000"/>
          <w:szCs w:val="32"/>
        </w:rPr>
        <w:t>所有考核指标均以《健康秦皇岛行动》考核指标为准</w:t>
      </w:r>
    </w:p>
    <w:p>
      <w:pPr>
        <w:widowControl/>
        <w:jc w:val="left"/>
        <w:rPr>
          <w:rFonts w:ascii="黑体" w:eastAsia="黑体"/>
          <w:color w:val="000000"/>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0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2021-03-17T09:06:10Z</dcterms:created>
  <dc:creator>lenovo</dc:creator>
  <cp:lastModifiedBy>lenovo</cp:lastModifiedBy>
  <dcterms:modified xsi:type="dcterms:W3CDTF">2021-03-17T09:06:37Z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