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r>
        <w:rPr>
          <w:rFonts w:ascii="黑体" w:hAnsi="黑体" w:eastAsia="黑体" w:cs="黑体"/>
          <w:b/>
          <w:color w:val="000000"/>
          <w:sz w:val="44"/>
        </w:rPr>
        <w:t>2023年部门</w:t>
      </w:r>
      <w:bookmarkEnd w:id="19"/>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一、中共秦皇岛市海港区委办公室本级收支预算</w:t>
      </w:r>
      <w:r>
        <w:tab/>
      </w:r>
      <w:r>
        <w:fldChar w:fldCharType="begin"/>
      </w:r>
      <w:r>
        <w:instrText xml:space="preserve">PAGEREF _Toc_4_4_0000000019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docGrid w:linePitch="0" w:charSpace="0"/>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docGrid w:linePitch="0" w:charSpace="0"/>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bookmarkEnd w:id="0"/>
      <w:r>
        <w:rPr>
          <w:rFonts w:ascii="方正小标宋_GBK" w:hAnsi="方正小标宋_GBK" w:eastAsia="方正小标宋_GBK" w:cs="方正小标宋_GBK"/>
          <w:color w:val="000000"/>
          <w:sz w:val="36"/>
        </w:rPr>
        <w:t>部门预算收支总表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1244.25</w:t>
            </w:r>
          </w:p>
        </w:tc>
        <w:tc>
          <w:tcPr>
            <w:tcW w:w="4535" w:type="dxa"/>
            <w:vAlign w:val="center"/>
          </w:tcPr>
          <w:p>
            <w:pPr>
              <w:pStyle w:val="14"/>
            </w:pPr>
            <w:r>
              <w:t>一、一般公共服务支出</w:t>
            </w:r>
          </w:p>
        </w:tc>
        <w:tc>
          <w:tcPr>
            <w:tcW w:w="2126" w:type="dxa"/>
            <w:vAlign w:val="center"/>
          </w:tcPr>
          <w:p>
            <w:pPr>
              <w:pStyle w:val="13"/>
            </w:pPr>
            <w:r>
              <w:t>1008.60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1244.25</w:t>
            </w:r>
          </w:p>
        </w:tc>
        <w:tc>
          <w:tcPr>
            <w:tcW w:w="4535" w:type="dxa"/>
            <w:vAlign w:val="center"/>
          </w:tcPr>
          <w:p>
            <w:pPr>
              <w:pStyle w:val="16"/>
            </w:pPr>
            <w:r>
              <w:t>本年支出合计</w:t>
            </w:r>
          </w:p>
        </w:tc>
        <w:tc>
          <w:tcPr>
            <w:tcW w:w="2126" w:type="dxa"/>
            <w:vAlign w:val="center"/>
          </w:tcPr>
          <w:p>
            <w:pPr>
              <w:pStyle w:val="17"/>
            </w:pPr>
            <w:r>
              <w:t>1244.25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1244.25</w:t>
            </w:r>
          </w:p>
        </w:tc>
        <w:tc>
          <w:tcPr>
            <w:tcW w:w="4535" w:type="dxa"/>
            <w:vAlign w:val="center"/>
          </w:tcPr>
          <w:p>
            <w:pPr>
              <w:pStyle w:val="16"/>
            </w:pPr>
            <w:r>
              <w:t>支出总计</w:t>
            </w:r>
          </w:p>
        </w:tc>
        <w:tc>
          <w:tcPr>
            <w:tcW w:w="2126" w:type="dxa"/>
            <w:vAlign w:val="center"/>
          </w:tcPr>
          <w:p>
            <w:pPr>
              <w:pStyle w:val="17"/>
            </w:pPr>
            <w:r>
              <w:t>1244.25</w:t>
            </w:r>
          </w:p>
        </w:tc>
      </w:tr>
    </w:tbl>
    <w:p>
      <w:pPr>
        <w:sectPr>
          <w:pgSz w:w="16840" w:h="11900" w:orient="landscape"/>
          <w:pgMar w:top="1361" w:right="1020" w:bottom="1134" w:left="1020" w:header="720" w:footer="720" w:gutter="0"/>
          <w:cols w:space="720" w:num="1"/>
          <w:docGrid w:linePitch="0" w:charSpace="0"/>
        </w:sectPr>
      </w:pPr>
    </w:p>
    <w:p>
      <w:pPr>
        <w:jc w:val="center"/>
        <w:outlineLvl w:val="1"/>
      </w:pPr>
      <w:bookmarkStart w:id="1" w:name="_Toc_2_2_0000000002"/>
      <w:bookmarkEnd w:id="1"/>
      <w:r>
        <w:rPr>
          <w:rFonts w:ascii="方正小标宋_GBK" w:hAnsi="方正小标宋_GBK" w:eastAsia="方正小标宋_GBK" w:cs="方正小标宋_GBK"/>
          <w:color w:val="000000"/>
          <w:sz w:val="36"/>
        </w:rPr>
        <w:t>部门预算收入总表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3648"/>
        <w:gridCol w:w="236"/>
        <w:gridCol w:w="898"/>
        <w:gridCol w:w="1134"/>
        <w:gridCol w:w="803"/>
        <w:gridCol w:w="331"/>
        <w:gridCol w:w="992"/>
        <w:gridCol w:w="709"/>
        <w:gridCol w:w="709"/>
        <w:gridCol w:w="992"/>
        <w:gridCol w:w="1134"/>
        <w:gridCol w:w="179"/>
        <w:gridCol w:w="530"/>
        <w:gridCol w:w="604"/>
        <w:gridCol w:w="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5" w:type="dxa"/>
          <w:trHeight w:val="369" w:hRule="atLeast"/>
          <w:tblHeader/>
          <w:jc w:val="center"/>
        </w:trPr>
        <w:tc>
          <w:tcPr>
            <w:tcW w:w="5556" w:type="dxa"/>
            <w:gridSpan w:val="4"/>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83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6180"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5" w:type="dxa"/>
          <w:trHeight w:val="369" w:hRule="atLeast"/>
          <w:tblHeader/>
          <w:jc w:val="center"/>
        </w:trPr>
        <w:tc>
          <w:tcPr>
            <w:tcW w:w="680" w:type="dxa"/>
            <w:vMerge w:val="restart"/>
            <w:vAlign w:val="center"/>
          </w:tcPr>
          <w:p>
            <w:pPr>
              <w:pStyle w:val="12"/>
            </w:pPr>
            <w:r>
              <w:t>序号</w:t>
            </w:r>
          </w:p>
        </w:tc>
        <w:tc>
          <w:tcPr>
            <w:tcW w:w="4640" w:type="dxa"/>
            <w:gridSpan w:val="2"/>
            <w:vAlign w:val="center"/>
          </w:tcPr>
          <w:p>
            <w:pPr>
              <w:pStyle w:val="12"/>
            </w:pPr>
            <w:r>
              <w:t>功能分类科目</w:t>
            </w:r>
          </w:p>
        </w:tc>
        <w:tc>
          <w:tcPr>
            <w:tcW w:w="1134" w:type="dxa"/>
            <w:gridSpan w:val="2"/>
            <w:vMerge w:val="restart"/>
            <w:vAlign w:val="center"/>
          </w:tcPr>
          <w:p>
            <w:pPr>
              <w:pStyle w:val="12"/>
            </w:pPr>
            <w:r>
              <w:t>合计</w:t>
            </w:r>
          </w:p>
        </w:tc>
        <w:tc>
          <w:tcPr>
            <w:tcW w:w="6983" w:type="dxa"/>
            <w:gridSpan w:val="9"/>
            <w:vAlign w:val="center"/>
          </w:tcPr>
          <w:p>
            <w:pPr>
              <w:pStyle w:val="12"/>
            </w:pPr>
            <w:r>
              <w:t>本年收入</w:t>
            </w:r>
          </w:p>
        </w:tc>
        <w:tc>
          <w:tcPr>
            <w:tcW w:w="1134" w:type="dxa"/>
            <w:gridSpan w:val="2"/>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3648" w:type="dxa"/>
            <w:vAlign w:val="center"/>
          </w:tcPr>
          <w:p>
            <w:pPr>
              <w:pStyle w:val="12"/>
            </w:pPr>
            <w:r>
              <w:t>科目名称</w:t>
            </w:r>
          </w:p>
        </w:tc>
        <w:tc>
          <w:tcPr>
            <w:tcW w:w="1134" w:type="dxa"/>
            <w:gridSpan w:val="2"/>
            <w:vMerge w:val="continue"/>
          </w:tcPr>
          <w:p/>
        </w:tc>
        <w:tc>
          <w:tcPr>
            <w:tcW w:w="1134" w:type="dxa"/>
            <w:vAlign w:val="center"/>
          </w:tcPr>
          <w:p>
            <w:pPr>
              <w:pStyle w:val="12"/>
            </w:pPr>
            <w:r>
              <w:t>小计</w:t>
            </w:r>
          </w:p>
        </w:tc>
        <w:tc>
          <w:tcPr>
            <w:tcW w:w="1134" w:type="dxa"/>
            <w:gridSpan w:val="2"/>
            <w:vAlign w:val="center"/>
          </w:tcPr>
          <w:p>
            <w:pPr>
              <w:pStyle w:val="12"/>
            </w:pPr>
            <w:r>
              <w:t>财政拨款收入</w:t>
            </w:r>
          </w:p>
        </w:tc>
        <w:tc>
          <w:tcPr>
            <w:tcW w:w="992" w:type="dxa"/>
            <w:vAlign w:val="center"/>
          </w:tcPr>
          <w:p>
            <w:pPr>
              <w:pStyle w:val="12"/>
            </w:pPr>
            <w:r>
              <w:t>财政专户收入</w:t>
            </w:r>
          </w:p>
        </w:tc>
        <w:tc>
          <w:tcPr>
            <w:tcW w:w="709" w:type="dxa"/>
            <w:vAlign w:val="center"/>
          </w:tcPr>
          <w:p>
            <w:pPr>
              <w:pStyle w:val="12"/>
            </w:pPr>
            <w:r>
              <w:t>事业收入</w:t>
            </w:r>
          </w:p>
        </w:tc>
        <w:tc>
          <w:tcPr>
            <w:tcW w:w="709" w:type="dxa"/>
            <w:vAlign w:val="center"/>
          </w:tcPr>
          <w:p>
            <w:pPr>
              <w:pStyle w:val="12"/>
            </w:pPr>
            <w:r>
              <w:t>经营收入</w:t>
            </w:r>
          </w:p>
        </w:tc>
        <w:tc>
          <w:tcPr>
            <w:tcW w:w="992" w:type="dxa"/>
            <w:vAlign w:val="center"/>
          </w:tcPr>
          <w:p>
            <w:pPr>
              <w:pStyle w:val="12"/>
            </w:pPr>
            <w:r>
              <w:t>上级补助收入</w:t>
            </w:r>
          </w:p>
        </w:tc>
        <w:tc>
          <w:tcPr>
            <w:tcW w:w="1134" w:type="dxa"/>
            <w:vAlign w:val="center"/>
          </w:tcPr>
          <w:p>
            <w:pPr>
              <w:pStyle w:val="12"/>
            </w:pPr>
            <w:r>
              <w:t>附属单位上缴收入</w:t>
            </w:r>
          </w:p>
        </w:tc>
        <w:tc>
          <w:tcPr>
            <w:tcW w:w="709" w:type="dxa"/>
            <w:gridSpan w:val="2"/>
            <w:vAlign w:val="center"/>
          </w:tcPr>
          <w:p>
            <w:pPr>
              <w:pStyle w:val="12"/>
            </w:pPr>
            <w:r>
              <w:t>其他收入</w:t>
            </w:r>
          </w:p>
        </w:tc>
        <w:tc>
          <w:tcPr>
            <w:tcW w:w="699"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3648" w:type="dxa"/>
            <w:vAlign w:val="center"/>
          </w:tcPr>
          <w:p>
            <w:pPr>
              <w:pStyle w:val="12"/>
            </w:pPr>
            <w:r>
              <w:t>2</w:t>
            </w:r>
          </w:p>
        </w:tc>
        <w:tc>
          <w:tcPr>
            <w:tcW w:w="1134" w:type="dxa"/>
            <w:gridSpan w:val="2"/>
            <w:vAlign w:val="center"/>
          </w:tcPr>
          <w:p>
            <w:pPr>
              <w:pStyle w:val="12"/>
            </w:pPr>
            <w:r>
              <w:t>3</w:t>
            </w:r>
          </w:p>
        </w:tc>
        <w:tc>
          <w:tcPr>
            <w:tcW w:w="1134" w:type="dxa"/>
            <w:vAlign w:val="center"/>
          </w:tcPr>
          <w:p>
            <w:pPr>
              <w:pStyle w:val="12"/>
            </w:pPr>
            <w:r>
              <w:t>4</w:t>
            </w:r>
          </w:p>
        </w:tc>
        <w:tc>
          <w:tcPr>
            <w:tcW w:w="1134" w:type="dxa"/>
            <w:gridSpan w:val="2"/>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9" w:type="dxa"/>
            <w:vAlign w:val="center"/>
          </w:tcPr>
          <w:p>
            <w:pPr>
              <w:pStyle w:val="12"/>
            </w:pPr>
            <w:r>
              <w:t>8</w:t>
            </w:r>
          </w:p>
        </w:tc>
        <w:tc>
          <w:tcPr>
            <w:tcW w:w="992" w:type="dxa"/>
            <w:vAlign w:val="center"/>
          </w:tcPr>
          <w:p>
            <w:pPr>
              <w:pStyle w:val="12"/>
            </w:pPr>
            <w:r>
              <w:t>9</w:t>
            </w:r>
          </w:p>
        </w:tc>
        <w:tc>
          <w:tcPr>
            <w:tcW w:w="1134" w:type="dxa"/>
            <w:vAlign w:val="center"/>
          </w:tcPr>
          <w:p>
            <w:pPr>
              <w:pStyle w:val="12"/>
            </w:pPr>
            <w:r>
              <w:t>10</w:t>
            </w:r>
          </w:p>
        </w:tc>
        <w:tc>
          <w:tcPr>
            <w:tcW w:w="709" w:type="dxa"/>
            <w:gridSpan w:val="2"/>
            <w:vAlign w:val="center"/>
          </w:tcPr>
          <w:p>
            <w:pPr>
              <w:pStyle w:val="12"/>
            </w:pPr>
            <w:r>
              <w:t>11</w:t>
            </w:r>
          </w:p>
        </w:tc>
        <w:tc>
          <w:tcPr>
            <w:tcW w:w="699" w:type="dxa"/>
            <w:gridSpan w:val="2"/>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3648" w:type="dxa"/>
            <w:vAlign w:val="center"/>
          </w:tcPr>
          <w:p>
            <w:pPr>
              <w:pStyle w:val="16"/>
            </w:pPr>
            <w:r>
              <w:t>合计</w:t>
            </w:r>
          </w:p>
        </w:tc>
        <w:tc>
          <w:tcPr>
            <w:tcW w:w="1134" w:type="dxa"/>
            <w:gridSpan w:val="2"/>
            <w:vAlign w:val="center"/>
          </w:tcPr>
          <w:p>
            <w:pPr>
              <w:pStyle w:val="17"/>
            </w:pPr>
            <w:r>
              <w:t>1244.25</w:t>
            </w:r>
          </w:p>
        </w:tc>
        <w:tc>
          <w:tcPr>
            <w:tcW w:w="1134" w:type="dxa"/>
            <w:vAlign w:val="center"/>
          </w:tcPr>
          <w:p>
            <w:pPr>
              <w:pStyle w:val="17"/>
            </w:pPr>
            <w:r>
              <w:t>1244.25</w:t>
            </w:r>
          </w:p>
        </w:tc>
        <w:tc>
          <w:tcPr>
            <w:tcW w:w="1134" w:type="dxa"/>
            <w:gridSpan w:val="2"/>
            <w:vAlign w:val="center"/>
          </w:tcPr>
          <w:p>
            <w:pPr>
              <w:pStyle w:val="17"/>
            </w:pPr>
            <w:r>
              <w:t>1244.25</w:t>
            </w:r>
          </w:p>
        </w:tc>
        <w:tc>
          <w:tcPr>
            <w:tcW w:w="992" w:type="dxa"/>
            <w:vAlign w:val="center"/>
          </w:tcPr>
          <w:p>
            <w:pPr>
              <w:pStyle w:val="17"/>
            </w:pPr>
          </w:p>
        </w:tc>
        <w:tc>
          <w:tcPr>
            <w:tcW w:w="709" w:type="dxa"/>
            <w:vAlign w:val="center"/>
          </w:tcPr>
          <w:p>
            <w:pPr>
              <w:pStyle w:val="17"/>
            </w:pPr>
          </w:p>
        </w:tc>
        <w:tc>
          <w:tcPr>
            <w:tcW w:w="709" w:type="dxa"/>
            <w:vAlign w:val="center"/>
          </w:tcPr>
          <w:p>
            <w:pPr>
              <w:pStyle w:val="17"/>
            </w:pPr>
          </w:p>
        </w:tc>
        <w:tc>
          <w:tcPr>
            <w:tcW w:w="992" w:type="dxa"/>
            <w:vAlign w:val="center"/>
          </w:tcPr>
          <w:p>
            <w:pPr>
              <w:pStyle w:val="17"/>
            </w:pPr>
          </w:p>
        </w:tc>
        <w:tc>
          <w:tcPr>
            <w:tcW w:w="1134" w:type="dxa"/>
            <w:vAlign w:val="center"/>
          </w:tcPr>
          <w:p>
            <w:pPr>
              <w:pStyle w:val="17"/>
            </w:pPr>
          </w:p>
        </w:tc>
        <w:tc>
          <w:tcPr>
            <w:tcW w:w="709" w:type="dxa"/>
            <w:gridSpan w:val="2"/>
            <w:vAlign w:val="center"/>
          </w:tcPr>
          <w:p>
            <w:pPr>
              <w:pStyle w:val="17"/>
            </w:pPr>
          </w:p>
        </w:tc>
        <w:tc>
          <w:tcPr>
            <w:tcW w:w="699"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3648" w:type="dxa"/>
            <w:vAlign w:val="center"/>
          </w:tcPr>
          <w:p>
            <w:pPr>
              <w:pStyle w:val="14"/>
            </w:pPr>
            <w:r>
              <w:t>一般公共服务支出</w:t>
            </w:r>
          </w:p>
        </w:tc>
        <w:tc>
          <w:tcPr>
            <w:tcW w:w="1134" w:type="dxa"/>
            <w:gridSpan w:val="2"/>
            <w:vAlign w:val="center"/>
          </w:tcPr>
          <w:p>
            <w:pPr>
              <w:pStyle w:val="13"/>
            </w:pPr>
            <w:r>
              <w:t>1008.60</w:t>
            </w:r>
          </w:p>
        </w:tc>
        <w:tc>
          <w:tcPr>
            <w:tcW w:w="1134" w:type="dxa"/>
            <w:vAlign w:val="center"/>
          </w:tcPr>
          <w:p>
            <w:pPr>
              <w:pStyle w:val="13"/>
            </w:pPr>
            <w:r>
              <w:t>1008.60</w:t>
            </w:r>
          </w:p>
        </w:tc>
        <w:tc>
          <w:tcPr>
            <w:tcW w:w="1134" w:type="dxa"/>
            <w:gridSpan w:val="2"/>
            <w:vAlign w:val="center"/>
          </w:tcPr>
          <w:p>
            <w:pPr>
              <w:pStyle w:val="13"/>
            </w:pPr>
            <w:r>
              <w:t>1008.60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3648" w:type="dxa"/>
            <w:vAlign w:val="center"/>
          </w:tcPr>
          <w:p>
            <w:pPr>
              <w:pStyle w:val="14"/>
            </w:pPr>
            <w:r>
              <w:t>党委办公厅（室）及相关机构事务</w:t>
            </w:r>
          </w:p>
        </w:tc>
        <w:tc>
          <w:tcPr>
            <w:tcW w:w="1134" w:type="dxa"/>
            <w:gridSpan w:val="2"/>
            <w:vAlign w:val="center"/>
          </w:tcPr>
          <w:p>
            <w:pPr>
              <w:pStyle w:val="13"/>
            </w:pPr>
            <w:r>
              <w:t>1008.60</w:t>
            </w:r>
          </w:p>
        </w:tc>
        <w:tc>
          <w:tcPr>
            <w:tcW w:w="1134" w:type="dxa"/>
            <w:vAlign w:val="center"/>
          </w:tcPr>
          <w:p>
            <w:pPr>
              <w:pStyle w:val="13"/>
            </w:pPr>
            <w:r>
              <w:t>1008.60</w:t>
            </w:r>
          </w:p>
        </w:tc>
        <w:tc>
          <w:tcPr>
            <w:tcW w:w="1134" w:type="dxa"/>
            <w:gridSpan w:val="2"/>
            <w:vAlign w:val="center"/>
          </w:tcPr>
          <w:p>
            <w:pPr>
              <w:pStyle w:val="13"/>
            </w:pPr>
            <w:r>
              <w:t>1008.60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3648" w:type="dxa"/>
            <w:vAlign w:val="center"/>
          </w:tcPr>
          <w:p>
            <w:pPr>
              <w:pStyle w:val="14"/>
            </w:pPr>
            <w:r>
              <w:t>行政运行</w:t>
            </w:r>
          </w:p>
        </w:tc>
        <w:tc>
          <w:tcPr>
            <w:tcW w:w="1134" w:type="dxa"/>
            <w:gridSpan w:val="2"/>
            <w:vAlign w:val="center"/>
          </w:tcPr>
          <w:p>
            <w:pPr>
              <w:pStyle w:val="13"/>
            </w:pPr>
            <w:r>
              <w:t>633.60</w:t>
            </w:r>
          </w:p>
        </w:tc>
        <w:tc>
          <w:tcPr>
            <w:tcW w:w="1134" w:type="dxa"/>
            <w:vAlign w:val="center"/>
          </w:tcPr>
          <w:p>
            <w:pPr>
              <w:pStyle w:val="13"/>
            </w:pPr>
            <w:r>
              <w:t>633.60</w:t>
            </w:r>
          </w:p>
        </w:tc>
        <w:tc>
          <w:tcPr>
            <w:tcW w:w="1134" w:type="dxa"/>
            <w:gridSpan w:val="2"/>
            <w:vAlign w:val="center"/>
          </w:tcPr>
          <w:p>
            <w:pPr>
              <w:pStyle w:val="13"/>
            </w:pPr>
            <w:r>
              <w:t>633.60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3648" w:type="dxa"/>
            <w:vAlign w:val="center"/>
          </w:tcPr>
          <w:p>
            <w:pPr>
              <w:pStyle w:val="14"/>
            </w:pPr>
            <w:r>
              <w:t>一般行政管理事务</w:t>
            </w:r>
          </w:p>
        </w:tc>
        <w:tc>
          <w:tcPr>
            <w:tcW w:w="1134" w:type="dxa"/>
            <w:gridSpan w:val="2"/>
            <w:vAlign w:val="center"/>
          </w:tcPr>
          <w:p>
            <w:pPr>
              <w:pStyle w:val="13"/>
            </w:pPr>
            <w:r>
              <w:t>375.00</w:t>
            </w:r>
          </w:p>
        </w:tc>
        <w:tc>
          <w:tcPr>
            <w:tcW w:w="1134" w:type="dxa"/>
            <w:vAlign w:val="center"/>
          </w:tcPr>
          <w:p>
            <w:pPr>
              <w:pStyle w:val="13"/>
            </w:pPr>
            <w:r>
              <w:t>375.00</w:t>
            </w:r>
          </w:p>
        </w:tc>
        <w:tc>
          <w:tcPr>
            <w:tcW w:w="1134" w:type="dxa"/>
            <w:gridSpan w:val="2"/>
            <w:vAlign w:val="center"/>
          </w:tcPr>
          <w:p>
            <w:pPr>
              <w:pStyle w:val="13"/>
            </w:pPr>
            <w:r>
              <w:t>375.00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3648" w:type="dxa"/>
            <w:vAlign w:val="center"/>
          </w:tcPr>
          <w:p>
            <w:pPr>
              <w:pStyle w:val="14"/>
            </w:pPr>
            <w:r>
              <w:t>社会保障和就业支出</w:t>
            </w:r>
          </w:p>
        </w:tc>
        <w:tc>
          <w:tcPr>
            <w:tcW w:w="1134" w:type="dxa"/>
            <w:gridSpan w:val="2"/>
            <w:vAlign w:val="center"/>
          </w:tcPr>
          <w:p>
            <w:pPr>
              <w:pStyle w:val="13"/>
            </w:pPr>
            <w:r>
              <w:t>107.72</w:t>
            </w:r>
          </w:p>
        </w:tc>
        <w:tc>
          <w:tcPr>
            <w:tcW w:w="1134" w:type="dxa"/>
            <w:vAlign w:val="center"/>
          </w:tcPr>
          <w:p>
            <w:pPr>
              <w:pStyle w:val="13"/>
            </w:pPr>
            <w:r>
              <w:t>107.72</w:t>
            </w:r>
          </w:p>
        </w:tc>
        <w:tc>
          <w:tcPr>
            <w:tcW w:w="1134" w:type="dxa"/>
            <w:gridSpan w:val="2"/>
            <w:vAlign w:val="center"/>
          </w:tcPr>
          <w:p>
            <w:pPr>
              <w:pStyle w:val="13"/>
            </w:pPr>
            <w:r>
              <w:t>107.72</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3648" w:type="dxa"/>
            <w:vAlign w:val="center"/>
          </w:tcPr>
          <w:p>
            <w:pPr>
              <w:pStyle w:val="14"/>
            </w:pPr>
            <w:r>
              <w:t>行政事业单位养老支出</w:t>
            </w:r>
          </w:p>
        </w:tc>
        <w:tc>
          <w:tcPr>
            <w:tcW w:w="1134" w:type="dxa"/>
            <w:gridSpan w:val="2"/>
            <w:vAlign w:val="center"/>
          </w:tcPr>
          <w:p>
            <w:pPr>
              <w:pStyle w:val="13"/>
            </w:pPr>
            <w:r>
              <w:t>106.72</w:t>
            </w:r>
          </w:p>
        </w:tc>
        <w:tc>
          <w:tcPr>
            <w:tcW w:w="1134" w:type="dxa"/>
            <w:vAlign w:val="center"/>
          </w:tcPr>
          <w:p>
            <w:pPr>
              <w:pStyle w:val="13"/>
            </w:pPr>
            <w:r>
              <w:t>106.72</w:t>
            </w:r>
          </w:p>
        </w:tc>
        <w:tc>
          <w:tcPr>
            <w:tcW w:w="1134" w:type="dxa"/>
            <w:gridSpan w:val="2"/>
            <w:vAlign w:val="center"/>
          </w:tcPr>
          <w:p>
            <w:pPr>
              <w:pStyle w:val="13"/>
            </w:pPr>
            <w:r>
              <w:t>106.72</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3648" w:type="dxa"/>
            <w:vAlign w:val="center"/>
          </w:tcPr>
          <w:p>
            <w:pPr>
              <w:pStyle w:val="14"/>
            </w:pPr>
            <w:r>
              <w:t>行政单位离退休</w:t>
            </w:r>
          </w:p>
        </w:tc>
        <w:tc>
          <w:tcPr>
            <w:tcW w:w="1134" w:type="dxa"/>
            <w:gridSpan w:val="2"/>
            <w:vAlign w:val="center"/>
          </w:tcPr>
          <w:p>
            <w:pPr>
              <w:pStyle w:val="13"/>
            </w:pPr>
            <w:r>
              <w:t>10.75</w:t>
            </w:r>
          </w:p>
        </w:tc>
        <w:tc>
          <w:tcPr>
            <w:tcW w:w="1134" w:type="dxa"/>
            <w:vAlign w:val="center"/>
          </w:tcPr>
          <w:p>
            <w:pPr>
              <w:pStyle w:val="13"/>
            </w:pPr>
            <w:r>
              <w:t>10.75</w:t>
            </w:r>
          </w:p>
        </w:tc>
        <w:tc>
          <w:tcPr>
            <w:tcW w:w="1134" w:type="dxa"/>
            <w:gridSpan w:val="2"/>
            <w:vAlign w:val="center"/>
          </w:tcPr>
          <w:p>
            <w:pPr>
              <w:pStyle w:val="13"/>
            </w:pPr>
            <w:r>
              <w:t>10.75</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3648" w:type="dxa"/>
            <w:vAlign w:val="center"/>
          </w:tcPr>
          <w:p>
            <w:pPr>
              <w:pStyle w:val="14"/>
            </w:pPr>
            <w:r>
              <w:t>机关事业单位基本养老保险缴费支出</w:t>
            </w:r>
          </w:p>
        </w:tc>
        <w:tc>
          <w:tcPr>
            <w:tcW w:w="1134" w:type="dxa"/>
            <w:gridSpan w:val="2"/>
            <w:vAlign w:val="center"/>
          </w:tcPr>
          <w:p>
            <w:pPr>
              <w:pStyle w:val="13"/>
            </w:pPr>
            <w:r>
              <w:t>95.97</w:t>
            </w:r>
          </w:p>
        </w:tc>
        <w:tc>
          <w:tcPr>
            <w:tcW w:w="1134" w:type="dxa"/>
            <w:vAlign w:val="center"/>
          </w:tcPr>
          <w:p>
            <w:pPr>
              <w:pStyle w:val="13"/>
            </w:pPr>
            <w:r>
              <w:t>95.97</w:t>
            </w:r>
          </w:p>
        </w:tc>
        <w:tc>
          <w:tcPr>
            <w:tcW w:w="1134" w:type="dxa"/>
            <w:gridSpan w:val="2"/>
            <w:vAlign w:val="center"/>
          </w:tcPr>
          <w:p>
            <w:pPr>
              <w:pStyle w:val="13"/>
            </w:pPr>
            <w:r>
              <w:t>95.97</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w:t>
            </w:r>
          </w:p>
        </w:tc>
        <w:tc>
          <w:tcPr>
            <w:tcW w:w="3648" w:type="dxa"/>
            <w:vAlign w:val="center"/>
          </w:tcPr>
          <w:p>
            <w:pPr>
              <w:pStyle w:val="14"/>
            </w:pPr>
            <w:r>
              <w:t>抚恤</w:t>
            </w:r>
          </w:p>
        </w:tc>
        <w:tc>
          <w:tcPr>
            <w:tcW w:w="1134" w:type="dxa"/>
            <w:gridSpan w:val="2"/>
            <w:vAlign w:val="center"/>
          </w:tcPr>
          <w:p>
            <w:pPr>
              <w:pStyle w:val="13"/>
            </w:pPr>
            <w:r>
              <w:t>1.00</w:t>
            </w:r>
          </w:p>
        </w:tc>
        <w:tc>
          <w:tcPr>
            <w:tcW w:w="1134" w:type="dxa"/>
            <w:vAlign w:val="center"/>
          </w:tcPr>
          <w:p>
            <w:pPr>
              <w:pStyle w:val="13"/>
            </w:pPr>
            <w:r>
              <w:t>1.00</w:t>
            </w:r>
          </w:p>
        </w:tc>
        <w:tc>
          <w:tcPr>
            <w:tcW w:w="1134" w:type="dxa"/>
            <w:gridSpan w:val="2"/>
            <w:vAlign w:val="center"/>
          </w:tcPr>
          <w:p>
            <w:pPr>
              <w:pStyle w:val="13"/>
            </w:pPr>
            <w:r>
              <w:t>1.00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2080899</w:t>
            </w:r>
          </w:p>
        </w:tc>
        <w:tc>
          <w:tcPr>
            <w:tcW w:w="3648" w:type="dxa"/>
            <w:vAlign w:val="center"/>
          </w:tcPr>
          <w:p>
            <w:pPr>
              <w:pStyle w:val="14"/>
            </w:pPr>
            <w:r>
              <w:t>其他优抚支出</w:t>
            </w:r>
          </w:p>
        </w:tc>
        <w:tc>
          <w:tcPr>
            <w:tcW w:w="1134" w:type="dxa"/>
            <w:gridSpan w:val="2"/>
            <w:vAlign w:val="center"/>
          </w:tcPr>
          <w:p>
            <w:pPr>
              <w:pStyle w:val="13"/>
            </w:pPr>
            <w:r>
              <w:t>1.00</w:t>
            </w:r>
          </w:p>
        </w:tc>
        <w:tc>
          <w:tcPr>
            <w:tcW w:w="1134" w:type="dxa"/>
            <w:vAlign w:val="center"/>
          </w:tcPr>
          <w:p>
            <w:pPr>
              <w:pStyle w:val="13"/>
            </w:pPr>
            <w:r>
              <w:t>1.00</w:t>
            </w:r>
          </w:p>
        </w:tc>
        <w:tc>
          <w:tcPr>
            <w:tcW w:w="1134" w:type="dxa"/>
            <w:gridSpan w:val="2"/>
            <w:vAlign w:val="center"/>
          </w:tcPr>
          <w:p>
            <w:pPr>
              <w:pStyle w:val="13"/>
            </w:pPr>
            <w:r>
              <w:t>1.00</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3648" w:type="dxa"/>
            <w:vAlign w:val="center"/>
          </w:tcPr>
          <w:p>
            <w:pPr>
              <w:pStyle w:val="14"/>
            </w:pPr>
            <w:r>
              <w:t>卫生健康支出</w:t>
            </w:r>
          </w:p>
        </w:tc>
        <w:tc>
          <w:tcPr>
            <w:tcW w:w="1134" w:type="dxa"/>
            <w:gridSpan w:val="2"/>
            <w:vAlign w:val="center"/>
          </w:tcPr>
          <w:p>
            <w:pPr>
              <w:pStyle w:val="13"/>
            </w:pPr>
            <w:r>
              <w:t>79.56</w:t>
            </w:r>
          </w:p>
        </w:tc>
        <w:tc>
          <w:tcPr>
            <w:tcW w:w="1134" w:type="dxa"/>
            <w:vAlign w:val="center"/>
          </w:tcPr>
          <w:p>
            <w:pPr>
              <w:pStyle w:val="13"/>
            </w:pPr>
            <w:r>
              <w:t>79.56</w:t>
            </w:r>
          </w:p>
        </w:tc>
        <w:tc>
          <w:tcPr>
            <w:tcW w:w="1134" w:type="dxa"/>
            <w:gridSpan w:val="2"/>
            <w:vAlign w:val="center"/>
          </w:tcPr>
          <w:p>
            <w:pPr>
              <w:pStyle w:val="13"/>
            </w:pPr>
            <w:r>
              <w:t>79.56</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3648" w:type="dxa"/>
            <w:vAlign w:val="center"/>
          </w:tcPr>
          <w:p>
            <w:pPr>
              <w:pStyle w:val="14"/>
            </w:pPr>
            <w:r>
              <w:t>行政事业单位医疗</w:t>
            </w:r>
          </w:p>
        </w:tc>
        <w:tc>
          <w:tcPr>
            <w:tcW w:w="1134" w:type="dxa"/>
            <w:gridSpan w:val="2"/>
            <w:vAlign w:val="center"/>
          </w:tcPr>
          <w:p>
            <w:pPr>
              <w:pStyle w:val="13"/>
            </w:pPr>
            <w:r>
              <w:t>79.56</w:t>
            </w:r>
          </w:p>
        </w:tc>
        <w:tc>
          <w:tcPr>
            <w:tcW w:w="1134" w:type="dxa"/>
            <w:vAlign w:val="center"/>
          </w:tcPr>
          <w:p>
            <w:pPr>
              <w:pStyle w:val="13"/>
            </w:pPr>
            <w:r>
              <w:t>79.56</w:t>
            </w:r>
          </w:p>
        </w:tc>
        <w:tc>
          <w:tcPr>
            <w:tcW w:w="1134" w:type="dxa"/>
            <w:gridSpan w:val="2"/>
            <w:vAlign w:val="center"/>
          </w:tcPr>
          <w:p>
            <w:pPr>
              <w:pStyle w:val="13"/>
            </w:pPr>
            <w:r>
              <w:t>79.56</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3648" w:type="dxa"/>
            <w:vAlign w:val="center"/>
          </w:tcPr>
          <w:p>
            <w:pPr>
              <w:pStyle w:val="14"/>
            </w:pPr>
            <w:r>
              <w:t>行政单位医疗</w:t>
            </w:r>
          </w:p>
        </w:tc>
        <w:tc>
          <w:tcPr>
            <w:tcW w:w="1134" w:type="dxa"/>
            <w:gridSpan w:val="2"/>
            <w:vAlign w:val="center"/>
          </w:tcPr>
          <w:p>
            <w:pPr>
              <w:pStyle w:val="13"/>
            </w:pPr>
            <w:r>
              <w:t>37.82</w:t>
            </w:r>
          </w:p>
        </w:tc>
        <w:tc>
          <w:tcPr>
            <w:tcW w:w="1134" w:type="dxa"/>
            <w:vAlign w:val="center"/>
          </w:tcPr>
          <w:p>
            <w:pPr>
              <w:pStyle w:val="13"/>
            </w:pPr>
            <w:r>
              <w:t>37.82</w:t>
            </w:r>
          </w:p>
        </w:tc>
        <w:tc>
          <w:tcPr>
            <w:tcW w:w="1134" w:type="dxa"/>
            <w:gridSpan w:val="2"/>
            <w:vAlign w:val="center"/>
          </w:tcPr>
          <w:p>
            <w:pPr>
              <w:pStyle w:val="13"/>
            </w:pPr>
            <w:r>
              <w:t>37.82</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2101103</w:t>
            </w:r>
          </w:p>
        </w:tc>
        <w:tc>
          <w:tcPr>
            <w:tcW w:w="3648" w:type="dxa"/>
            <w:vAlign w:val="center"/>
          </w:tcPr>
          <w:p>
            <w:pPr>
              <w:pStyle w:val="14"/>
            </w:pPr>
            <w:r>
              <w:t>公务员医疗补助</w:t>
            </w:r>
          </w:p>
        </w:tc>
        <w:tc>
          <w:tcPr>
            <w:tcW w:w="1134" w:type="dxa"/>
            <w:gridSpan w:val="2"/>
            <w:vAlign w:val="center"/>
          </w:tcPr>
          <w:p>
            <w:pPr>
              <w:pStyle w:val="13"/>
            </w:pPr>
            <w:r>
              <w:t>41.74</w:t>
            </w:r>
          </w:p>
        </w:tc>
        <w:tc>
          <w:tcPr>
            <w:tcW w:w="1134" w:type="dxa"/>
            <w:vAlign w:val="center"/>
          </w:tcPr>
          <w:p>
            <w:pPr>
              <w:pStyle w:val="13"/>
            </w:pPr>
            <w:r>
              <w:t>41.74</w:t>
            </w:r>
          </w:p>
        </w:tc>
        <w:tc>
          <w:tcPr>
            <w:tcW w:w="1134" w:type="dxa"/>
            <w:gridSpan w:val="2"/>
            <w:vAlign w:val="center"/>
          </w:tcPr>
          <w:p>
            <w:pPr>
              <w:pStyle w:val="13"/>
            </w:pPr>
            <w:r>
              <w:t>41.74</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3648" w:type="dxa"/>
            <w:vAlign w:val="center"/>
          </w:tcPr>
          <w:p>
            <w:pPr>
              <w:pStyle w:val="14"/>
            </w:pPr>
            <w:r>
              <w:t>住房保障支出</w:t>
            </w:r>
          </w:p>
        </w:tc>
        <w:tc>
          <w:tcPr>
            <w:tcW w:w="1134" w:type="dxa"/>
            <w:gridSpan w:val="2"/>
            <w:vAlign w:val="center"/>
          </w:tcPr>
          <w:p>
            <w:pPr>
              <w:pStyle w:val="13"/>
            </w:pPr>
            <w:r>
              <w:t>48.37</w:t>
            </w:r>
          </w:p>
        </w:tc>
        <w:tc>
          <w:tcPr>
            <w:tcW w:w="1134" w:type="dxa"/>
            <w:vAlign w:val="center"/>
          </w:tcPr>
          <w:p>
            <w:pPr>
              <w:pStyle w:val="13"/>
            </w:pPr>
            <w:r>
              <w:t>48.37</w:t>
            </w:r>
          </w:p>
        </w:tc>
        <w:tc>
          <w:tcPr>
            <w:tcW w:w="1134" w:type="dxa"/>
            <w:gridSpan w:val="2"/>
            <w:vAlign w:val="center"/>
          </w:tcPr>
          <w:p>
            <w:pPr>
              <w:pStyle w:val="13"/>
            </w:pPr>
            <w:r>
              <w:t>48.37</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3648" w:type="dxa"/>
            <w:vAlign w:val="center"/>
          </w:tcPr>
          <w:p>
            <w:pPr>
              <w:pStyle w:val="14"/>
            </w:pPr>
            <w:r>
              <w:t>住房改革支出</w:t>
            </w:r>
          </w:p>
        </w:tc>
        <w:tc>
          <w:tcPr>
            <w:tcW w:w="1134" w:type="dxa"/>
            <w:gridSpan w:val="2"/>
            <w:vAlign w:val="center"/>
          </w:tcPr>
          <w:p>
            <w:pPr>
              <w:pStyle w:val="13"/>
            </w:pPr>
            <w:r>
              <w:t>48.37</w:t>
            </w:r>
          </w:p>
        </w:tc>
        <w:tc>
          <w:tcPr>
            <w:tcW w:w="1134" w:type="dxa"/>
            <w:vAlign w:val="center"/>
          </w:tcPr>
          <w:p>
            <w:pPr>
              <w:pStyle w:val="13"/>
            </w:pPr>
            <w:r>
              <w:t>48.37</w:t>
            </w:r>
          </w:p>
        </w:tc>
        <w:tc>
          <w:tcPr>
            <w:tcW w:w="1134" w:type="dxa"/>
            <w:gridSpan w:val="2"/>
            <w:vAlign w:val="center"/>
          </w:tcPr>
          <w:p>
            <w:pPr>
              <w:pStyle w:val="13"/>
            </w:pPr>
            <w:r>
              <w:t>48.37</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3648" w:type="dxa"/>
            <w:vAlign w:val="center"/>
          </w:tcPr>
          <w:p>
            <w:pPr>
              <w:pStyle w:val="14"/>
            </w:pPr>
            <w:r>
              <w:t>住房公积金</w:t>
            </w:r>
          </w:p>
        </w:tc>
        <w:tc>
          <w:tcPr>
            <w:tcW w:w="1134" w:type="dxa"/>
            <w:gridSpan w:val="2"/>
            <w:vAlign w:val="center"/>
          </w:tcPr>
          <w:p>
            <w:pPr>
              <w:pStyle w:val="13"/>
            </w:pPr>
            <w:r>
              <w:t>48.37</w:t>
            </w:r>
          </w:p>
        </w:tc>
        <w:tc>
          <w:tcPr>
            <w:tcW w:w="1134" w:type="dxa"/>
            <w:vAlign w:val="center"/>
          </w:tcPr>
          <w:p>
            <w:pPr>
              <w:pStyle w:val="13"/>
            </w:pPr>
            <w:r>
              <w:t>48.37</w:t>
            </w:r>
          </w:p>
        </w:tc>
        <w:tc>
          <w:tcPr>
            <w:tcW w:w="1134" w:type="dxa"/>
            <w:gridSpan w:val="2"/>
            <w:vAlign w:val="center"/>
          </w:tcPr>
          <w:p>
            <w:pPr>
              <w:pStyle w:val="13"/>
            </w:pPr>
            <w:r>
              <w:t>48.37</w:t>
            </w:r>
          </w:p>
        </w:tc>
        <w:tc>
          <w:tcPr>
            <w:tcW w:w="992" w:type="dxa"/>
            <w:vAlign w:val="center"/>
          </w:tcPr>
          <w:p>
            <w:pPr>
              <w:pStyle w:val="13"/>
            </w:pPr>
          </w:p>
        </w:tc>
        <w:tc>
          <w:tcPr>
            <w:tcW w:w="709" w:type="dxa"/>
            <w:vAlign w:val="center"/>
          </w:tcPr>
          <w:p>
            <w:pPr>
              <w:pStyle w:val="13"/>
            </w:pPr>
          </w:p>
        </w:tc>
        <w:tc>
          <w:tcPr>
            <w:tcW w:w="709" w:type="dxa"/>
            <w:vAlign w:val="center"/>
          </w:tcPr>
          <w:p>
            <w:pPr>
              <w:pStyle w:val="13"/>
            </w:pPr>
          </w:p>
        </w:tc>
        <w:tc>
          <w:tcPr>
            <w:tcW w:w="992" w:type="dxa"/>
            <w:vAlign w:val="center"/>
          </w:tcPr>
          <w:p>
            <w:pPr>
              <w:pStyle w:val="13"/>
            </w:pPr>
          </w:p>
        </w:tc>
        <w:tc>
          <w:tcPr>
            <w:tcW w:w="1134" w:type="dxa"/>
            <w:vAlign w:val="center"/>
          </w:tcPr>
          <w:p>
            <w:pPr>
              <w:pStyle w:val="13"/>
            </w:pPr>
          </w:p>
        </w:tc>
        <w:tc>
          <w:tcPr>
            <w:tcW w:w="709" w:type="dxa"/>
            <w:gridSpan w:val="2"/>
            <w:vAlign w:val="center"/>
          </w:tcPr>
          <w:p>
            <w:pPr>
              <w:pStyle w:val="13"/>
            </w:pPr>
          </w:p>
        </w:tc>
        <w:tc>
          <w:tcPr>
            <w:tcW w:w="699" w:type="dxa"/>
            <w:gridSpan w:val="2"/>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1"/>
      </w:pPr>
      <w:bookmarkStart w:id="2" w:name="_Toc_2_2_0000000003"/>
      <w:bookmarkEnd w:id="2"/>
      <w:r>
        <w:rPr>
          <w:rFonts w:ascii="方正小标宋_GBK" w:hAnsi="方正小标宋_GBK" w:eastAsia="方正小标宋_GBK" w:cs="方正小标宋_GBK"/>
          <w:color w:val="000000"/>
          <w:sz w:val="36"/>
        </w:rPr>
        <w:t>部门预算支出总表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1244.25</w:t>
            </w:r>
          </w:p>
        </w:tc>
        <w:tc>
          <w:tcPr>
            <w:tcW w:w="1361" w:type="dxa"/>
            <w:vAlign w:val="center"/>
          </w:tcPr>
          <w:p>
            <w:pPr>
              <w:pStyle w:val="17"/>
            </w:pPr>
            <w:r>
              <w:t>869.25</w:t>
            </w:r>
          </w:p>
        </w:tc>
        <w:tc>
          <w:tcPr>
            <w:tcW w:w="1361" w:type="dxa"/>
            <w:vAlign w:val="center"/>
          </w:tcPr>
          <w:p>
            <w:pPr>
              <w:pStyle w:val="17"/>
            </w:pPr>
            <w:r>
              <w:t>375.00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1008.60</w:t>
            </w:r>
          </w:p>
        </w:tc>
        <w:tc>
          <w:tcPr>
            <w:tcW w:w="1361" w:type="dxa"/>
            <w:vAlign w:val="center"/>
          </w:tcPr>
          <w:p>
            <w:pPr>
              <w:pStyle w:val="13"/>
            </w:pPr>
            <w:r>
              <w:t>633.60</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1008.60</w:t>
            </w:r>
          </w:p>
        </w:tc>
        <w:tc>
          <w:tcPr>
            <w:tcW w:w="1361" w:type="dxa"/>
            <w:vAlign w:val="center"/>
          </w:tcPr>
          <w:p>
            <w:pPr>
              <w:pStyle w:val="13"/>
            </w:pPr>
            <w:r>
              <w:t>633.60</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633.60</w:t>
            </w: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107.72</w:t>
            </w:r>
          </w:p>
        </w:tc>
        <w:tc>
          <w:tcPr>
            <w:tcW w:w="1361" w:type="dxa"/>
            <w:vAlign w:val="center"/>
          </w:tcPr>
          <w:p>
            <w:pPr>
              <w:pStyle w:val="13"/>
            </w:pPr>
            <w:r>
              <w:t>107.72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106.72</w:t>
            </w:r>
          </w:p>
        </w:tc>
        <w:tc>
          <w:tcPr>
            <w:tcW w:w="1361" w:type="dxa"/>
            <w:vAlign w:val="center"/>
          </w:tcPr>
          <w:p>
            <w:pPr>
              <w:pStyle w:val="13"/>
            </w:pPr>
            <w:r>
              <w:t>106.72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10.75</w:t>
            </w:r>
          </w:p>
        </w:tc>
        <w:tc>
          <w:tcPr>
            <w:tcW w:w="1361" w:type="dxa"/>
            <w:vAlign w:val="center"/>
          </w:tcPr>
          <w:p>
            <w:pPr>
              <w:pStyle w:val="13"/>
            </w:pPr>
            <w:r>
              <w:t>10.75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95.97</w:t>
            </w:r>
          </w:p>
        </w:tc>
        <w:tc>
          <w:tcPr>
            <w:tcW w:w="1361" w:type="dxa"/>
            <w:vAlign w:val="center"/>
          </w:tcPr>
          <w:p>
            <w:pPr>
              <w:pStyle w:val="13"/>
            </w:pPr>
            <w:r>
              <w:t>95.97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79.56</w:t>
            </w:r>
          </w:p>
        </w:tc>
        <w:tc>
          <w:tcPr>
            <w:tcW w:w="1361" w:type="dxa"/>
            <w:vAlign w:val="center"/>
          </w:tcPr>
          <w:p>
            <w:pPr>
              <w:pStyle w:val="13"/>
            </w:pPr>
            <w:r>
              <w:t>79.56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79.56</w:t>
            </w:r>
          </w:p>
        </w:tc>
        <w:tc>
          <w:tcPr>
            <w:tcW w:w="1361" w:type="dxa"/>
            <w:vAlign w:val="center"/>
          </w:tcPr>
          <w:p>
            <w:pPr>
              <w:pStyle w:val="13"/>
            </w:pPr>
            <w:r>
              <w:t>79.56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41.74</w:t>
            </w:r>
          </w:p>
        </w:tc>
        <w:tc>
          <w:tcPr>
            <w:tcW w:w="1361" w:type="dxa"/>
            <w:vAlign w:val="center"/>
          </w:tcPr>
          <w:p>
            <w:pPr>
              <w:pStyle w:val="13"/>
            </w:pPr>
            <w:r>
              <w:t>41.74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1"/>
      </w:pPr>
      <w:bookmarkStart w:id="3" w:name="_Toc_2_2_0000000004"/>
      <w:bookmarkEnd w:id="3"/>
      <w:r>
        <w:rPr>
          <w:rFonts w:ascii="方正小标宋_GBK" w:hAnsi="方正小标宋_GBK" w:eastAsia="方正小标宋_GBK" w:cs="方正小标宋_GBK"/>
          <w:color w:val="000000"/>
          <w:sz w:val="36"/>
        </w:rPr>
        <w:t>部门预算财政拨款收支总表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332"/>
        <w:gridCol w:w="1418"/>
        <w:gridCol w:w="1559"/>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332" w:type="dxa"/>
            <w:vAlign w:val="center"/>
          </w:tcPr>
          <w:p>
            <w:pPr>
              <w:pStyle w:val="12"/>
            </w:pPr>
            <w:r>
              <w:t>合计</w:t>
            </w:r>
          </w:p>
        </w:tc>
        <w:tc>
          <w:tcPr>
            <w:tcW w:w="1418" w:type="dxa"/>
            <w:vAlign w:val="center"/>
          </w:tcPr>
          <w:p>
            <w:pPr>
              <w:pStyle w:val="12"/>
            </w:pPr>
            <w:r>
              <w:t>一般公共预算财政拨款</w:t>
            </w:r>
          </w:p>
        </w:tc>
        <w:tc>
          <w:tcPr>
            <w:tcW w:w="1559" w:type="dxa"/>
            <w:vAlign w:val="center"/>
          </w:tcPr>
          <w:p>
            <w:pPr>
              <w:pStyle w:val="12"/>
            </w:pPr>
            <w:r>
              <w:t>政府性基金预算财政拨款</w:t>
            </w:r>
          </w:p>
        </w:tc>
        <w:tc>
          <w:tcPr>
            <w:tcW w:w="158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332" w:type="dxa"/>
            <w:vAlign w:val="center"/>
          </w:tcPr>
          <w:p>
            <w:pPr>
              <w:pStyle w:val="12"/>
            </w:pPr>
            <w:r>
              <w:t>4</w:t>
            </w:r>
          </w:p>
        </w:tc>
        <w:tc>
          <w:tcPr>
            <w:tcW w:w="1418" w:type="dxa"/>
            <w:vAlign w:val="center"/>
          </w:tcPr>
          <w:p>
            <w:pPr>
              <w:pStyle w:val="12"/>
            </w:pPr>
            <w:r>
              <w:t>5</w:t>
            </w:r>
          </w:p>
        </w:tc>
        <w:tc>
          <w:tcPr>
            <w:tcW w:w="1559" w:type="dxa"/>
            <w:vAlign w:val="center"/>
          </w:tcPr>
          <w:p>
            <w:pPr>
              <w:pStyle w:val="12"/>
            </w:pPr>
            <w:r>
              <w:t>6</w:t>
            </w:r>
          </w:p>
        </w:tc>
        <w:tc>
          <w:tcPr>
            <w:tcW w:w="158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1244.25</w:t>
            </w:r>
          </w:p>
        </w:tc>
        <w:tc>
          <w:tcPr>
            <w:tcW w:w="3402" w:type="dxa"/>
            <w:vAlign w:val="center"/>
          </w:tcPr>
          <w:p>
            <w:pPr>
              <w:pStyle w:val="14"/>
            </w:pPr>
            <w:r>
              <w:t>一、一般公共服务支出</w:t>
            </w:r>
          </w:p>
        </w:tc>
        <w:tc>
          <w:tcPr>
            <w:tcW w:w="1332" w:type="dxa"/>
            <w:vAlign w:val="center"/>
          </w:tcPr>
          <w:p>
            <w:pPr>
              <w:pStyle w:val="13"/>
            </w:pPr>
            <w:r>
              <w:t>1008.60</w:t>
            </w:r>
          </w:p>
        </w:tc>
        <w:tc>
          <w:tcPr>
            <w:tcW w:w="1418" w:type="dxa"/>
            <w:vAlign w:val="center"/>
          </w:tcPr>
          <w:p>
            <w:pPr>
              <w:pStyle w:val="13"/>
            </w:pPr>
            <w:r>
              <w:t>1008.60</w:t>
            </w: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332" w:type="dxa"/>
            <w:vAlign w:val="center"/>
          </w:tcPr>
          <w:p>
            <w:pPr>
              <w:pStyle w:val="13"/>
            </w:pPr>
            <w:r>
              <w:t>107.72</w:t>
            </w:r>
          </w:p>
        </w:tc>
        <w:tc>
          <w:tcPr>
            <w:tcW w:w="1418" w:type="dxa"/>
            <w:vAlign w:val="center"/>
          </w:tcPr>
          <w:p>
            <w:pPr>
              <w:pStyle w:val="13"/>
            </w:pPr>
            <w:r>
              <w:t>107.72</w:t>
            </w: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332" w:type="dxa"/>
            <w:vAlign w:val="center"/>
          </w:tcPr>
          <w:p>
            <w:pPr>
              <w:pStyle w:val="13"/>
            </w:pPr>
            <w:r>
              <w:t>79.56</w:t>
            </w:r>
          </w:p>
        </w:tc>
        <w:tc>
          <w:tcPr>
            <w:tcW w:w="1418" w:type="dxa"/>
            <w:vAlign w:val="center"/>
          </w:tcPr>
          <w:p>
            <w:pPr>
              <w:pStyle w:val="13"/>
            </w:pPr>
            <w:r>
              <w:t>79.56</w:t>
            </w: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332" w:type="dxa"/>
            <w:vAlign w:val="center"/>
          </w:tcPr>
          <w:p>
            <w:pPr>
              <w:pStyle w:val="13"/>
            </w:pPr>
            <w:r>
              <w:t>48.37</w:t>
            </w:r>
          </w:p>
        </w:tc>
        <w:tc>
          <w:tcPr>
            <w:tcW w:w="1418" w:type="dxa"/>
            <w:vAlign w:val="center"/>
          </w:tcPr>
          <w:p>
            <w:pPr>
              <w:pStyle w:val="13"/>
            </w:pPr>
            <w:r>
              <w:t>48.37</w:t>
            </w: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1244.25</w:t>
            </w:r>
          </w:p>
        </w:tc>
        <w:tc>
          <w:tcPr>
            <w:tcW w:w="3402" w:type="dxa"/>
            <w:vAlign w:val="center"/>
          </w:tcPr>
          <w:p>
            <w:pPr>
              <w:pStyle w:val="16"/>
            </w:pPr>
            <w:r>
              <w:t>本年支出合计</w:t>
            </w:r>
          </w:p>
        </w:tc>
        <w:tc>
          <w:tcPr>
            <w:tcW w:w="1332" w:type="dxa"/>
            <w:vAlign w:val="center"/>
          </w:tcPr>
          <w:p>
            <w:pPr>
              <w:pStyle w:val="17"/>
            </w:pPr>
            <w:r>
              <w:t>1244.25</w:t>
            </w:r>
          </w:p>
        </w:tc>
        <w:tc>
          <w:tcPr>
            <w:tcW w:w="1418" w:type="dxa"/>
            <w:vAlign w:val="center"/>
          </w:tcPr>
          <w:p>
            <w:pPr>
              <w:pStyle w:val="17"/>
            </w:pPr>
            <w:r>
              <w:t>1244.25</w:t>
            </w:r>
          </w:p>
        </w:tc>
        <w:tc>
          <w:tcPr>
            <w:tcW w:w="1559" w:type="dxa"/>
            <w:vAlign w:val="center"/>
          </w:tcPr>
          <w:p>
            <w:pPr>
              <w:pStyle w:val="17"/>
            </w:pPr>
          </w:p>
        </w:tc>
        <w:tc>
          <w:tcPr>
            <w:tcW w:w="158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332" w:type="dxa"/>
            <w:vAlign w:val="center"/>
          </w:tcPr>
          <w:p>
            <w:pPr>
              <w:pStyle w:val="13"/>
            </w:pPr>
          </w:p>
        </w:tc>
        <w:tc>
          <w:tcPr>
            <w:tcW w:w="1418" w:type="dxa"/>
            <w:vAlign w:val="center"/>
          </w:tcPr>
          <w:p>
            <w:pPr>
              <w:pStyle w:val="13"/>
            </w:pPr>
          </w:p>
        </w:tc>
        <w:tc>
          <w:tcPr>
            <w:tcW w:w="1559" w:type="dxa"/>
            <w:vAlign w:val="center"/>
          </w:tcPr>
          <w:p>
            <w:pPr>
              <w:pStyle w:val="13"/>
            </w:pPr>
          </w:p>
        </w:tc>
        <w:tc>
          <w:tcPr>
            <w:tcW w:w="15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1244.25</w:t>
            </w:r>
          </w:p>
        </w:tc>
        <w:tc>
          <w:tcPr>
            <w:tcW w:w="3402" w:type="dxa"/>
            <w:vAlign w:val="center"/>
          </w:tcPr>
          <w:p>
            <w:pPr>
              <w:pStyle w:val="16"/>
            </w:pPr>
            <w:r>
              <w:t>支出总计</w:t>
            </w:r>
          </w:p>
        </w:tc>
        <w:tc>
          <w:tcPr>
            <w:tcW w:w="1332" w:type="dxa"/>
            <w:vAlign w:val="center"/>
          </w:tcPr>
          <w:p>
            <w:pPr>
              <w:pStyle w:val="17"/>
            </w:pPr>
            <w:r>
              <w:t>1244.25</w:t>
            </w:r>
          </w:p>
        </w:tc>
        <w:tc>
          <w:tcPr>
            <w:tcW w:w="1418" w:type="dxa"/>
            <w:vAlign w:val="center"/>
          </w:tcPr>
          <w:p>
            <w:pPr>
              <w:pStyle w:val="17"/>
            </w:pPr>
            <w:r>
              <w:t>1244.25</w:t>
            </w:r>
          </w:p>
        </w:tc>
        <w:tc>
          <w:tcPr>
            <w:tcW w:w="1559" w:type="dxa"/>
            <w:vAlign w:val="center"/>
          </w:tcPr>
          <w:p>
            <w:pPr>
              <w:pStyle w:val="17"/>
            </w:pPr>
          </w:p>
        </w:tc>
        <w:tc>
          <w:tcPr>
            <w:tcW w:w="1587" w:type="dxa"/>
            <w:vAlign w:val="center"/>
          </w:tcPr>
          <w:p>
            <w:pPr>
              <w:pStyle w:val="17"/>
            </w:pPr>
          </w:p>
        </w:tc>
      </w:tr>
    </w:tbl>
    <w:p>
      <w:pPr>
        <w:sectPr>
          <w:pgSz w:w="16840" w:h="11900" w:orient="landscape"/>
          <w:pgMar w:top="1361" w:right="1020" w:bottom="1134" w:left="1020" w:header="720" w:footer="720" w:gutter="0"/>
          <w:cols w:space="720" w:num="1"/>
          <w:docGrid w:linePitch="0" w:charSpace="0"/>
        </w:sectPr>
      </w:pPr>
    </w:p>
    <w:p>
      <w:pPr>
        <w:jc w:val="center"/>
        <w:outlineLvl w:val="1"/>
      </w:pPr>
      <w:bookmarkStart w:id="4" w:name="_Toc_2_2_0000000005"/>
      <w:bookmarkEnd w:id="4"/>
      <w:r>
        <w:rPr>
          <w:rFonts w:ascii="方正小标宋_GBK" w:hAnsi="方正小标宋_GBK" w:eastAsia="方正小标宋_GBK" w:cs="方正小标宋_GBK"/>
          <w:color w:val="000000"/>
          <w:sz w:val="36"/>
        </w:rPr>
        <w:t>部门预算一般公共预算财政拨款支出表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1244.25</w:t>
            </w:r>
          </w:p>
        </w:tc>
        <w:tc>
          <w:tcPr>
            <w:tcW w:w="2551" w:type="dxa"/>
            <w:vAlign w:val="center"/>
          </w:tcPr>
          <w:p>
            <w:pPr>
              <w:pStyle w:val="17"/>
            </w:pPr>
            <w:r>
              <w:t>869.25</w:t>
            </w:r>
          </w:p>
        </w:tc>
        <w:tc>
          <w:tcPr>
            <w:tcW w:w="2551" w:type="dxa"/>
            <w:vAlign w:val="center"/>
          </w:tcPr>
          <w:p>
            <w:pPr>
              <w:pStyle w:val="17"/>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1008.60</w:t>
            </w:r>
          </w:p>
        </w:tc>
        <w:tc>
          <w:tcPr>
            <w:tcW w:w="2551" w:type="dxa"/>
            <w:vAlign w:val="center"/>
          </w:tcPr>
          <w:p>
            <w:pPr>
              <w:pStyle w:val="13"/>
            </w:pPr>
            <w:r>
              <w:t>633.60</w:t>
            </w: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1008.60</w:t>
            </w:r>
          </w:p>
        </w:tc>
        <w:tc>
          <w:tcPr>
            <w:tcW w:w="2551" w:type="dxa"/>
            <w:vAlign w:val="center"/>
          </w:tcPr>
          <w:p>
            <w:pPr>
              <w:pStyle w:val="13"/>
            </w:pPr>
            <w:r>
              <w:t>633.60</w:t>
            </w: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633.60</w:t>
            </w:r>
          </w:p>
        </w:tc>
        <w:tc>
          <w:tcPr>
            <w:tcW w:w="2551" w:type="dxa"/>
            <w:vAlign w:val="center"/>
          </w:tcPr>
          <w:p>
            <w:pPr>
              <w:pStyle w:val="13"/>
            </w:pPr>
            <w:r>
              <w:t>633.60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375.00</w:t>
            </w:r>
          </w:p>
        </w:tc>
        <w:tc>
          <w:tcPr>
            <w:tcW w:w="2551" w:type="dxa"/>
            <w:vAlign w:val="center"/>
          </w:tcPr>
          <w:p>
            <w:pPr>
              <w:pStyle w:val="13"/>
            </w:pP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107.72</w:t>
            </w:r>
          </w:p>
        </w:tc>
        <w:tc>
          <w:tcPr>
            <w:tcW w:w="2551" w:type="dxa"/>
            <w:vAlign w:val="center"/>
          </w:tcPr>
          <w:p>
            <w:pPr>
              <w:pStyle w:val="13"/>
            </w:pPr>
            <w:r>
              <w:t>107.72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106.72</w:t>
            </w:r>
          </w:p>
        </w:tc>
        <w:tc>
          <w:tcPr>
            <w:tcW w:w="2551" w:type="dxa"/>
            <w:vAlign w:val="center"/>
          </w:tcPr>
          <w:p>
            <w:pPr>
              <w:pStyle w:val="13"/>
            </w:pPr>
            <w:r>
              <w:t>106.72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10.75</w:t>
            </w:r>
          </w:p>
        </w:tc>
        <w:tc>
          <w:tcPr>
            <w:tcW w:w="2551" w:type="dxa"/>
            <w:vAlign w:val="center"/>
          </w:tcPr>
          <w:p>
            <w:pPr>
              <w:pStyle w:val="13"/>
            </w:pPr>
            <w:r>
              <w:t>10.75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95.97</w:t>
            </w:r>
          </w:p>
        </w:tc>
        <w:tc>
          <w:tcPr>
            <w:tcW w:w="2551" w:type="dxa"/>
            <w:vAlign w:val="center"/>
          </w:tcPr>
          <w:p>
            <w:pPr>
              <w:pStyle w:val="13"/>
            </w:pPr>
            <w:r>
              <w:t>95.97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1"/>
      </w:pPr>
      <w:bookmarkStart w:id="5" w:name="_Toc_2_2_0000000006"/>
      <w:bookmarkEnd w:id="5"/>
      <w:r>
        <w:rPr>
          <w:rFonts w:ascii="方正小标宋_GBK" w:hAnsi="方正小标宋_GBK" w:eastAsia="方正小标宋_GBK" w:cs="方正小标宋_GBK"/>
          <w:color w:val="000000"/>
          <w:sz w:val="36"/>
        </w:rPr>
        <w:t>部门预算一般公共预算财政拨款基本支出表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869.25</w:t>
            </w:r>
          </w:p>
        </w:tc>
        <w:tc>
          <w:tcPr>
            <w:tcW w:w="2551" w:type="dxa"/>
            <w:vAlign w:val="center"/>
          </w:tcPr>
          <w:p>
            <w:pPr>
              <w:pStyle w:val="17"/>
            </w:pPr>
            <w:r>
              <w:t>790.19</w:t>
            </w:r>
          </w:p>
        </w:tc>
        <w:tc>
          <w:tcPr>
            <w:tcW w:w="2551" w:type="dxa"/>
            <w:vAlign w:val="center"/>
          </w:tcPr>
          <w:p>
            <w:pPr>
              <w:pStyle w:val="17"/>
            </w:pPr>
            <w:r>
              <w:t>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777.40</w:t>
            </w:r>
          </w:p>
        </w:tc>
        <w:tc>
          <w:tcPr>
            <w:tcW w:w="2551" w:type="dxa"/>
            <w:vAlign w:val="center"/>
          </w:tcPr>
          <w:p>
            <w:pPr>
              <w:pStyle w:val="13"/>
            </w:pPr>
            <w:r>
              <w:t>777.40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230.08</w:t>
            </w:r>
          </w:p>
        </w:tc>
        <w:tc>
          <w:tcPr>
            <w:tcW w:w="2551" w:type="dxa"/>
            <w:vAlign w:val="center"/>
          </w:tcPr>
          <w:p>
            <w:pPr>
              <w:pStyle w:val="13"/>
            </w:pPr>
            <w:r>
              <w:t>230.08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144.06</w:t>
            </w:r>
          </w:p>
        </w:tc>
        <w:tc>
          <w:tcPr>
            <w:tcW w:w="2551" w:type="dxa"/>
            <w:vAlign w:val="center"/>
          </w:tcPr>
          <w:p>
            <w:pPr>
              <w:pStyle w:val="13"/>
            </w:pPr>
            <w:r>
              <w:t>144.06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66.53</w:t>
            </w:r>
          </w:p>
        </w:tc>
        <w:tc>
          <w:tcPr>
            <w:tcW w:w="2551" w:type="dxa"/>
            <w:vAlign w:val="center"/>
          </w:tcPr>
          <w:p>
            <w:pPr>
              <w:pStyle w:val="13"/>
            </w:pPr>
            <w:r>
              <w:t>66.53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106.35</w:t>
            </w:r>
          </w:p>
        </w:tc>
        <w:tc>
          <w:tcPr>
            <w:tcW w:w="2551" w:type="dxa"/>
            <w:vAlign w:val="center"/>
          </w:tcPr>
          <w:p>
            <w:pPr>
              <w:pStyle w:val="13"/>
            </w:pPr>
            <w:r>
              <w:t>106.35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95.97</w:t>
            </w:r>
          </w:p>
        </w:tc>
        <w:tc>
          <w:tcPr>
            <w:tcW w:w="2551" w:type="dxa"/>
            <w:vAlign w:val="center"/>
          </w:tcPr>
          <w:p>
            <w:pPr>
              <w:pStyle w:val="13"/>
            </w:pPr>
            <w:r>
              <w:t>95.97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6.48</w:t>
            </w:r>
          </w:p>
        </w:tc>
        <w:tc>
          <w:tcPr>
            <w:tcW w:w="2551" w:type="dxa"/>
            <w:vAlign w:val="center"/>
          </w:tcPr>
          <w:p>
            <w:pPr>
              <w:pStyle w:val="13"/>
            </w:pPr>
            <w:r>
              <w:t>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79.06</w:t>
            </w:r>
          </w:p>
        </w:tc>
        <w:tc>
          <w:tcPr>
            <w:tcW w:w="2551" w:type="dxa"/>
            <w:vAlign w:val="center"/>
          </w:tcPr>
          <w:p>
            <w:pPr>
              <w:pStyle w:val="13"/>
            </w:pPr>
          </w:p>
        </w:tc>
        <w:tc>
          <w:tcPr>
            <w:tcW w:w="2551" w:type="dxa"/>
            <w:vAlign w:val="center"/>
          </w:tcPr>
          <w:p>
            <w:pPr>
              <w:pStyle w:val="13"/>
            </w:pPr>
            <w:r>
              <w:t>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14.25</w:t>
            </w:r>
          </w:p>
        </w:tc>
        <w:tc>
          <w:tcPr>
            <w:tcW w:w="2551" w:type="dxa"/>
            <w:vAlign w:val="center"/>
          </w:tcPr>
          <w:p>
            <w:pPr>
              <w:pStyle w:val="13"/>
            </w:pPr>
          </w:p>
        </w:tc>
        <w:tc>
          <w:tcPr>
            <w:tcW w:w="2551" w:type="dxa"/>
            <w:vAlign w:val="center"/>
          </w:tcPr>
          <w:p>
            <w:pPr>
              <w:pStyle w:val="13"/>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14.69</w:t>
            </w:r>
          </w:p>
        </w:tc>
        <w:tc>
          <w:tcPr>
            <w:tcW w:w="2551" w:type="dxa"/>
            <w:vAlign w:val="center"/>
          </w:tcPr>
          <w:p>
            <w:pPr>
              <w:pStyle w:val="13"/>
            </w:pPr>
          </w:p>
        </w:tc>
        <w:tc>
          <w:tcPr>
            <w:tcW w:w="2551" w:type="dxa"/>
            <w:vAlign w:val="center"/>
          </w:tcPr>
          <w:p>
            <w:pPr>
              <w:pStyle w:val="13"/>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10.81</w:t>
            </w:r>
          </w:p>
        </w:tc>
        <w:tc>
          <w:tcPr>
            <w:tcW w:w="2551" w:type="dxa"/>
            <w:vAlign w:val="center"/>
          </w:tcPr>
          <w:p>
            <w:pPr>
              <w:pStyle w:val="13"/>
            </w:pPr>
          </w:p>
        </w:tc>
        <w:tc>
          <w:tcPr>
            <w:tcW w:w="2551" w:type="dxa"/>
            <w:vAlign w:val="center"/>
          </w:tcPr>
          <w:p>
            <w:pPr>
              <w:pStyle w:val="13"/>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13.52</w:t>
            </w:r>
          </w:p>
        </w:tc>
        <w:tc>
          <w:tcPr>
            <w:tcW w:w="2551" w:type="dxa"/>
            <w:vAlign w:val="center"/>
          </w:tcPr>
          <w:p>
            <w:pPr>
              <w:pStyle w:val="13"/>
            </w:pP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18.41</w:t>
            </w:r>
          </w:p>
        </w:tc>
        <w:tc>
          <w:tcPr>
            <w:tcW w:w="2551" w:type="dxa"/>
            <w:vAlign w:val="center"/>
          </w:tcPr>
          <w:p>
            <w:pPr>
              <w:pStyle w:val="13"/>
            </w:pPr>
          </w:p>
        </w:tc>
        <w:tc>
          <w:tcPr>
            <w:tcW w:w="2551" w:type="dxa"/>
            <w:vAlign w:val="center"/>
          </w:tcPr>
          <w:p>
            <w:pPr>
              <w:pStyle w:val="13"/>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12.79</w:t>
            </w:r>
          </w:p>
        </w:tc>
        <w:tc>
          <w:tcPr>
            <w:tcW w:w="2551" w:type="dxa"/>
            <w:vAlign w:val="center"/>
          </w:tcPr>
          <w:p>
            <w:pPr>
              <w:pStyle w:val="13"/>
            </w:pPr>
            <w:r>
              <w:t>12.79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1"/>
      </w:pPr>
      <w:bookmarkStart w:id="6" w:name="_Toc_2_2_0000000007"/>
      <w:bookmarkEnd w:id="6"/>
      <w:r>
        <w:rPr>
          <w:rFonts w:ascii="方正小标宋_GBK" w:hAnsi="方正小标宋_GBK" w:eastAsia="方正小标宋_GBK" w:cs="方正小标宋_GBK"/>
          <w:color w:val="000000"/>
          <w:sz w:val="36"/>
        </w:rPr>
        <w:t>部门预算政府基金预算财政拨款支出表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bookmarkEnd w:id="7"/>
      <w:r>
        <w:rPr>
          <w:rFonts w:ascii="方正小标宋_GBK" w:hAnsi="方正小标宋_GBK" w:eastAsia="方正小标宋_GBK" w:cs="方正小标宋_GBK"/>
          <w:color w:val="000000"/>
          <w:sz w:val="36"/>
        </w:rPr>
        <w:t>部门预算国有资本经营预算财政拨款支出表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bookmarkEnd w:id="8"/>
      <w:r>
        <w:rPr>
          <w:rFonts w:ascii="方正小标宋_GBK" w:hAnsi="方正小标宋_GBK" w:eastAsia="方正小标宋_GBK" w:cs="方正小标宋_GBK"/>
          <w:color w:val="000000"/>
          <w:sz w:val="36"/>
        </w:rPr>
        <w:t>部门预算财政拨款“三公”经费支出表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366"/>
        <w:gridCol w:w="2268"/>
        <w:gridCol w:w="2409"/>
        <w:gridCol w:w="2127"/>
        <w:gridCol w:w="2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4" w:type="dxa"/>
            <w:gridSpan w:val="3"/>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2409" w:type="dxa"/>
            <w:tcBorders>
              <w:top w:val="single" w:color="FFFFFF" w:sz="6" w:space="0"/>
              <w:left w:val="single" w:color="FFFFFF" w:sz="6" w:space="0"/>
              <w:right w:val="single" w:color="FFFFFF" w:sz="6" w:space="0"/>
            </w:tcBorders>
            <w:vAlign w:val="center"/>
          </w:tcPr>
          <w:p>
            <w:pPr>
              <w:pStyle w:val="10"/>
            </w:pPr>
            <w:r>
              <w:t>预算年度：2023</w:t>
            </w:r>
          </w:p>
        </w:tc>
        <w:tc>
          <w:tcPr>
            <w:tcW w:w="42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366" w:type="dxa"/>
            <w:vMerge w:val="restart"/>
            <w:vAlign w:val="center"/>
          </w:tcPr>
          <w:p>
            <w:pPr>
              <w:pStyle w:val="12"/>
            </w:pPr>
            <w:r>
              <w:t>项  目</w:t>
            </w:r>
          </w:p>
        </w:tc>
        <w:tc>
          <w:tcPr>
            <w:tcW w:w="895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366" w:type="dxa"/>
            <w:vMerge w:val="continue"/>
          </w:tcPr>
          <w:p/>
        </w:tc>
        <w:tc>
          <w:tcPr>
            <w:tcW w:w="2268" w:type="dxa"/>
            <w:vAlign w:val="center"/>
          </w:tcPr>
          <w:p>
            <w:pPr>
              <w:pStyle w:val="12"/>
            </w:pPr>
            <w:r>
              <w:t>合计</w:t>
            </w:r>
          </w:p>
        </w:tc>
        <w:tc>
          <w:tcPr>
            <w:tcW w:w="2409" w:type="dxa"/>
            <w:vAlign w:val="center"/>
          </w:tcPr>
          <w:p>
            <w:pPr>
              <w:pStyle w:val="12"/>
            </w:pPr>
            <w:r>
              <w:t>一般公共预算              财政拨款</w:t>
            </w:r>
          </w:p>
        </w:tc>
        <w:tc>
          <w:tcPr>
            <w:tcW w:w="2127" w:type="dxa"/>
            <w:vAlign w:val="center"/>
          </w:tcPr>
          <w:p>
            <w:pPr>
              <w:pStyle w:val="12"/>
            </w:pPr>
            <w:r>
              <w:t>政府性基金                  预算拨款</w:t>
            </w:r>
          </w:p>
        </w:tc>
        <w:tc>
          <w:tcPr>
            <w:tcW w:w="215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4366" w:type="dxa"/>
            <w:vAlign w:val="center"/>
          </w:tcPr>
          <w:p>
            <w:pPr>
              <w:pStyle w:val="12"/>
            </w:pPr>
            <w:r>
              <w:t>1</w:t>
            </w:r>
          </w:p>
        </w:tc>
        <w:tc>
          <w:tcPr>
            <w:tcW w:w="2268" w:type="dxa"/>
            <w:vAlign w:val="center"/>
          </w:tcPr>
          <w:p>
            <w:pPr>
              <w:pStyle w:val="12"/>
            </w:pPr>
            <w:r>
              <w:t>2</w:t>
            </w:r>
          </w:p>
        </w:tc>
        <w:tc>
          <w:tcPr>
            <w:tcW w:w="2409" w:type="dxa"/>
            <w:vAlign w:val="center"/>
          </w:tcPr>
          <w:p>
            <w:pPr>
              <w:pStyle w:val="12"/>
            </w:pPr>
            <w:r>
              <w:t>3</w:t>
            </w:r>
          </w:p>
        </w:tc>
        <w:tc>
          <w:tcPr>
            <w:tcW w:w="2127" w:type="dxa"/>
            <w:vAlign w:val="center"/>
          </w:tcPr>
          <w:p>
            <w:pPr>
              <w:pStyle w:val="12"/>
            </w:pPr>
            <w:r>
              <w:t>4</w:t>
            </w:r>
          </w:p>
        </w:tc>
        <w:tc>
          <w:tcPr>
            <w:tcW w:w="215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4366" w:type="dxa"/>
          </w:tcPr>
          <w:p>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14.090000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14.090000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1</w:t>
            </w:r>
          </w:p>
        </w:tc>
        <w:tc>
          <w:tcPr>
            <w:tcW w:w="4366" w:type="dxa"/>
          </w:tcPr>
          <w:p>
            <w:pPr>
              <w:rPr>
                <w:rFonts w:ascii="Calibri" w:hAnsi="Calibri" w:eastAsia="宋体" w:cs="Calibri"/>
                <w:color w:val="000000"/>
                <w:sz w:val="22"/>
                <w:szCs w:val="22"/>
              </w:rPr>
            </w:pPr>
            <w:r>
              <w:rPr>
                <w:rFonts w:hint="eastAsia" w:ascii="宋体" w:hAnsi="宋体" w:eastAsia="宋体" w:cs="宋体"/>
                <w:color w:val="000000"/>
                <w:sz w:val="22"/>
                <w:szCs w:val="22"/>
              </w:rPr>
              <w:t>因公出国（境）费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4366"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4366"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2</w:t>
            </w:r>
          </w:p>
        </w:tc>
        <w:tc>
          <w:tcPr>
            <w:tcW w:w="4366"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公务用车购置及运维费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4366"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4366"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127" w:type="dxa"/>
            <w:vAlign w:val="center"/>
          </w:tcPr>
          <w:p>
            <w:pPr>
              <w:pStyle w:val="13"/>
            </w:pPr>
          </w:p>
        </w:tc>
        <w:tc>
          <w:tcPr>
            <w:tcW w:w="215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3</w:t>
            </w:r>
          </w:p>
        </w:tc>
        <w:tc>
          <w:tcPr>
            <w:tcW w:w="4366" w:type="dxa"/>
          </w:tcPr>
          <w:p>
            <w:pPr>
              <w:rPr>
                <w:rFonts w:ascii="Calibri" w:hAnsi="Calibri" w:eastAsia="宋体" w:cs="Calibri"/>
                <w:color w:val="000000"/>
                <w:sz w:val="22"/>
                <w:szCs w:val="22"/>
              </w:rPr>
            </w:pPr>
            <w:r>
              <w:rPr>
                <w:rFonts w:hint="eastAsia" w:ascii="宋体" w:hAnsi="宋体" w:eastAsia="宋体" w:cs="宋体"/>
                <w:color w:val="000000"/>
                <w:sz w:val="22"/>
                <w:szCs w:val="22"/>
              </w:rPr>
              <w:t>公务接待费</w:t>
            </w:r>
          </w:p>
        </w:tc>
        <w:tc>
          <w:tcPr>
            <w:tcW w:w="2268" w:type="dxa"/>
          </w:tcPr>
          <w:p>
            <w:pPr>
              <w:jc w:val="right"/>
              <w:rPr>
                <w:rFonts w:ascii="Calibri" w:hAnsi="Calibri" w:eastAsia="宋体" w:cs="Calibri"/>
                <w:color w:val="000000"/>
                <w:sz w:val="22"/>
                <w:szCs w:val="22"/>
              </w:rPr>
            </w:pPr>
            <w:r>
              <w:rPr>
                <w:rFonts w:ascii="Calibri" w:hAnsi="Calibri" w:cs="Calibri"/>
                <w:color w:val="000000"/>
                <w:sz w:val="22"/>
                <w:szCs w:val="22"/>
              </w:rPr>
              <w:t>0.570000</w:t>
            </w:r>
          </w:p>
        </w:tc>
        <w:tc>
          <w:tcPr>
            <w:tcW w:w="2409" w:type="dxa"/>
          </w:tcPr>
          <w:p>
            <w:pPr>
              <w:jc w:val="right"/>
              <w:rPr>
                <w:rFonts w:ascii="Calibri" w:hAnsi="Calibri" w:eastAsia="宋体" w:cs="Calibri"/>
                <w:color w:val="000000"/>
                <w:sz w:val="22"/>
                <w:szCs w:val="22"/>
              </w:rPr>
            </w:pPr>
            <w:r>
              <w:rPr>
                <w:rFonts w:ascii="Calibri" w:hAnsi="Calibri" w:cs="Calibri"/>
                <w:color w:val="000000"/>
                <w:sz w:val="22"/>
                <w:szCs w:val="22"/>
              </w:rPr>
              <w:t>0.570000</w:t>
            </w:r>
          </w:p>
        </w:tc>
        <w:tc>
          <w:tcPr>
            <w:tcW w:w="2127" w:type="dxa"/>
            <w:vAlign w:val="center"/>
          </w:tcPr>
          <w:p>
            <w:pPr>
              <w:pStyle w:val="13"/>
            </w:pPr>
          </w:p>
        </w:tc>
        <w:tc>
          <w:tcPr>
            <w:tcW w:w="2153" w:type="dxa"/>
            <w:vAlign w:val="center"/>
          </w:tcPr>
          <w:p>
            <w:pPr>
              <w:pStyle w:val="13"/>
            </w:pPr>
          </w:p>
        </w:tc>
      </w:tr>
    </w:tbl>
    <w:p>
      <w:pPr>
        <w:jc w:val="center"/>
        <w:outlineLvl w:val="0"/>
        <w:sectPr>
          <w:pgSz w:w="16840" w:h="11900" w:orient="landscape"/>
          <w:pgMar w:top="1361" w:right="1020" w:bottom="1361" w:left="1020" w:header="720" w:footer="720" w:gutter="0"/>
          <w:cols w:space="720" w:num="1"/>
          <w:docGrid w:linePitch="0" w:charSpace="0"/>
        </w:sectPr>
      </w:pPr>
      <w:r>
        <w:rPr>
          <w:rFonts w:ascii="方正书宋_GBK" w:hAnsi="方正书宋_GBK" w:eastAsia="方正书宋_GBK" w:cs="方正书宋_GBK"/>
          <w:color w:val="FFFFFF"/>
          <w:sz w:val="21"/>
        </w:rPr>
        <w:t>皇岛市海港区委办公室2023年部门预算信息公开情况说明</w:t>
      </w:r>
    </w:p>
    <w:p>
      <w:pPr>
        <w:jc w:val="center"/>
      </w:pPr>
      <w:r>
        <w:rPr>
          <w:rFonts w:ascii="方正小标宋_GBK" w:hAnsi="方正小标宋_GBK" w:eastAsia="方正小标宋_GBK" w:cs="方正小标宋_GBK"/>
          <w:color w:val="000000"/>
          <w:sz w:val="44"/>
        </w:rPr>
        <w:t>中共秦皇岛市海港区委办公室2023年部门预算信息公开情况说明</w:t>
      </w:r>
    </w:p>
    <w:p>
      <w:pPr>
        <w:spacing w:beforeAutospacing="0" w:afterAutospacing="0" w:line="500" w:lineRule="exact"/>
        <w:ind w:firstLine="560"/>
      </w:pPr>
      <w:r>
        <w:rPr>
          <w:rFonts w:eastAsia="方正仿宋_GBK"/>
          <w:color w:val="000000"/>
          <w:sz w:val="28"/>
        </w:rPr>
        <w:t>按照《预算法》、《地方预决算公开操作规程》和《关于进一步推进预算公开工作的实施意见》规定，现将中共秦皇岛市海港区委办公室2023年部门预算公开如下：</w:t>
      </w:r>
    </w:p>
    <w:p>
      <w:pPr>
        <w:spacing w:before="10" w:beforeAutospacing="0" w:after="10" w:afterAutospacing="0" w:line="360" w:lineRule="auto"/>
        <w:ind w:firstLine="640"/>
        <w:outlineLvl w:val="2"/>
      </w:pPr>
      <w:bookmarkStart w:id="9" w:name="_Toc_3_3_0000000010"/>
      <w:bookmarkEnd w:id="9"/>
      <w:r>
        <w:rPr>
          <w:rFonts w:ascii="黑体" w:hAnsi="黑体" w:eastAsia="黑体" w:cs="黑体"/>
          <w:color w:val="000000"/>
          <w:sz w:val="32"/>
        </w:rPr>
        <w:t>一、部门职责及机构设置情况</w:t>
      </w:r>
    </w:p>
    <w:p>
      <w:pPr>
        <w:ind w:firstLine="640"/>
      </w:pPr>
      <w:r>
        <w:rPr>
          <w:rFonts w:ascii="方正楷体_GBK" w:hAnsi="方正楷体_GBK" w:eastAsia="方正楷体_GBK" w:cs="方正楷体_GBK"/>
          <w:b/>
          <w:color w:val="000000"/>
          <w:sz w:val="32"/>
        </w:rPr>
        <w:t>部门职责：</w:t>
      </w:r>
    </w:p>
    <w:p>
      <w:pPr>
        <w:pStyle w:val="19"/>
      </w:pPr>
      <w:r>
        <w:t>1、负责推动党中央和省、市、区委决策部署的落实，按照区委要求协调有关方面开展工作，承担区委运行保障具体事务。</w:t>
      </w:r>
    </w:p>
    <w:p>
      <w:pPr>
        <w:pStyle w:val="19"/>
      </w:pPr>
      <w:r>
        <w:t>2、负责区委和区委办公室文件、区委领导讲话稿的起草、把关、整理等工作。</w:t>
      </w:r>
    </w:p>
    <w:p>
      <w:pPr>
        <w:pStyle w:val="19"/>
      </w:pPr>
      <w:r>
        <w:t>3、负责党中央和省、市、区委重要工作部署贯彻落实的督促检查，中央和省、市、区委领导批示和交办事项的催办反馈，区委统一部署的重大专项活动的推进落实。</w:t>
      </w:r>
    </w:p>
    <w:p>
      <w:pPr>
        <w:pStyle w:val="19"/>
      </w:pPr>
      <w:r>
        <w:t>4、围绕党中央和省、市、区委总体工作部署以及全区重大问题开展调查研究；负责收集和处理信息、反映动态；负责社情民意的搜集、整理和编报工作。</w:t>
      </w:r>
    </w:p>
    <w:p>
      <w:pPr>
        <w:pStyle w:val="19"/>
      </w:pPr>
      <w:r>
        <w:t>5、负责区委全委会、区委常委会和区委其他重要会议的会务工作；负责区委领导参加重大活动和日常工作活动的组织安排。</w:t>
      </w:r>
    </w:p>
    <w:p>
      <w:pPr>
        <w:pStyle w:val="19"/>
      </w:pPr>
      <w:r>
        <w:t>6、负责区委日常文书处理；负责区委文件和区委办公室代区委行文的审核工作；负责区委制定党内规范性文件的服务工作；负责统筹协调和督促指导全区党务公开工作。</w:t>
      </w:r>
    </w:p>
    <w:p>
      <w:pPr>
        <w:pStyle w:val="19"/>
      </w:pPr>
      <w:r>
        <w:t>7、承担区委保密委员会和区密码工作领导小组的日常工作。</w:t>
      </w:r>
    </w:p>
    <w:p>
      <w:pPr>
        <w:pStyle w:val="19"/>
      </w:pPr>
      <w:r>
        <w:t>8、负责区委总值班及全区紧急情况、突发事件的传报、反馈工作。</w:t>
      </w:r>
    </w:p>
    <w:p>
      <w:pPr>
        <w:pStyle w:val="19"/>
      </w:pPr>
      <w:r>
        <w:t>9、负责区委落实全面从严治党主体责任领导小组日常工作。</w:t>
      </w:r>
    </w:p>
    <w:p>
      <w:pPr>
        <w:pStyle w:val="19"/>
      </w:pPr>
      <w:r>
        <w:t>10、负责区委落实全面从严治党主体责任领导小组日常工作。</w:t>
      </w:r>
    </w:p>
    <w:p>
      <w:pPr>
        <w:pStyle w:val="19"/>
      </w:pPr>
      <w:r>
        <w:t>11、负责全区对外联络和暑期服务工作；负责全区公务接待机构的业务指导和培训。</w:t>
      </w:r>
    </w:p>
    <w:p>
      <w:pPr>
        <w:pStyle w:val="19"/>
      </w:pPr>
      <w:r>
        <w:t>12、完成区委和区委全面深化改革委员会、区委国家安全委员会交办的其他任务。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中共秦皇岛市海港区委办公室本级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beforeAutospacing="0" w:after="10" w:afterAutospacing="0" w:line="360" w:lineRule="auto"/>
        <w:ind w:firstLine="640"/>
        <w:outlineLvl w:val="2"/>
        <w:rPr>
          <w:rFonts w:eastAsiaTheme="minorEastAsia"/>
          <w:lang w:eastAsia="zh-CN"/>
        </w:rPr>
      </w:pPr>
      <w:bookmarkStart w:id="10" w:name="_Toc_3_3_0000000011"/>
      <w:bookmarkEnd w:id="10"/>
      <w:r>
        <w:rPr>
          <w:rFonts w:ascii="黑体" w:hAnsi="黑体" w:eastAsia="黑体" w:cs="黑体"/>
          <w:color w:val="000000"/>
          <w:sz w:val="32"/>
        </w:rPr>
        <w:t>二、部门预算安排的总体情况</w:t>
      </w:r>
    </w:p>
    <w:p>
      <w:pPr>
        <w:spacing w:before="10" w:beforeAutospacing="0" w:after="10" w:afterAutospacing="0" w:line="360" w:lineRule="auto"/>
        <w:ind w:firstLine="640"/>
        <w:outlineLvl w:val="2"/>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部门预算的编制实行综合预算管理，即全部收入和支出都反映在预算中。中共秦皇岛市海港区委办公室机关及所属事业单位的收支包含在部门预算中。</w:t>
      </w:r>
    </w:p>
    <w:p>
      <w:pPr>
        <w:spacing w:before="10" w:beforeAutospacing="0" w:after="10" w:afterAutospacing="0" w:line="360" w:lineRule="auto"/>
        <w:ind w:firstLine="640"/>
        <w:outlineLvl w:val="2"/>
      </w:pPr>
      <w:bookmarkStart w:id="11" w:name="_Toc_3_3_0000000012"/>
      <w:bookmarkEnd w:id="11"/>
      <w:r>
        <w:rPr>
          <w:rFonts w:ascii="黑体" w:hAnsi="黑体" w:eastAsia="黑体" w:cs="黑体"/>
          <w:color w:val="000000"/>
          <w:sz w:val="32"/>
        </w:rPr>
        <w:t>三、机关运行经费安排情况</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79.06</w:t>
      </w:r>
      <w:r>
        <w:rPr>
          <w:rFonts w:hint="eastAsia" w:eastAsia="方正仿宋_GBK"/>
          <w:color w:val="000000"/>
          <w:sz w:val="28"/>
        </w:rPr>
        <w:t>万元，办公费</w:t>
      </w:r>
      <w:r>
        <w:rPr>
          <w:rFonts w:eastAsia="方正仿宋_GBK"/>
          <w:color w:val="000000"/>
          <w:sz w:val="28"/>
        </w:rPr>
        <w:t>14.25</w:t>
      </w:r>
      <w:r>
        <w:rPr>
          <w:rFonts w:hint="eastAsia" w:eastAsia="方正仿宋_GBK"/>
          <w:color w:val="000000"/>
          <w:sz w:val="28"/>
        </w:rPr>
        <w:t>万元，邮电费</w:t>
      </w:r>
      <w:r>
        <w:rPr>
          <w:rFonts w:eastAsia="方正仿宋_GBK"/>
          <w:color w:val="000000"/>
          <w:sz w:val="28"/>
        </w:rPr>
        <w:t>14.69</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万元，工会经费</w:t>
      </w:r>
      <w:r>
        <w:rPr>
          <w:rFonts w:eastAsia="方正仿宋_GBK"/>
          <w:color w:val="000000"/>
          <w:sz w:val="28"/>
        </w:rPr>
        <w:t>10.81</w:t>
      </w:r>
      <w:r>
        <w:rPr>
          <w:rFonts w:hint="eastAsia" w:eastAsia="方正仿宋_GBK"/>
          <w:color w:val="000000"/>
          <w:sz w:val="28"/>
        </w:rPr>
        <w:t>万元，福利费</w:t>
      </w:r>
      <w:r>
        <w:rPr>
          <w:rFonts w:eastAsia="方正仿宋_GBK"/>
          <w:color w:val="000000"/>
          <w:sz w:val="28"/>
        </w:rPr>
        <w:t>6.15</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万元，其他交通费用</w:t>
      </w:r>
      <w:r>
        <w:rPr>
          <w:rFonts w:eastAsia="方正仿宋_GBK"/>
          <w:color w:val="000000"/>
          <w:sz w:val="28"/>
        </w:rPr>
        <w:t>18.41</w:t>
      </w:r>
      <w:r>
        <w:rPr>
          <w:rFonts w:hint="eastAsia" w:eastAsia="方正仿宋_GBK"/>
          <w:color w:val="000000"/>
          <w:sz w:val="28"/>
        </w:rPr>
        <w:t>万元，其他商品和服务支出</w:t>
      </w:r>
      <w:r>
        <w:rPr>
          <w:rFonts w:eastAsia="方正仿宋_GBK"/>
          <w:color w:val="000000"/>
          <w:sz w:val="28"/>
        </w:rPr>
        <w:t>0.66</w:t>
      </w:r>
      <w:r>
        <w:rPr>
          <w:rFonts w:hint="eastAsia" w:eastAsia="方正仿宋_GBK"/>
          <w:color w:val="000000"/>
          <w:sz w:val="28"/>
        </w:rPr>
        <w:t>万元。</w:t>
      </w:r>
    </w:p>
    <w:p>
      <w:pPr>
        <w:spacing w:before="10" w:beforeAutospacing="0" w:after="10" w:afterAutospacing="0" w:line="360" w:lineRule="auto"/>
        <w:ind w:firstLine="640"/>
        <w:outlineLvl w:val="2"/>
      </w:pPr>
      <w:bookmarkStart w:id="12" w:name="_Toc_3_3_0000000013"/>
      <w:bookmarkEnd w:id="12"/>
      <w:r>
        <w:rPr>
          <w:rFonts w:ascii="黑体" w:hAnsi="黑体" w:eastAsia="黑体" w:cs="黑体"/>
          <w:color w:val="000000"/>
          <w:sz w:val="32"/>
        </w:rPr>
        <w:t>四、财政拨款“三公”经费预算情况及增减变化原因</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因公出国（境）费</w:t>
      </w:r>
      <w:r>
        <w:rPr>
          <w:rFonts w:eastAsia="方正仿宋_GBK"/>
          <w:color w:val="000000"/>
          <w:sz w:val="28"/>
        </w:rPr>
        <w:t>0</w:t>
      </w:r>
      <w:r>
        <w:rPr>
          <w:rFonts w:hint="eastAsia" w:eastAsia="方正仿宋_GBK"/>
          <w:color w:val="000000"/>
          <w:sz w:val="28"/>
        </w:rPr>
        <w:t>万元，公务用车购置及运维费</w:t>
      </w:r>
      <w:r>
        <w:rPr>
          <w:rFonts w:eastAsia="方正仿宋_GBK"/>
          <w:color w:val="000000"/>
          <w:sz w:val="28"/>
        </w:rPr>
        <w:t>13.52</w:t>
      </w:r>
      <w:r>
        <w:rPr>
          <w:rFonts w:hint="eastAsia" w:eastAsia="方正仿宋_GBK"/>
          <w:color w:val="000000"/>
          <w:sz w:val="28"/>
        </w:rPr>
        <w:t>万元，其中：公务用车购置费</w:t>
      </w:r>
      <w:r>
        <w:rPr>
          <w:rFonts w:eastAsia="方正仿宋_GBK"/>
          <w:color w:val="000000"/>
          <w:sz w:val="28"/>
        </w:rPr>
        <w:t>0</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w:t>
      </w:r>
      <w:r>
        <w:rPr>
          <w:rFonts w:hint="eastAsia" w:eastAsia="方正仿宋_GBK"/>
          <w:color w:val="000000"/>
          <w:sz w:val="28"/>
          <w:lang w:eastAsia="zh-CN"/>
        </w:rPr>
        <w:t>预算金额与上年无变化。</w:t>
      </w:r>
    </w:p>
    <w:p>
      <w:pPr>
        <w:spacing w:beforeAutospacing="0" w:afterAutospacing="0" w:line="500" w:lineRule="exact"/>
        <w:ind w:firstLine="560"/>
        <w:rPr>
          <w:rFonts w:eastAsia="方正仿宋_GBK"/>
          <w:color w:val="000000"/>
          <w:sz w:val="28"/>
          <w:lang w:eastAsia="zh-CN"/>
        </w:rPr>
      </w:pPr>
    </w:p>
    <w:p>
      <w:pPr>
        <w:spacing w:before="10" w:beforeAutospacing="0" w:after="10" w:afterAutospacing="0" w:line="360" w:lineRule="auto"/>
        <w:ind w:firstLine="640"/>
        <w:outlineLvl w:val="2"/>
      </w:pPr>
      <w:bookmarkStart w:id="13" w:name="_Toc_3_3_0000000014"/>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beforeAutospacing="0" w:afterAutospacing="0" w:line="500" w:lineRule="exact"/>
        <w:ind w:firstLine="560"/>
      </w:pPr>
      <w:r>
        <w:rPr>
          <w:rFonts w:eastAsia="方正仿宋_GBK"/>
          <w:color w:val="000000"/>
          <w:sz w:val="28"/>
        </w:rPr>
        <w:t>（一）总体绩效目标</w:t>
      </w:r>
    </w:p>
    <w:p>
      <w:pPr>
        <w:pStyle w:val="23"/>
      </w:pPr>
      <w:r>
        <w:t>全面贯彻党的二十大精神，坚持以习近平新时代中国特色社会主义思想为指导，以“三服务”（为领导服务、为基层服务、为群众服务）为宗旨，以“三满意”（领导满意、基层满意、群众满意）为目标，发挥区委领导左右手、参谋部和后勤部的作用，促进各项工作开展。完成改革课题研究，主体责任考核工作。围绕区委重大决策部署以及人民群众反映的热点、难点问题，适时开展督查、跟踪问效，推动工作落实。开展纠正“四风”工作，提升工作效能，优化营商环境。做好调查研究、督查信息、公文管理、会务服务、综合协调等各项工作，提高工作制度化、规范化水平,努力开创区委办公室工作新局面。区委办公室除下设内部机构外，还代管区委保密机要局、区委党史研究室、区信访局的经费开支，保障其工作的正常运转。</w:t>
      </w:r>
    </w:p>
    <w:p>
      <w:pPr>
        <w:spacing w:beforeAutospacing="0" w:afterAutospacing="0" w:line="500" w:lineRule="exact"/>
        <w:ind w:firstLine="560"/>
      </w:pPr>
      <w:r>
        <w:rPr>
          <w:rFonts w:eastAsia="方正仿宋_GBK"/>
          <w:color w:val="000000"/>
          <w:sz w:val="28"/>
        </w:rPr>
        <w:t>（二）分项绩效目标</w:t>
      </w:r>
    </w:p>
    <w:p>
      <w:pPr>
        <w:pStyle w:val="24"/>
      </w:pPr>
      <w:r>
        <w:t>（一）区委办公室党务活动</w:t>
      </w:r>
    </w:p>
    <w:p>
      <w:pPr>
        <w:pStyle w:val="24"/>
      </w:pPr>
      <w:r>
        <w:t>绩效目标：贯彻落实党的方针政策，做好党的自身建设。</w:t>
      </w:r>
    </w:p>
    <w:p>
      <w:pPr>
        <w:pStyle w:val="24"/>
      </w:pPr>
      <w:r>
        <w:t>绩效指标：举办大型活动次数≥5次、举办大型活动覆盖人数≥800人；全年慰问区级机关老干部≥100人次。</w:t>
      </w:r>
    </w:p>
    <w:p>
      <w:pPr>
        <w:pStyle w:val="24"/>
      </w:pPr>
      <w:r>
        <w:t>（二）区委办公室综合业务、事务管理</w:t>
      </w:r>
    </w:p>
    <w:p>
      <w:pPr>
        <w:pStyle w:val="24"/>
      </w:pPr>
      <w:r>
        <w:t>1.综合事务管理工作</w:t>
      </w:r>
    </w:p>
    <w:p>
      <w:pPr>
        <w:pStyle w:val="24"/>
      </w:pPr>
      <w:r>
        <w:t>绩效目标：贯彻落实中央决策部署和省委工作安排，做好区委日常服务工作，完成上级对区委办公室提出的各项工作要求。</w:t>
      </w:r>
    </w:p>
    <w:p>
      <w:pPr>
        <w:pStyle w:val="24"/>
      </w:pPr>
      <w:r>
        <w:t>绩效指标：日常工作保障率100%。</w:t>
      </w:r>
    </w:p>
    <w:p>
      <w:pPr>
        <w:pStyle w:val="24"/>
      </w:pPr>
      <w:r>
        <w:t>2.会务服务工作</w:t>
      </w:r>
    </w:p>
    <w:p>
      <w:pPr>
        <w:pStyle w:val="24"/>
      </w:pPr>
      <w:r>
        <w:t>绩效目标：遵守服务程序和服务规范，做好会前、会中、会后的服务，让参会人员满意。</w:t>
      </w:r>
    </w:p>
    <w:p>
      <w:pPr>
        <w:pStyle w:val="24"/>
      </w:pPr>
      <w:r>
        <w:t>绩效指标：参会人员满意度100%。</w:t>
      </w:r>
    </w:p>
    <w:p>
      <w:pPr>
        <w:pStyle w:val="24"/>
      </w:pPr>
      <w:r>
        <w:t>3.国家安全工作</w:t>
      </w:r>
    </w:p>
    <w:p>
      <w:pPr>
        <w:pStyle w:val="24"/>
      </w:pPr>
      <w:r>
        <w:t>绩效目标：贯彻落实以习近平同志为核心的党中央关于国家安全工作的决策部署。</w:t>
      </w:r>
    </w:p>
    <w:p>
      <w:pPr>
        <w:pStyle w:val="24"/>
      </w:pPr>
      <w:r>
        <w:t>绩效指标：各项工作完成率100%。</w:t>
      </w:r>
    </w:p>
    <w:p>
      <w:pPr>
        <w:pStyle w:val="24"/>
      </w:pPr>
      <w:r>
        <w:t>4.深化改革工作</w:t>
      </w:r>
    </w:p>
    <w:p>
      <w:pPr>
        <w:pStyle w:val="24"/>
      </w:pPr>
      <w:r>
        <w:t>绩效目标：完成全年改革工作任务，通过试点及督查工作，及时反映全区改革工作特色经验。</w:t>
      </w:r>
    </w:p>
    <w:p>
      <w:pPr>
        <w:pStyle w:val="24"/>
      </w:pPr>
      <w:r>
        <w:t>绩效指标：改革办开展改革课题研究数量≥2个、改革督查数量≥2件。</w:t>
      </w:r>
    </w:p>
    <w:p>
      <w:pPr>
        <w:pStyle w:val="24"/>
      </w:pPr>
      <w:r>
        <w:t>5.外联接待工作</w:t>
      </w:r>
    </w:p>
    <w:p>
      <w:pPr>
        <w:pStyle w:val="24"/>
      </w:pPr>
      <w:r>
        <w:t>绩效目标：服务保障中央、省部级以上来秦领导，服务保障各级各类督导、检查、考核、调研组，接待服务国外及国内重要商务团组，服务保障各类大型活动、重要会议等，更好的展现我区公务接待工作的精神风貌。</w:t>
      </w:r>
    </w:p>
    <w:p>
      <w:pPr>
        <w:pStyle w:val="24"/>
      </w:pPr>
      <w:r>
        <w:t>绩效指标：外联接待工作满意度≥95%。</w:t>
      </w:r>
    </w:p>
    <w:p>
      <w:pPr>
        <w:pStyle w:val="24"/>
      </w:pPr>
      <w:r>
        <w:t>6.公文办理、印刷、秘书工作</w:t>
      </w:r>
    </w:p>
    <w:p>
      <w:pPr>
        <w:pStyle w:val="24"/>
      </w:pPr>
      <w:r>
        <w:t>绩效目标：完成区委日常文书的印制、发放、档案资料整理和电子文档制作等工作。</w:t>
      </w:r>
    </w:p>
    <w:p>
      <w:pPr>
        <w:pStyle w:val="24"/>
      </w:pPr>
      <w:r>
        <w:t>绩效指标：工作完成准确率100%。</w:t>
      </w:r>
    </w:p>
    <w:p>
      <w:pPr>
        <w:pStyle w:val="24"/>
      </w:pPr>
      <w:r>
        <w:t>7.督查暗访工作</w:t>
      </w:r>
    </w:p>
    <w:p>
      <w:pPr>
        <w:pStyle w:val="24"/>
      </w:pPr>
      <w:r>
        <w:t>绩效目标：围绕区委重大决策部署以及人民群众反映的热点、难点问题，开展督查及跟踪问效，推动工作落实。</w:t>
      </w:r>
    </w:p>
    <w:p>
      <w:pPr>
        <w:pStyle w:val="24"/>
      </w:pPr>
      <w:r>
        <w:t>绩效指标：督导批示件交办完成率100%；重大决策部署责任分解完成率100%。</w:t>
      </w:r>
    </w:p>
    <w:p>
      <w:pPr>
        <w:pStyle w:val="24"/>
      </w:pPr>
      <w:r>
        <w:t>8.纠正“四风”纪律整治工作</w:t>
      </w:r>
    </w:p>
    <w:p>
      <w:pPr>
        <w:pStyle w:val="24"/>
      </w:pPr>
      <w:r>
        <w:t>绩效目标：开展深化纠正“四风”和作风纪律专项整治工作，不断提升工作效能和优化营商环境。</w:t>
      </w:r>
    </w:p>
    <w:p>
      <w:pPr>
        <w:pStyle w:val="24"/>
      </w:pPr>
      <w:r>
        <w:t>绩效指标：群众满意度测评次数1次、样本人数≥0.2万人。</w:t>
      </w:r>
    </w:p>
    <w:p>
      <w:pPr>
        <w:pStyle w:val="24"/>
      </w:pPr>
      <w:r>
        <w:t>9.主体责任办工作</w:t>
      </w:r>
    </w:p>
    <w:p>
      <w:pPr>
        <w:pStyle w:val="24"/>
      </w:pPr>
      <w:r>
        <w:t>绩效目标：贯彻落实上级重要指示精神，围绕全区重点工作，发挥参谋助手作用，做好协调服务工作。</w:t>
      </w:r>
    </w:p>
    <w:p>
      <w:pPr>
        <w:pStyle w:val="24"/>
      </w:pPr>
      <w:r>
        <w:t>绩效指标：主体责任考核工作完成率100%。</w:t>
      </w:r>
    </w:p>
    <w:p>
      <w:pPr>
        <w:pStyle w:val="24"/>
      </w:pPr>
      <w:r>
        <w:t>10.党委专网、信息化管理工作</w:t>
      </w:r>
    </w:p>
    <w:p>
      <w:pPr>
        <w:pStyle w:val="24"/>
      </w:pPr>
      <w:r>
        <w:t>绩效目标：保障区委办公室互联网、电子政务内网、机关公务内网以及音响、视频的平稳运行，规划、指导全区党委系统网络建设。</w:t>
      </w:r>
    </w:p>
    <w:p>
      <w:pPr>
        <w:pStyle w:val="24"/>
      </w:pPr>
      <w:r>
        <w:t>绩效指标：网络运行平稳保障率≥95%。</w:t>
      </w:r>
    </w:p>
    <w:p>
      <w:pPr>
        <w:pStyle w:val="24"/>
      </w:pPr>
      <w:r>
        <w:t>（三）处置信访突发事件及暑期信访工作</w:t>
      </w:r>
    </w:p>
    <w:p>
      <w:pPr>
        <w:pStyle w:val="24"/>
      </w:pPr>
      <w:r>
        <w:t>绩效目标：1.强化信访维稳工作，确保国家、省、市、区重大活动及重要敏感节点信访维稳工作万无一失。2.深化信访制度改革，做到“大事不能出、小事也不能出”，维护群众合法权益、促进社会和谐稳定。</w:t>
      </w:r>
    </w:p>
    <w:p>
      <w:pPr>
        <w:pStyle w:val="24"/>
      </w:pPr>
      <w:r>
        <w:t>绩效指标：进京访、进京集体访下降率省委指标完成率100%；暑期北戴河涉访人员处置率100%；信访机构及时受理率≥95%；群众满意度评价参评率≥60%；信访事项处理满意率≥80%；。</w:t>
      </w:r>
    </w:p>
    <w:p>
      <w:pPr>
        <w:pStyle w:val="24"/>
      </w:pPr>
      <w:r>
        <w:t>（四）保密机要专线网络运维及综合管理工作</w:t>
      </w:r>
    </w:p>
    <w:p>
      <w:pPr>
        <w:pStyle w:val="24"/>
      </w:pPr>
      <w:r>
        <w:t>绩效目标：1.确保机要密码通信、电子政务内网、党政红机电话二级网运行正常。2.依法行使对全区党政机关、单位保密工作的监督检查指导。</w:t>
      </w:r>
    </w:p>
    <w:p>
      <w:pPr>
        <w:pStyle w:val="24"/>
      </w:pPr>
      <w:r>
        <w:t>绩效指标：保障电子政务内网专线、短信群发系统、机要密码通信线路、红机电话二级网运行；对党政机关单位保密工作抽查覆盖率≥30%。</w:t>
      </w:r>
    </w:p>
    <w:p>
      <w:pPr>
        <w:pStyle w:val="24"/>
      </w:pPr>
      <w:r>
        <w:t>（五）维稳安全保卫工作</w:t>
      </w:r>
    </w:p>
    <w:p>
      <w:pPr>
        <w:pStyle w:val="24"/>
      </w:pPr>
      <w:r>
        <w:t>绩效目标：负责承担区民中心院内的安全保卫工作及区民中心门口的秩序维护。</w:t>
      </w:r>
    </w:p>
    <w:p>
      <w:pPr>
        <w:pStyle w:val="24"/>
      </w:pPr>
      <w:r>
        <w:t>绩效指标：安全保卫制度执行率100%；安全、保卫、消防内务处理率≥95%；安保工作计划按时完成率≥95%。</w:t>
      </w:r>
    </w:p>
    <w:p>
      <w:pPr>
        <w:spacing w:beforeAutospacing="0" w:afterAutospacing="0" w:line="500" w:lineRule="exact"/>
        <w:ind w:firstLine="560"/>
      </w:pPr>
      <w:r>
        <w:rPr>
          <w:rFonts w:eastAsia="方正仿宋_GBK"/>
          <w:color w:val="000000"/>
          <w:sz w:val="28"/>
        </w:rPr>
        <w:t>（三）工作保障措施</w:t>
      </w:r>
    </w:p>
    <w:p>
      <w:pPr>
        <w:pStyle w:val="25"/>
      </w:pPr>
      <w:r>
        <w:t>1.完善制度建设。制定完善部门预算绩效管理制度、财政资金使用管理办法、工作保障制度等，为全年预算绩效目标的实现奠定制度基础。</w:t>
      </w:r>
    </w:p>
    <w:p>
      <w:pPr>
        <w:pStyle w:val="25"/>
      </w:pPr>
      <w:r>
        <w:t>2.加强支出管理。优化支出结构，编细编实部门预算，规范采购流程，提高资金使用效率，确保支出进度达标。</w:t>
      </w:r>
    </w:p>
    <w:p>
      <w:pPr>
        <w:pStyle w:val="25"/>
      </w:pPr>
      <w:r>
        <w:t>3.做好绩效自评。按要求开展上年度部门预算绩效自评和重点评价工作，对评价中发现的问题及时整改，调整优化支出结构，提高财政资金使用效益。</w:t>
      </w:r>
    </w:p>
    <w:p>
      <w:pPr>
        <w:pStyle w:val="25"/>
      </w:pPr>
      <w:r>
        <w:t>4.规范财务资产管理。完善部门内部财务管理制度，严格审批程序，加强固定资产登记、使用和报废处置管理，做到支出合理，物尽其用。</w:t>
      </w:r>
    </w:p>
    <w:p>
      <w:pPr>
        <w:pStyle w:val="25"/>
      </w:pPr>
      <w:r>
        <w:t>5.加强内部监督。加强部门内部监督制度建设，确保财政资金安全有效。</w:t>
      </w:r>
    </w:p>
    <w:p>
      <w:pPr>
        <w:ind w:firstLine="640"/>
        <w:sectPr>
          <w:pgSz w:w="16840" w:h="11900" w:orient="landscape"/>
          <w:pgMar w:top="1361" w:right="1020" w:bottom="1361" w:left="1020" w:header="720" w:footer="720" w:gutter="0"/>
          <w:cols w:space="720" w:num="1"/>
          <w:docGrid w:linePitch="0" w:charSpace="0"/>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docGrid w:linePitch="0" w:charSpace="0"/>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1、“4.15”全民国家安全宣传教育经费（含主题公园）绩效目标表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1.通过在城区公园、游园建设国家安全宣传教育主题公园，打造海港区国家安全宣传特色“窗口”，推动全民国家安全教育落地生根。</w:t>
            </w:r>
          </w:p>
          <w:p>
            <w:pPr>
              <w:pStyle w:val="14"/>
            </w:pPr>
            <w:r>
              <w:t>2.通过在国家安全主题公园设置国家安全宣传橱窗，深入宣传总体国家安全观及相关国家安全知识，营造浓厚宣传氛围。</w:t>
            </w:r>
          </w:p>
          <w:p>
            <w:pPr>
              <w:pStyle w:val="14"/>
            </w:pPr>
            <w:r>
              <w:t>3.通过在国家安全主题公园安装国家安全宣传广播设备，提高全民国家安全知识素养，形成人人维护国家安全的思想自觉和行动自觉，广泛汇聚维护国家安全的社会共识和强大合力。</w:t>
            </w:r>
            <w:r>
              <w:tab/>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设置宣传载体</w:t>
            </w:r>
          </w:p>
        </w:tc>
        <w:tc>
          <w:tcPr>
            <w:tcW w:w="2835" w:type="dxa"/>
            <w:vAlign w:val="center"/>
          </w:tcPr>
          <w:p>
            <w:pPr>
              <w:pStyle w:val="14"/>
            </w:pPr>
            <w:r>
              <w:t>安装国家安全宣传橱窗</w:t>
            </w:r>
          </w:p>
        </w:tc>
        <w:tc>
          <w:tcPr>
            <w:tcW w:w="2551" w:type="dxa"/>
            <w:vAlign w:val="center"/>
          </w:tcPr>
          <w:p>
            <w:pPr>
              <w:pStyle w:val="14"/>
            </w:pPr>
            <w:r>
              <w:t>≥10个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设置宣传载体</w:t>
            </w:r>
          </w:p>
        </w:tc>
        <w:tc>
          <w:tcPr>
            <w:tcW w:w="2835" w:type="dxa"/>
            <w:vAlign w:val="center"/>
          </w:tcPr>
          <w:p>
            <w:pPr>
              <w:pStyle w:val="14"/>
            </w:pPr>
            <w:r>
              <w:t>安装国家安全宣传广播设备</w:t>
            </w:r>
          </w:p>
          <w:p>
            <w:pPr>
              <w:pStyle w:val="14"/>
            </w:pPr>
          </w:p>
        </w:tc>
        <w:tc>
          <w:tcPr>
            <w:tcW w:w="2551" w:type="dxa"/>
            <w:vAlign w:val="center"/>
          </w:tcPr>
          <w:p>
            <w:pPr>
              <w:pStyle w:val="14"/>
            </w:pPr>
            <w:r>
              <w:t>≥1套</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印刷宣传册数量</w:t>
            </w:r>
          </w:p>
        </w:tc>
        <w:tc>
          <w:tcPr>
            <w:tcW w:w="2835" w:type="dxa"/>
            <w:vAlign w:val="center"/>
          </w:tcPr>
          <w:p>
            <w:pPr>
              <w:pStyle w:val="14"/>
            </w:pPr>
            <w:r>
              <w:t>印刷宣传册数量</w:t>
            </w:r>
          </w:p>
        </w:tc>
        <w:tc>
          <w:tcPr>
            <w:tcW w:w="2551" w:type="dxa"/>
            <w:vAlign w:val="center"/>
          </w:tcPr>
          <w:p>
            <w:pPr>
              <w:pStyle w:val="14"/>
            </w:pPr>
            <w:r>
              <w:t>≥10000%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宣传载体合格率</w:t>
            </w:r>
          </w:p>
        </w:tc>
        <w:tc>
          <w:tcPr>
            <w:tcW w:w="2835" w:type="dxa"/>
            <w:vAlign w:val="center"/>
          </w:tcPr>
          <w:p>
            <w:pPr>
              <w:pStyle w:val="14"/>
            </w:pPr>
            <w:r>
              <w:t>宣传橱窗、广播设备合格率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p>
            <w:pPr>
              <w:pStyle w:val="14"/>
            </w:pPr>
          </w:p>
        </w:tc>
        <w:tc>
          <w:tcPr>
            <w:tcW w:w="2835" w:type="dxa"/>
            <w:vAlign w:val="center"/>
          </w:tcPr>
          <w:p>
            <w:pPr>
              <w:pStyle w:val="14"/>
            </w:pPr>
            <w:r>
              <w:t>宣传资料印刷品合格率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宣传载体建设及时性</w:t>
            </w:r>
          </w:p>
        </w:tc>
        <w:tc>
          <w:tcPr>
            <w:tcW w:w="2835" w:type="dxa"/>
            <w:vAlign w:val="center"/>
          </w:tcPr>
          <w:p>
            <w:pPr>
              <w:pStyle w:val="14"/>
            </w:pPr>
            <w:r>
              <w:t>按照计划宣传特色“窗口”建设</w:t>
            </w:r>
          </w:p>
          <w:p>
            <w:pPr>
              <w:pStyle w:val="14"/>
            </w:pP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宣教活动完成及时性</w:t>
            </w:r>
          </w:p>
          <w:p>
            <w:pPr>
              <w:pStyle w:val="14"/>
            </w:pPr>
          </w:p>
        </w:tc>
        <w:tc>
          <w:tcPr>
            <w:tcW w:w="2835" w:type="dxa"/>
            <w:vAlign w:val="center"/>
          </w:tcPr>
          <w:p>
            <w:pPr>
              <w:pStyle w:val="14"/>
            </w:pPr>
            <w:r>
              <w:t>按照计划完成宣传教育活动</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≤10万元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群众安全意识提升情况</w:t>
            </w:r>
          </w:p>
        </w:tc>
        <w:tc>
          <w:tcPr>
            <w:tcW w:w="2835" w:type="dxa"/>
            <w:vAlign w:val="center"/>
          </w:tcPr>
          <w:p>
            <w:pPr>
              <w:pStyle w:val="14"/>
            </w:pPr>
            <w:r>
              <w:t>增强全民国家安全意识，对全区国家安全工作产生了深远可持续的影响。</w:t>
            </w:r>
          </w:p>
          <w:p>
            <w:pPr>
              <w:pStyle w:val="14"/>
            </w:pPr>
          </w:p>
        </w:tc>
        <w:tc>
          <w:tcPr>
            <w:tcW w:w="2551" w:type="dxa"/>
            <w:vAlign w:val="center"/>
          </w:tcPr>
          <w:p>
            <w:pPr>
              <w:pStyle w:val="14"/>
            </w:pPr>
            <w:r>
              <w:t>效果明显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群众安全意识提升情况</w:t>
            </w:r>
          </w:p>
          <w:p>
            <w:pPr>
              <w:pStyle w:val="14"/>
            </w:pPr>
          </w:p>
        </w:tc>
        <w:tc>
          <w:tcPr>
            <w:tcW w:w="2835" w:type="dxa"/>
            <w:vAlign w:val="center"/>
          </w:tcPr>
          <w:p>
            <w:pPr>
              <w:pStyle w:val="14"/>
            </w:pPr>
            <w:r>
              <w:t>增强全民国家安全意识，对全区国家安全工作产生了深远可持续的影响。</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提升宣传教育影响力</w:t>
            </w:r>
          </w:p>
        </w:tc>
        <w:tc>
          <w:tcPr>
            <w:tcW w:w="2835" w:type="dxa"/>
            <w:vAlign w:val="center"/>
          </w:tcPr>
          <w:p>
            <w:pPr>
              <w:pStyle w:val="14"/>
            </w:pPr>
            <w:r>
              <w:t>高国家安全宣传教育影响力，进一步增强全民国家安全意识。</w:t>
            </w:r>
          </w:p>
        </w:tc>
        <w:tc>
          <w:tcPr>
            <w:tcW w:w="2551" w:type="dxa"/>
            <w:vAlign w:val="center"/>
          </w:tcPr>
          <w:p>
            <w:pPr>
              <w:pStyle w:val="14"/>
            </w:pPr>
            <w:r>
              <w:t>效果明显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提升宣传教育活动影响力</w:t>
            </w:r>
          </w:p>
          <w:p>
            <w:pPr>
              <w:pStyle w:val="14"/>
            </w:pPr>
          </w:p>
        </w:tc>
        <w:tc>
          <w:tcPr>
            <w:tcW w:w="2835" w:type="dxa"/>
            <w:vAlign w:val="center"/>
          </w:tcPr>
          <w:p>
            <w:pPr>
              <w:pStyle w:val="14"/>
            </w:pPr>
            <w:r>
              <w:t>提高国家安全宣传教育活动影响力，进一步增强全民国家安全意识。</w:t>
            </w:r>
          </w:p>
          <w:p>
            <w:pPr>
              <w:pStyle w:val="14"/>
            </w:pP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群众对宣传特色“窗口”效果满意程度</w:t>
            </w:r>
          </w:p>
          <w:p>
            <w:pPr>
              <w:pStyle w:val="14"/>
            </w:pPr>
          </w:p>
        </w:tc>
        <w:tc>
          <w:tcPr>
            <w:tcW w:w="2551" w:type="dxa"/>
            <w:vAlign w:val="center"/>
          </w:tcPr>
          <w:p>
            <w:pPr>
              <w:pStyle w:val="14"/>
            </w:pPr>
            <w:r>
              <w:t>≥95%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群众对活动效果满意程度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2、《中国共产党河北省秦皇岛市海港区历史（第二卷）》编撰工作绩效目标表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1.记述海港区2011年-2021年党的活动的大事，要事、新事的资料和线索，确保真实准确</w:t>
            </w:r>
            <w:r>
              <w:tab/>
            </w:r>
            <w:r>
              <w:tab/>
            </w:r>
            <w:r>
              <w:tab/>
            </w:r>
            <w:r>
              <w:tab/>
            </w:r>
            <w:r>
              <w:tab/>
            </w:r>
          </w:p>
          <w:p>
            <w:pPr>
              <w:pStyle w:val="14"/>
            </w:pPr>
            <w:r>
              <w:t>2.进一步延伸和扩展查阅范围，便于利用者检索查阅相关史实</w:t>
            </w:r>
            <w:r>
              <w:tab/>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大事记工作完成率</w:t>
            </w:r>
          </w:p>
          <w:p>
            <w:pPr>
              <w:pStyle w:val="14"/>
            </w:pPr>
          </w:p>
        </w:tc>
        <w:tc>
          <w:tcPr>
            <w:tcW w:w="2835" w:type="dxa"/>
            <w:vAlign w:val="center"/>
          </w:tcPr>
          <w:p>
            <w:pPr>
              <w:pStyle w:val="14"/>
            </w:pPr>
            <w:r>
              <w:t>完成《中国共产党海港区委大事记》版面审计并申请书号，出版引述成书</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大事记印刷合格率</w:t>
            </w:r>
          </w:p>
          <w:p>
            <w:pPr>
              <w:pStyle w:val="14"/>
            </w:pPr>
          </w:p>
        </w:tc>
        <w:tc>
          <w:tcPr>
            <w:tcW w:w="2835" w:type="dxa"/>
            <w:vAlign w:val="center"/>
          </w:tcPr>
          <w:p>
            <w:pPr>
              <w:pStyle w:val="14"/>
            </w:pPr>
            <w:r>
              <w:t>大事记印刷合格率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编印工作完成及时性</w:t>
            </w:r>
          </w:p>
        </w:tc>
        <w:tc>
          <w:tcPr>
            <w:tcW w:w="2835" w:type="dxa"/>
            <w:vAlign w:val="center"/>
          </w:tcPr>
          <w:p>
            <w:pPr>
              <w:pStyle w:val="14"/>
            </w:pPr>
            <w:r>
              <w:t>按照计划时间完成编撰及出版工作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提升宣传影响作用</w:t>
            </w:r>
          </w:p>
          <w:p>
            <w:pPr>
              <w:pStyle w:val="14"/>
            </w:pPr>
          </w:p>
        </w:tc>
        <w:tc>
          <w:tcPr>
            <w:tcW w:w="2835" w:type="dxa"/>
            <w:vAlign w:val="center"/>
          </w:tcPr>
          <w:p>
            <w:pPr>
              <w:pStyle w:val="14"/>
            </w:pPr>
            <w:r>
              <w:t>提高海港区宣传力度，具有持续性</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资政育人作用效果</w:t>
            </w:r>
          </w:p>
          <w:p>
            <w:pPr>
              <w:pStyle w:val="14"/>
            </w:pPr>
          </w:p>
        </w:tc>
        <w:tc>
          <w:tcPr>
            <w:tcW w:w="2835" w:type="dxa"/>
            <w:vAlign w:val="center"/>
          </w:tcPr>
          <w:p>
            <w:pPr>
              <w:pStyle w:val="14"/>
            </w:pPr>
            <w:r>
              <w:t>发挥党史工作“资政育人的作用”</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领导满意度</w:t>
            </w:r>
          </w:p>
          <w:p>
            <w:pPr>
              <w:pStyle w:val="14"/>
            </w:pPr>
          </w:p>
        </w:tc>
        <w:tc>
          <w:tcPr>
            <w:tcW w:w="2835" w:type="dxa"/>
            <w:vAlign w:val="center"/>
          </w:tcPr>
          <w:p>
            <w:pPr>
              <w:pStyle w:val="14"/>
            </w:pPr>
            <w:r>
              <w:t>领导对大事记编写工作的满意程度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3、党政专用电视会议系统延伸建设资金绩效目标表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1.按照文件要求，按时完成党政专用电视系统延伸建设。</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涉及工作的数量</w:t>
            </w:r>
          </w:p>
        </w:tc>
        <w:tc>
          <w:tcPr>
            <w:tcW w:w="2835" w:type="dxa"/>
            <w:vAlign w:val="center"/>
          </w:tcPr>
          <w:p>
            <w:pPr>
              <w:pStyle w:val="14"/>
            </w:pPr>
            <w:r>
              <w:t>涉及工作的数量</w:t>
            </w:r>
          </w:p>
        </w:tc>
        <w:tc>
          <w:tcPr>
            <w:tcW w:w="2551" w:type="dxa"/>
            <w:vAlign w:val="center"/>
          </w:tcPr>
          <w:p>
            <w:pPr>
              <w:pStyle w:val="14"/>
            </w:pPr>
            <w:r>
              <w:t>≥1项</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成本费用的控制</w:t>
            </w:r>
          </w:p>
        </w:tc>
        <w:tc>
          <w:tcPr>
            <w:tcW w:w="2835" w:type="dxa"/>
            <w:vAlign w:val="center"/>
          </w:tcPr>
          <w:p>
            <w:pPr>
              <w:pStyle w:val="14"/>
            </w:pPr>
            <w:r>
              <w:t>控制总费用的实际支出小于等于预算</w:t>
            </w:r>
          </w:p>
        </w:tc>
        <w:tc>
          <w:tcPr>
            <w:tcW w:w="2551" w:type="dxa"/>
            <w:vAlign w:val="center"/>
          </w:tcPr>
          <w:p>
            <w:pPr>
              <w:pStyle w:val="14"/>
            </w:pPr>
            <w:r>
              <w:t>≤217万元</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4、电子政务网络维护费绩效目标表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1.保障全区电子政务内网节点网络畅通</w:t>
            </w:r>
          </w:p>
          <w:p>
            <w:pPr>
              <w:pStyle w:val="14"/>
            </w:pPr>
            <w:r>
              <w:t>2.通过对电子政务内网继续投入资金，保障新增单位线路建设</w:t>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网络通畅节点覆盖率</w:t>
            </w:r>
          </w:p>
          <w:p>
            <w:pPr>
              <w:pStyle w:val="14"/>
            </w:pPr>
          </w:p>
        </w:tc>
        <w:tc>
          <w:tcPr>
            <w:tcW w:w="2835" w:type="dxa"/>
            <w:vAlign w:val="center"/>
          </w:tcPr>
          <w:p>
            <w:pPr>
              <w:pStyle w:val="14"/>
            </w:pPr>
            <w:r>
              <w:t>保障全区网络通畅的节点数量</w:t>
            </w:r>
          </w:p>
          <w:p>
            <w:pPr>
              <w:pStyle w:val="14"/>
            </w:pPr>
          </w:p>
        </w:tc>
        <w:tc>
          <w:tcPr>
            <w:tcW w:w="2551" w:type="dxa"/>
            <w:vAlign w:val="center"/>
          </w:tcPr>
          <w:p>
            <w:pPr>
              <w:pStyle w:val="14"/>
            </w:pPr>
            <w:r>
              <w:t>100%</w:t>
            </w:r>
          </w:p>
        </w:tc>
        <w:tc>
          <w:tcPr>
            <w:tcW w:w="2268" w:type="dxa"/>
            <w:vAlign w:val="center"/>
          </w:tcPr>
          <w:p>
            <w:pPr>
              <w:pStyle w:val="14"/>
            </w:pPr>
            <w:r>
              <w:t>转发，中共河北省委保密机要局关于做好电子政务内网密码设备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网络平稳运行保障率</w:t>
            </w:r>
          </w:p>
          <w:p>
            <w:pPr>
              <w:pStyle w:val="14"/>
            </w:pPr>
          </w:p>
        </w:tc>
        <w:tc>
          <w:tcPr>
            <w:tcW w:w="2835" w:type="dxa"/>
            <w:vAlign w:val="center"/>
          </w:tcPr>
          <w:p>
            <w:pPr>
              <w:pStyle w:val="14"/>
            </w:pPr>
            <w:r>
              <w:t>保障全区网络建设完好情况</w:t>
            </w:r>
          </w:p>
          <w:p>
            <w:pPr>
              <w:pStyle w:val="14"/>
            </w:pPr>
          </w:p>
        </w:tc>
        <w:tc>
          <w:tcPr>
            <w:tcW w:w="2551" w:type="dxa"/>
            <w:vAlign w:val="center"/>
          </w:tcPr>
          <w:p>
            <w:pPr>
              <w:pStyle w:val="14"/>
            </w:pPr>
            <w:r>
              <w:t>100%</w:t>
            </w:r>
          </w:p>
        </w:tc>
        <w:tc>
          <w:tcPr>
            <w:tcW w:w="2268" w:type="dxa"/>
            <w:vAlign w:val="center"/>
          </w:tcPr>
          <w:p>
            <w:pPr>
              <w:pStyle w:val="14"/>
            </w:pPr>
            <w:r>
              <w:t>转发，中共河北省委保密机要局关于做好电子政务内网密码设备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网络运行稳定性</w:t>
            </w:r>
          </w:p>
          <w:p>
            <w:pPr>
              <w:pStyle w:val="14"/>
            </w:pPr>
          </w:p>
        </w:tc>
        <w:tc>
          <w:tcPr>
            <w:tcW w:w="2835" w:type="dxa"/>
            <w:vAlign w:val="center"/>
          </w:tcPr>
          <w:p>
            <w:pPr>
              <w:pStyle w:val="14"/>
            </w:pPr>
            <w:r>
              <w:t>保障网络平稳运行</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密码设备验收合格率</w:t>
            </w:r>
          </w:p>
          <w:p>
            <w:pPr>
              <w:pStyle w:val="14"/>
            </w:pPr>
          </w:p>
        </w:tc>
        <w:tc>
          <w:tcPr>
            <w:tcW w:w="2835" w:type="dxa"/>
            <w:vAlign w:val="center"/>
          </w:tcPr>
          <w:p>
            <w:pPr>
              <w:pStyle w:val="14"/>
            </w:pPr>
            <w:r>
              <w:t>确保密码设备符合上级规定标准要求</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网络维护及时性</w:t>
            </w:r>
          </w:p>
          <w:p>
            <w:pPr>
              <w:pStyle w:val="14"/>
            </w:pPr>
          </w:p>
        </w:tc>
        <w:tc>
          <w:tcPr>
            <w:tcW w:w="2835" w:type="dxa"/>
            <w:vAlign w:val="center"/>
          </w:tcPr>
          <w:p>
            <w:pPr>
              <w:pStyle w:val="14"/>
            </w:pPr>
            <w:r>
              <w:t>按照要求及时完成网络运行维护</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按合同约定及预算额合理控制费用支出</w:t>
            </w:r>
          </w:p>
          <w:p>
            <w:pPr>
              <w:pStyle w:val="14"/>
            </w:pPr>
          </w:p>
        </w:tc>
        <w:tc>
          <w:tcPr>
            <w:tcW w:w="2551" w:type="dxa"/>
            <w:vAlign w:val="center"/>
          </w:tcPr>
          <w:p>
            <w:pPr>
              <w:pStyle w:val="14"/>
            </w:pPr>
            <w:r>
              <w:t>≤18万元</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促进政务数字化建设</w:t>
            </w:r>
          </w:p>
          <w:p>
            <w:pPr>
              <w:pStyle w:val="14"/>
            </w:pPr>
          </w:p>
        </w:tc>
        <w:tc>
          <w:tcPr>
            <w:tcW w:w="2835" w:type="dxa"/>
            <w:vAlign w:val="center"/>
          </w:tcPr>
          <w:p>
            <w:pPr>
              <w:pStyle w:val="14"/>
            </w:pPr>
            <w:r>
              <w:t>服务全区联网单位收发公文</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p>
        </w:tc>
        <w:tc>
          <w:tcPr>
            <w:tcW w:w="2835" w:type="dxa"/>
            <w:vAlign w:val="center"/>
          </w:tcPr>
          <w:p>
            <w:pPr>
              <w:pStyle w:val="14"/>
            </w:pPr>
            <w:r>
              <w:t>各单位对公文交换系统网络运行满意程度</w:t>
            </w:r>
          </w:p>
          <w:p>
            <w:pPr>
              <w:pStyle w:val="14"/>
            </w:pPr>
          </w:p>
        </w:tc>
        <w:tc>
          <w:tcPr>
            <w:tcW w:w="2551" w:type="dxa"/>
            <w:vAlign w:val="center"/>
          </w:tcPr>
          <w:p>
            <w:pPr>
              <w:pStyle w:val="14"/>
            </w:pPr>
            <w:r>
              <w:t>≥95%</w:t>
            </w:r>
          </w:p>
        </w:tc>
        <w:tc>
          <w:tcPr>
            <w:tcW w:w="2268" w:type="dxa"/>
            <w:vAlign w:val="center"/>
          </w:tcPr>
          <w:p>
            <w:pPr>
              <w:pStyle w:val="14"/>
            </w:pPr>
            <w:r>
              <w:t>上级要求及年度工作计划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5、机要局业务经费绩效目标表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1.通过对机要硬件投入，确保机要工作稳定运转</w:t>
            </w:r>
            <w:r>
              <w:tab/>
            </w:r>
            <w:r>
              <w:tab/>
            </w:r>
            <w:r>
              <w:tab/>
            </w:r>
            <w:r>
              <w:tab/>
            </w:r>
          </w:p>
          <w:p>
            <w:pPr>
              <w:pStyle w:val="14"/>
            </w:pPr>
            <w:r>
              <w:t>2.通过对电话线路的日常巡检，确保区领导办公室保密电话通话正常和机要密码通信安全畅通</w:t>
            </w:r>
          </w:p>
          <w:p>
            <w:pPr>
              <w:pStyle w:val="14"/>
            </w:pPr>
            <w:r>
              <w:t>3. 通过开展保密宣传教育，提升全民保密意识</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涉密电视会议室建设完成率</w:t>
            </w:r>
          </w:p>
        </w:tc>
        <w:tc>
          <w:tcPr>
            <w:tcW w:w="2835" w:type="dxa"/>
            <w:vAlign w:val="center"/>
          </w:tcPr>
          <w:p>
            <w:pPr>
              <w:pStyle w:val="14"/>
            </w:pPr>
            <w:r>
              <w:t>完成涉密电视会议室建设</w:t>
            </w:r>
          </w:p>
          <w:p>
            <w:pPr>
              <w:pStyle w:val="14"/>
            </w:pPr>
          </w:p>
        </w:tc>
        <w:tc>
          <w:tcPr>
            <w:tcW w:w="2551" w:type="dxa"/>
            <w:vAlign w:val="center"/>
          </w:tcPr>
          <w:p>
            <w:pPr>
              <w:pStyle w:val="14"/>
            </w:pPr>
            <w:r>
              <w:t>100%</w:t>
            </w:r>
          </w:p>
        </w:tc>
        <w:tc>
          <w:tcPr>
            <w:tcW w:w="2268" w:type="dxa"/>
            <w:vAlign w:val="center"/>
          </w:tcPr>
          <w:p>
            <w:pPr>
              <w:pStyle w:val="14"/>
            </w:pPr>
            <w:r>
              <w:t>冀办字【2014】42号、《河北省省以下密码通信主渠道网络维护管理细则》《国家密码管理局省市县党政密码通信主渠道基础设施技术要求和运维规范》、冀专通【2021】24号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机要线路畅通保障率</w:t>
            </w:r>
          </w:p>
        </w:tc>
        <w:tc>
          <w:tcPr>
            <w:tcW w:w="2835" w:type="dxa"/>
            <w:vAlign w:val="center"/>
          </w:tcPr>
          <w:p>
            <w:pPr>
              <w:pStyle w:val="14"/>
            </w:pPr>
            <w:r>
              <w:t>确保保密机要工作顺利开展</w:t>
            </w:r>
          </w:p>
        </w:tc>
        <w:tc>
          <w:tcPr>
            <w:tcW w:w="2551" w:type="dxa"/>
            <w:vAlign w:val="center"/>
          </w:tcPr>
          <w:p>
            <w:pPr>
              <w:pStyle w:val="14"/>
            </w:pPr>
            <w:r>
              <w:t>100%</w:t>
            </w:r>
          </w:p>
        </w:tc>
        <w:tc>
          <w:tcPr>
            <w:tcW w:w="2268" w:type="dxa"/>
            <w:vAlign w:val="center"/>
          </w:tcPr>
          <w:p>
            <w:pPr>
              <w:pStyle w:val="14"/>
            </w:pPr>
            <w:r>
              <w:t>冀办字【2014】42号、《河北省省以下密码通信主渠道网络维护管理细则》《国家密码管理局省市县党政密码通信主渠道基础设施技术要求和运维规范》、冀专通【2021】24号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机要工作事故率</w:t>
            </w:r>
          </w:p>
          <w:p>
            <w:pPr>
              <w:pStyle w:val="14"/>
            </w:pPr>
          </w:p>
        </w:tc>
        <w:tc>
          <w:tcPr>
            <w:tcW w:w="2835" w:type="dxa"/>
            <w:vAlign w:val="center"/>
          </w:tcPr>
          <w:p>
            <w:pPr>
              <w:pStyle w:val="14"/>
            </w:pPr>
            <w:r>
              <w:t>确保保密机要工作符合规范不出事故</w:t>
            </w:r>
          </w:p>
          <w:p>
            <w:pPr>
              <w:pStyle w:val="14"/>
            </w:pPr>
          </w:p>
        </w:tc>
        <w:tc>
          <w:tcPr>
            <w:tcW w:w="2551" w:type="dxa"/>
            <w:vAlign w:val="center"/>
          </w:tcPr>
          <w:p>
            <w:pPr>
              <w:pStyle w:val="14"/>
            </w:pPr>
            <w:r>
              <w:t>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网络及工程施工合格率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按照计划时间完成网络及涉密会议室建设任务</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机要工作按时完成率</w:t>
            </w:r>
          </w:p>
          <w:p>
            <w:pPr>
              <w:pStyle w:val="14"/>
            </w:pPr>
          </w:p>
        </w:tc>
        <w:tc>
          <w:tcPr>
            <w:tcW w:w="2835" w:type="dxa"/>
            <w:vAlign w:val="center"/>
          </w:tcPr>
          <w:p>
            <w:pPr>
              <w:pStyle w:val="14"/>
            </w:pPr>
            <w:r>
              <w:t>网络设施正常运行确保机要工作及时完成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机要工作水平持续提升</w:t>
            </w:r>
          </w:p>
          <w:p>
            <w:pPr>
              <w:pStyle w:val="14"/>
            </w:pPr>
          </w:p>
        </w:tc>
        <w:tc>
          <w:tcPr>
            <w:tcW w:w="2835" w:type="dxa"/>
            <w:vAlign w:val="center"/>
          </w:tcPr>
          <w:p>
            <w:pPr>
              <w:pStyle w:val="14"/>
            </w:pPr>
            <w:r>
              <w:t>保证全区机要工作水平持续提升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提升机要工作保障能力</w:t>
            </w:r>
          </w:p>
          <w:p>
            <w:pPr>
              <w:pStyle w:val="14"/>
            </w:pPr>
          </w:p>
        </w:tc>
        <w:tc>
          <w:tcPr>
            <w:tcW w:w="2835" w:type="dxa"/>
            <w:vAlign w:val="center"/>
          </w:tcPr>
          <w:p>
            <w:pPr>
              <w:pStyle w:val="14"/>
            </w:pPr>
            <w:r>
              <w:t>保密机要工作顺利开展，提升机要工作保障能力</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领导满意度</w:t>
            </w:r>
          </w:p>
          <w:p>
            <w:pPr>
              <w:pStyle w:val="14"/>
            </w:pPr>
          </w:p>
        </w:tc>
        <w:tc>
          <w:tcPr>
            <w:tcW w:w="2835" w:type="dxa"/>
            <w:vAlign w:val="center"/>
          </w:tcPr>
          <w:p>
            <w:pPr>
              <w:pStyle w:val="14"/>
            </w:pPr>
            <w:r>
              <w:t>领导对机要工作的满意程度</w:t>
            </w:r>
          </w:p>
          <w:p>
            <w:pPr>
              <w:pStyle w:val="14"/>
            </w:pP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6、信息化中心专项经费绩效目标表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1.通过开展公务内网运维工作，保障全区57个内网节点单位网络畅通。</w:t>
            </w:r>
          </w:p>
          <w:p>
            <w:pPr>
              <w:pStyle w:val="14"/>
            </w:pPr>
            <w:r>
              <w:t>2.通过开展内网服务器运维工作，保障区公务内网服务器和应用完好运行。</w:t>
            </w:r>
          </w:p>
          <w:p>
            <w:pPr>
              <w:pStyle w:val="14"/>
            </w:pPr>
            <w:r>
              <w:t>3.通过开展日常巡检工作，确保区委信息化工作中的应用更新和硬件维护。</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网络平稳运行保障率</w:t>
            </w:r>
          </w:p>
        </w:tc>
        <w:tc>
          <w:tcPr>
            <w:tcW w:w="2835" w:type="dxa"/>
            <w:vAlign w:val="center"/>
          </w:tcPr>
          <w:p>
            <w:pPr>
              <w:pStyle w:val="14"/>
            </w:pPr>
            <w:r>
              <w:t>保障全区网络建设完好情况</w:t>
            </w:r>
          </w:p>
          <w:p>
            <w:pPr>
              <w:pStyle w:val="14"/>
            </w:pPr>
          </w:p>
        </w:tc>
        <w:tc>
          <w:tcPr>
            <w:tcW w:w="2551" w:type="dxa"/>
            <w:vAlign w:val="center"/>
          </w:tcPr>
          <w:p>
            <w:pPr>
              <w:pStyle w:val="14"/>
            </w:pPr>
            <w:r>
              <w:t>100%</w:t>
            </w:r>
          </w:p>
        </w:tc>
        <w:tc>
          <w:tcPr>
            <w:tcW w:w="2268" w:type="dxa"/>
            <w:vAlign w:val="center"/>
          </w:tcPr>
          <w:p>
            <w:pPr>
              <w:pStyle w:val="14"/>
            </w:pPr>
            <w:r>
              <w:t>中共河北省委保密机要局关于做好网络建设</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网络通畅节点数量</w:t>
            </w:r>
          </w:p>
          <w:p>
            <w:pPr>
              <w:pStyle w:val="14"/>
            </w:pPr>
          </w:p>
        </w:tc>
        <w:tc>
          <w:tcPr>
            <w:tcW w:w="2835" w:type="dxa"/>
            <w:vAlign w:val="center"/>
          </w:tcPr>
          <w:p>
            <w:pPr>
              <w:pStyle w:val="14"/>
            </w:pPr>
            <w:r>
              <w:t>保障全区网络通畅的节点数量</w:t>
            </w:r>
          </w:p>
          <w:p>
            <w:pPr>
              <w:pStyle w:val="14"/>
            </w:pPr>
          </w:p>
        </w:tc>
        <w:tc>
          <w:tcPr>
            <w:tcW w:w="2551" w:type="dxa"/>
            <w:vAlign w:val="center"/>
          </w:tcPr>
          <w:p>
            <w:pPr>
              <w:pStyle w:val="14"/>
            </w:pPr>
            <w:r>
              <w:t>57个</w:t>
            </w:r>
          </w:p>
        </w:tc>
        <w:tc>
          <w:tcPr>
            <w:tcW w:w="2268" w:type="dxa"/>
            <w:vAlign w:val="center"/>
          </w:tcPr>
          <w:p>
            <w:pPr>
              <w:pStyle w:val="14"/>
            </w:pPr>
            <w:r>
              <w:t>中共河北省委保密机要局关于做好网络建设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网络运行稳定性</w:t>
            </w:r>
          </w:p>
          <w:p>
            <w:pPr>
              <w:pStyle w:val="14"/>
            </w:pPr>
          </w:p>
        </w:tc>
        <w:tc>
          <w:tcPr>
            <w:tcW w:w="2835" w:type="dxa"/>
            <w:vAlign w:val="center"/>
          </w:tcPr>
          <w:p>
            <w:pPr>
              <w:pStyle w:val="14"/>
            </w:pPr>
            <w:r>
              <w:t>保障网络平稳运行</w:t>
            </w:r>
          </w:p>
          <w:p>
            <w:pPr>
              <w:pStyle w:val="14"/>
            </w:pPr>
          </w:p>
        </w:tc>
        <w:tc>
          <w:tcPr>
            <w:tcW w:w="2551" w:type="dxa"/>
            <w:vAlign w:val="center"/>
          </w:tcPr>
          <w:p>
            <w:pPr>
              <w:pStyle w:val="14"/>
            </w:pPr>
            <w:r>
              <w:t>100%</w:t>
            </w:r>
          </w:p>
        </w:tc>
        <w:tc>
          <w:tcPr>
            <w:tcW w:w="2268" w:type="dxa"/>
            <w:vAlign w:val="center"/>
          </w:tcPr>
          <w:p>
            <w:pPr>
              <w:pStyle w:val="14"/>
            </w:pPr>
            <w:r>
              <w:t>中共河北省委保密机要局关于做好网络建设</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公文交换安全准确率</w:t>
            </w:r>
          </w:p>
          <w:p>
            <w:pPr>
              <w:pStyle w:val="14"/>
            </w:pPr>
          </w:p>
        </w:tc>
        <w:tc>
          <w:tcPr>
            <w:tcW w:w="2835" w:type="dxa"/>
            <w:vAlign w:val="center"/>
          </w:tcPr>
          <w:p>
            <w:pPr>
              <w:pStyle w:val="14"/>
            </w:pPr>
            <w:r>
              <w:t>确保公文交换工作安全准确开展</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公文交换工作及时性</w:t>
            </w:r>
          </w:p>
          <w:p>
            <w:pPr>
              <w:pStyle w:val="14"/>
            </w:pPr>
          </w:p>
        </w:tc>
        <w:tc>
          <w:tcPr>
            <w:tcW w:w="2835" w:type="dxa"/>
            <w:vAlign w:val="center"/>
          </w:tcPr>
          <w:p>
            <w:pPr>
              <w:pStyle w:val="14"/>
            </w:pPr>
            <w:r>
              <w:t>按照公文管理时限要求完成公文交换工作</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网络维护及时性</w:t>
            </w:r>
          </w:p>
          <w:p>
            <w:pPr>
              <w:pStyle w:val="14"/>
            </w:pPr>
          </w:p>
        </w:tc>
        <w:tc>
          <w:tcPr>
            <w:tcW w:w="2835" w:type="dxa"/>
            <w:vAlign w:val="center"/>
          </w:tcPr>
          <w:p>
            <w:pPr>
              <w:pStyle w:val="14"/>
            </w:pPr>
            <w:r>
              <w:t>按照要求及时完成网络运行维护</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按合同约定及预算额合理控制费用支出</w:t>
            </w:r>
          </w:p>
          <w:p>
            <w:pPr>
              <w:pStyle w:val="14"/>
            </w:pPr>
          </w:p>
        </w:tc>
        <w:tc>
          <w:tcPr>
            <w:tcW w:w="2551" w:type="dxa"/>
            <w:vAlign w:val="center"/>
          </w:tcPr>
          <w:p>
            <w:pPr>
              <w:pStyle w:val="14"/>
            </w:pPr>
            <w:r>
              <w:t>≤40万元</w:t>
            </w:r>
          </w:p>
        </w:tc>
        <w:tc>
          <w:tcPr>
            <w:tcW w:w="2268" w:type="dxa"/>
            <w:vAlign w:val="center"/>
          </w:tcPr>
          <w:p>
            <w:pPr>
              <w:pStyle w:val="14"/>
            </w:pPr>
            <w:r>
              <w:t>服务合同/年度预算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促进政务数字化建设</w:t>
            </w:r>
          </w:p>
          <w:p>
            <w:pPr>
              <w:pStyle w:val="14"/>
            </w:pPr>
          </w:p>
        </w:tc>
        <w:tc>
          <w:tcPr>
            <w:tcW w:w="2835" w:type="dxa"/>
            <w:vAlign w:val="center"/>
          </w:tcPr>
          <w:p>
            <w:pPr>
              <w:pStyle w:val="14"/>
            </w:pPr>
            <w:r>
              <w:t>服务全区联网单位收发公文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p>
        </w:tc>
        <w:tc>
          <w:tcPr>
            <w:tcW w:w="2835" w:type="dxa"/>
            <w:vAlign w:val="center"/>
          </w:tcPr>
          <w:p>
            <w:pPr>
              <w:pStyle w:val="14"/>
            </w:pPr>
            <w:r>
              <w:t>各单位对公文交换系统网络运行满意程度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7、重点工作经费绩效目标表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重点工作完成率</w:t>
            </w:r>
          </w:p>
          <w:p>
            <w:pPr>
              <w:pStyle w:val="14"/>
            </w:pPr>
          </w:p>
        </w:tc>
        <w:tc>
          <w:tcPr>
            <w:tcW w:w="2835" w:type="dxa"/>
            <w:vAlign w:val="center"/>
          </w:tcPr>
          <w:p>
            <w:pPr>
              <w:pStyle w:val="14"/>
            </w:pPr>
            <w:r>
              <w:t>接待、会务培训、办公耗材采购、各项慰问完成情况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重点工作效果达标率</w:t>
            </w:r>
          </w:p>
          <w:p>
            <w:pPr>
              <w:pStyle w:val="14"/>
            </w:pPr>
          </w:p>
        </w:tc>
        <w:tc>
          <w:tcPr>
            <w:tcW w:w="2835" w:type="dxa"/>
            <w:vAlign w:val="center"/>
          </w:tcPr>
          <w:p>
            <w:pPr>
              <w:pStyle w:val="14"/>
            </w:pPr>
            <w:r>
              <w:t>接待、会务培训、办公耗材采购、各项慰问完成的质量达标情况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重点工作完成及时性</w:t>
            </w:r>
          </w:p>
          <w:p>
            <w:pPr>
              <w:pStyle w:val="14"/>
            </w:pPr>
          </w:p>
        </w:tc>
        <w:tc>
          <w:tcPr>
            <w:tcW w:w="2835" w:type="dxa"/>
            <w:vAlign w:val="center"/>
          </w:tcPr>
          <w:p>
            <w:pPr>
              <w:pStyle w:val="14"/>
            </w:pPr>
            <w:r>
              <w:t>按照计划时间安排完成各项重点工作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40万元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工作人员能力持续提升</w:t>
            </w:r>
          </w:p>
          <w:p>
            <w:pPr>
              <w:pStyle w:val="14"/>
            </w:pPr>
          </w:p>
        </w:tc>
        <w:tc>
          <w:tcPr>
            <w:tcW w:w="2835" w:type="dxa"/>
            <w:vAlign w:val="center"/>
          </w:tcPr>
          <w:p>
            <w:pPr>
              <w:pStyle w:val="14"/>
            </w:pPr>
            <w:r>
              <w:t>促进工作人员能力持续提升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机关工作效能提升</w:t>
            </w:r>
          </w:p>
          <w:p>
            <w:pPr>
              <w:pStyle w:val="14"/>
            </w:pPr>
          </w:p>
        </w:tc>
        <w:tc>
          <w:tcPr>
            <w:tcW w:w="2835" w:type="dxa"/>
            <w:vAlign w:val="center"/>
          </w:tcPr>
          <w:p>
            <w:pPr>
              <w:pStyle w:val="14"/>
            </w:pPr>
            <w:r>
              <w:t>提升政府机关工作效能，促进政府形象提升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p>
            <w:pPr>
              <w:pStyle w:val="14"/>
            </w:pPr>
          </w:p>
        </w:tc>
        <w:tc>
          <w:tcPr>
            <w:tcW w:w="2835" w:type="dxa"/>
            <w:vAlign w:val="center"/>
          </w:tcPr>
          <w:p>
            <w:pPr>
              <w:pStyle w:val="14"/>
            </w:pPr>
            <w:r>
              <w:t>工作人员对工作保障的满意程度</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8、资料印刷制作费绩效目标表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1.完成会议纪要，资料，宣传册，涉密文件等的印刷，保障工作有序开展。</w:t>
            </w:r>
            <w:r>
              <w:tab/>
            </w:r>
            <w:r>
              <w:tab/>
            </w:r>
            <w:r>
              <w:tab/>
            </w:r>
            <w:r>
              <w:tab/>
            </w:r>
            <w:r>
              <w:tab/>
            </w:r>
          </w:p>
          <w:p>
            <w:pPr>
              <w:pStyle w:val="14"/>
            </w:pPr>
            <w:r>
              <w:t>2.完成各类展板广告制作及宣传推广工作，扩大宣传力度提升政府形象。</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文稿印刷完成率</w:t>
            </w:r>
          </w:p>
          <w:p>
            <w:pPr>
              <w:pStyle w:val="14"/>
            </w:pPr>
          </w:p>
        </w:tc>
        <w:tc>
          <w:tcPr>
            <w:tcW w:w="2835" w:type="dxa"/>
            <w:vAlign w:val="center"/>
          </w:tcPr>
          <w:p>
            <w:pPr>
              <w:pStyle w:val="14"/>
            </w:pPr>
            <w:r>
              <w:t>印刷各类文稿的完成情况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p>
            <w:pPr>
              <w:pStyle w:val="14"/>
            </w:pPr>
          </w:p>
        </w:tc>
        <w:tc>
          <w:tcPr>
            <w:tcW w:w="2835" w:type="dxa"/>
            <w:vAlign w:val="center"/>
          </w:tcPr>
          <w:p>
            <w:pPr>
              <w:pStyle w:val="14"/>
            </w:pPr>
            <w:r>
              <w:t>印刷品质量合格情况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资料印刷及时性</w:t>
            </w:r>
          </w:p>
          <w:p>
            <w:pPr>
              <w:pStyle w:val="14"/>
            </w:pPr>
          </w:p>
        </w:tc>
        <w:tc>
          <w:tcPr>
            <w:tcW w:w="2835" w:type="dxa"/>
            <w:vAlign w:val="center"/>
          </w:tcPr>
          <w:p>
            <w:pPr>
              <w:pStyle w:val="14"/>
            </w:pPr>
            <w:r>
              <w:t>按照计划完成各类资料印刷，保障使用</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提高海港区对外形象</w:t>
            </w:r>
          </w:p>
          <w:p>
            <w:pPr>
              <w:pStyle w:val="14"/>
            </w:pPr>
          </w:p>
        </w:tc>
        <w:tc>
          <w:tcPr>
            <w:tcW w:w="2835" w:type="dxa"/>
            <w:vAlign w:val="center"/>
          </w:tcPr>
          <w:p>
            <w:pPr>
              <w:pStyle w:val="14"/>
            </w:pPr>
            <w:r>
              <w:t>提高海港区宣传力度，具有持续性</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提高政府公信力</w:t>
            </w:r>
          </w:p>
          <w:p>
            <w:pPr>
              <w:pStyle w:val="14"/>
            </w:pPr>
          </w:p>
        </w:tc>
        <w:tc>
          <w:tcPr>
            <w:tcW w:w="2835" w:type="dxa"/>
            <w:vAlign w:val="center"/>
          </w:tcPr>
          <w:p>
            <w:pPr>
              <w:pStyle w:val="14"/>
            </w:pPr>
            <w:r>
              <w:t>提高工作效率，保障工作顺利开展，提高政府公信力</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服务对象满意度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spacing w:before="10" w:beforeAutospacing="0" w:after="10" w:afterAutospacing="0"/>
        <w:ind w:firstLine="640"/>
        <w:outlineLvl w:val="2"/>
      </w:pPr>
      <w:bookmarkStart w:id="14" w:name="_Toc_3_3_0000000015"/>
      <w:bookmarkEnd w:id="14"/>
      <w:r>
        <w:rPr>
          <w:rFonts w:ascii="黑体" w:hAnsi="黑体" w:eastAsia="黑体" w:cs="黑体"/>
          <w:color w:val="000000"/>
          <w:sz w:val="32"/>
        </w:rPr>
        <w:t>六、政府采购预算情况</w:t>
      </w:r>
    </w:p>
    <w:p>
      <w:pPr>
        <w:spacing w:beforeAutospacing="0" w:afterAutospacing="0" w:line="500" w:lineRule="exact"/>
        <w:ind w:firstLine="560"/>
      </w:pPr>
      <w:r>
        <w:rPr>
          <w:rFonts w:eastAsia="方正仿宋_GBK"/>
          <w:color w:val="000000"/>
          <w:sz w:val="28"/>
        </w:rPr>
        <w:t>2023年，中共秦皇岛市海港区委办公室安排政府采购预算0.00万元。具体内容见下表。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Autospacing="0" w:afterAutospacing="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beforeAutospacing="0" w:after="10" w:afterAutospacing="0"/>
        <w:ind w:firstLine="640"/>
        <w:outlineLvl w:val="2"/>
      </w:pPr>
      <w:bookmarkStart w:id="15" w:name="_Toc_3_3_0000000016"/>
      <w:bookmarkEnd w:id="15"/>
      <w:r>
        <w:rPr>
          <w:rFonts w:ascii="黑体" w:hAnsi="黑体" w:eastAsia="黑体" w:cs="黑体"/>
          <w:color w:val="000000"/>
          <w:sz w:val="32"/>
        </w:rPr>
        <w:t>七、国有资产信息</w:t>
      </w:r>
    </w:p>
    <w:p>
      <w:pPr>
        <w:spacing w:beforeAutospacing="0" w:afterAutospacing="0" w:line="500" w:lineRule="exact"/>
        <w:ind w:firstLine="560"/>
      </w:pPr>
      <w:r>
        <w:rPr>
          <w:rFonts w:eastAsia="方正仿宋_GBK"/>
          <w:color w:val="000000"/>
          <w:sz w:val="28"/>
        </w:rPr>
        <w:t>中共秦皇岛市海港区委办公室（含所属单位）上年末固定资产金额为</w:t>
      </w:r>
      <w:r>
        <w:rPr>
          <w:rFonts w:hint="eastAsia" w:eastAsia="方正仿宋_GBK"/>
          <w:color w:val="000000"/>
          <w:sz w:val="28"/>
          <w:lang w:eastAsia="zh-CN"/>
        </w:rPr>
        <w:t>538.66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201中共秦皇岛市海港区委办公室</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Pr>
          <w:p>
            <w:pPr>
              <w:jc w:val="center"/>
            </w:pPr>
            <w:r>
              <w:rPr>
                <w:rFonts w:hint="eastAsia" w:ascii="宋体" w:hAnsi="宋体" w:eastAsia="宋体" w:cs="宋体"/>
              </w:rPr>
              <w:t>项</w:t>
            </w:r>
            <w:r>
              <w:t xml:space="preserve">   </w:t>
            </w:r>
            <w:r>
              <w:rPr>
                <w:rFonts w:hint="eastAsia" w:ascii="宋体" w:hAnsi="宋体" w:eastAsia="宋体" w:cs="宋体"/>
              </w:rPr>
              <w:t>目</w:t>
            </w:r>
          </w:p>
        </w:tc>
        <w:tc>
          <w:tcPr>
            <w:tcW w:w="2835" w:type="dxa"/>
          </w:tcPr>
          <w:p>
            <w:r>
              <w:rPr>
                <w:rFonts w:hint="eastAsia" w:ascii="宋体" w:hAnsi="宋体" w:eastAsia="宋体" w:cs="宋体"/>
              </w:rPr>
              <w:t>数量</w:t>
            </w:r>
          </w:p>
        </w:tc>
        <w:tc>
          <w:tcPr>
            <w:tcW w:w="2835" w:type="dxa"/>
          </w:tcPr>
          <w:p>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ind w:firstLine="1680" w:firstLineChars="700"/>
            </w:pPr>
            <w:r>
              <w:rPr>
                <w:rFonts w:hint="eastAsia" w:ascii="宋体" w:hAnsi="宋体" w:eastAsia="宋体" w:cs="宋体"/>
              </w:rPr>
              <w:t>房屋及附属设备</w:t>
            </w:r>
          </w:p>
        </w:tc>
        <w:tc>
          <w:tcPr>
            <w:tcW w:w="2835" w:type="dxa"/>
          </w:tcPr>
          <w:p>
            <w:pPr>
              <w:jc w:val="right"/>
            </w:pPr>
            <w:r>
              <w:t>1</w:t>
            </w:r>
          </w:p>
        </w:tc>
        <w:tc>
          <w:tcPr>
            <w:tcW w:w="2835" w:type="dxa"/>
          </w:tcPr>
          <w:p>
            <w:pPr>
              <w:jc w:val="right"/>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通用设备</w:t>
            </w:r>
            <w:r>
              <w:t>(</w:t>
            </w:r>
            <w:r>
              <w:rPr>
                <w:rFonts w:hint="eastAsia" w:ascii="宋体" w:hAnsi="宋体" w:eastAsia="宋体" w:cs="宋体"/>
              </w:rPr>
              <w:t>个、台、辆等</w:t>
            </w:r>
            <w:r>
              <w:t>)</w:t>
            </w:r>
          </w:p>
        </w:tc>
        <w:tc>
          <w:tcPr>
            <w:tcW w:w="2835" w:type="dxa"/>
          </w:tcPr>
          <w:p>
            <w:pPr>
              <w:jc w:val="right"/>
            </w:pPr>
            <w:r>
              <w:t>368</w:t>
            </w:r>
          </w:p>
        </w:tc>
        <w:tc>
          <w:tcPr>
            <w:tcW w:w="2835" w:type="dxa"/>
          </w:tcPr>
          <w:p>
            <w:pPr>
              <w:jc w:val="right"/>
            </w:pPr>
            <w:r>
              <w:t xml:space="preserve">526.40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其中：车辆（辆）</w:t>
            </w:r>
          </w:p>
        </w:tc>
        <w:tc>
          <w:tcPr>
            <w:tcW w:w="2835" w:type="dxa"/>
          </w:tcPr>
          <w:p>
            <w:pPr>
              <w:jc w:val="right"/>
            </w:pPr>
            <w:r>
              <w:t>11</w:t>
            </w:r>
          </w:p>
        </w:tc>
        <w:tc>
          <w:tcPr>
            <w:tcW w:w="2835" w:type="dxa"/>
          </w:tcPr>
          <w:p>
            <w:pPr>
              <w:jc w:val="right"/>
            </w:pPr>
            <w:r>
              <w:t xml:space="preserve">208.48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专用设备</w:t>
            </w:r>
            <w:r>
              <w:t>(</w:t>
            </w:r>
            <w:r>
              <w:rPr>
                <w:rFonts w:hint="eastAsia" w:ascii="宋体" w:hAnsi="宋体" w:eastAsia="宋体" w:cs="宋体"/>
              </w:rPr>
              <w:t>个、台等</w:t>
            </w:r>
            <w:r>
              <w:t>)</w:t>
            </w:r>
          </w:p>
        </w:tc>
        <w:tc>
          <w:tcPr>
            <w:tcW w:w="2835" w:type="dxa"/>
          </w:tcPr>
          <w:p>
            <w:pPr>
              <w:jc w:val="right"/>
            </w:pPr>
            <w:r>
              <w:t>2</w:t>
            </w:r>
          </w:p>
        </w:tc>
        <w:tc>
          <w:tcPr>
            <w:tcW w:w="2835" w:type="dxa"/>
          </w:tcPr>
          <w:p>
            <w:pPr>
              <w:jc w:val="right"/>
            </w:pPr>
            <w:r>
              <w:t xml:space="preserve">1.30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图书、档案</w:t>
            </w:r>
            <w:r>
              <w:t>(</w:t>
            </w:r>
            <w:r>
              <w:rPr>
                <w:rFonts w:hint="eastAsia" w:ascii="宋体" w:hAnsi="宋体" w:eastAsia="宋体" w:cs="宋体"/>
              </w:rPr>
              <w:t>本、套等</w:t>
            </w:r>
            <w:r>
              <w:t>)</w:t>
            </w:r>
          </w:p>
        </w:tc>
        <w:tc>
          <w:tcPr>
            <w:tcW w:w="2835" w:type="dxa"/>
          </w:tcPr>
          <w:p>
            <w:pPr>
              <w:jc w:val="right"/>
            </w:pPr>
            <w:r>
              <w:t>66</w:t>
            </w:r>
          </w:p>
        </w:tc>
        <w:tc>
          <w:tcPr>
            <w:tcW w:w="2835" w:type="dxa"/>
          </w:tcPr>
          <w:p>
            <w:pPr>
              <w:jc w:val="right"/>
            </w:pPr>
            <w:r>
              <w:t xml:space="preserve">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家具用具装具及动植物</w:t>
            </w:r>
            <w:r>
              <w:t>(</w:t>
            </w:r>
            <w:r>
              <w:rPr>
                <w:rFonts w:hint="eastAsia" w:ascii="宋体" w:hAnsi="宋体" w:eastAsia="宋体" w:cs="宋体"/>
              </w:rPr>
              <w:t>个、套等</w:t>
            </w:r>
            <w:r>
              <w:t>)</w:t>
            </w:r>
          </w:p>
        </w:tc>
        <w:tc>
          <w:tcPr>
            <w:tcW w:w="2835" w:type="dxa"/>
          </w:tcPr>
          <w:p>
            <w:pPr>
              <w:jc w:val="right"/>
            </w:pPr>
            <w:r>
              <w:t>81</w:t>
            </w:r>
          </w:p>
        </w:tc>
        <w:tc>
          <w:tcPr>
            <w:tcW w:w="2835" w:type="dxa"/>
          </w:tcPr>
          <w:p>
            <w:pPr>
              <w:jc w:val="right"/>
            </w:pPr>
            <w:r>
              <w:t xml:space="preserve">8.39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无形资产</w:t>
            </w:r>
            <w:r>
              <w:t>(</w:t>
            </w:r>
            <w:r>
              <w:rPr>
                <w:rFonts w:hint="eastAsia" w:ascii="宋体" w:hAnsi="宋体" w:eastAsia="宋体" w:cs="宋体"/>
              </w:rPr>
              <w:t>含土地、土地使用权</w:t>
            </w:r>
            <w:r>
              <w:t>)</w:t>
            </w:r>
          </w:p>
        </w:tc>
        <w:tc>
          <w:tcPr>
            <w:tcW w:w="2835" w:type="dxa"/>
          </w:tcPr>
          <w:p>
            <w:pPr>
              <w:jc w:val="right"/>
            </w:pPr>
            <w:r>
              <w:t>——</w:t>
            </w:r>
          </w:p>
        </w:tc>
        <w:tc>
          <w:tcPr>
            <w:tcW w:w="2835" w:type="dxa"/>
          </w:tcPr>
          <w:p>
            <w:pPr>
              <w:jc w:val="right"/>
            </w:pPr>
            <w:r>
              <w:t xml:space="preserve">0.48 </w:t>
            </w:r>
          </w:p>
        </w:tc>
      </w:tr>
    </w:tbl>
    <w:p>
      <w:pPr>
        <w:ind w:firstLine="640"/>
      </w:pPr>
    </w:p>
    <w:p>
      <w:pPr>
        <w:spacing w:before="10" w:beforeAutospacing="0" w:after="10" w:afterAutospacing="0"/>
        <w:ind w:firstLine="640"/>
        <w:outlineLvl w:val="2"/>
      </w:pPr>
      <w:bookmarkStart w:id="16" w:name="_Toc_3_3_0000000017"/>
      <w:bookmarkEnd w:id="16"/>
      <w:r>
        <w:rPr>
          <w:rFonts w:ascii="黑体" w:hAnsi="黑体" w:eastAsia="黑体" w:cs="黑体"/>
          <w:color w:val="000000"/>
          <w:sz w:val="32"/>
        </w:rPr>
        <w:t>八、名词解释</w:t>
      </w:r>
    </w:p>
    <w:p>
      <w:pPr>
        <w:spacing w:beforeAutospacing="0" w:afterAutospacing="0"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beforeAutospacing="0" w:afterAutospacing="0"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beforeAutospacing="0" w:afterAutospacing="0"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beforeAutospacing="0" w:afterAutospacing="0"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beforeAutospacing="0" w:afterAutospacing="0"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beforeAutospacing="0" w:afterAutospacing="0"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beforeAutospacing="0" w:afterAutospacing="0"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Autospacing="0" w:afterAutospacing="0"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Autospacing="0" w:afterAutospacing="0"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beforeAutospacing="0" w:afterAutospacing="0"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beforeAutospacing="0" w:after="10" w:afterAutospacing="0"/>
        <w:ind w:firstLine="640"/>
        <w:outlineLvl w:val="2"/>
      </w:pPr>
      <w:bookmarkStart w:id="17" w:name="_Toc_3_3_0000000018"/>
      <w:bookmarkEnd w:id="17"/>
      <w:r>
        <w:rPr>
          <w:rFonts w:ascii="黑体" w:hAnsi="黑体" w:eastAsia="黑体" w:cs="黑体"/>
          <w:color w:val="000000"/>
          <w:sz w:val="32"/>
        </w:rPr>
        <w:t>九、其他需要说明的事项</w:t>
      </w:r>
    </w:p>
    <w:p>
      <w:pPr>
        <w:spacing w:beforeAutospacing="0" w:afterAutospacing="0" w:line="500" w:lineRule="exact"/>
        <w:ind w:firstLine="560"/>
        <w:sectPr>
          <w:pgSz w:w="16840" w:h="11900" w:orient="landscape"/>
          <w:pgMar w:top="1361" w:right="1020" w:bottom="1134" w:left="1020" w:header="720" w:footer="720" w:gutter="0"/>
          <w:cols w:space="720" w:num="1"/>
          <w:docGrid w:linePitch="0" w:charSpace="0"/>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docGrid w:linePitch="0" w:charSpace="0"/>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bookmarkEnd w:id="18"/>
      <w:r>
        <w:rPr>
          <w:rFonts w:ascii="方正小标宋_GBK" w:hAnsi="方正小标宋_GBK" w:eastAsia="方正小标宋_GBK" w:cs="方正小标宋_GBK"/>
          <w:color w:val="000000"/>
          <w:sz w:val="44"/>
        </w:rPr>
        <w:t>一、中共秦皇岛市海港区委办公室本级收支预算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1244.25</w:t>
            </w:r>
          </w:p>
        </w:tc>
        <w:tc>
          <w:tcPr>
            <w:tcW w:w="4535" w:type="dxa"/>
            <w:vAlign w:val="center"/>
          </w:tcPr>
          <w:p>
            <w:pPr>
              <w:pStyle w:val="14"/>
            </w:pPr>
            <w:r>
              <w:t>一、一般公共服务支出</w:t>
            </w:r>
          </w:p>
        </w:tc>
        <w:tc>
          <w:tcPr>
            <w:tcW w:w="2126" w:type="dxa"/>
            <w:vAlign w:val="center"/>
          </w:tcPr>
          <w:p>
            <w:pPr>
              <w:pStyle w:val="13"/>
            </w:pPr>
            <w:r>
              <w:t>1008.60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1244.25</w:t>
            </w:r>
          </w:p>
        </w:tc>
        <w:tc>
          <w:tcPr>
            <w:tcW w:w="4535" w:type="dxa"/>
            <w:vAlign w:val="center"/>
          </w:tcPr>
          <w:p>
            <w:pPr>
              <w:pStyle w:val="16"/>
            </w:pPr>
            <w:r>
              <w:t>本年支出合计</w:t>
            </w:r>
          </w:p>
        </w:tc>
        <w:tc>
          <w:tcPr>
            <w:tcW w:w="2126" w:type="dxa"/>
            <w:vAlign w:val="center"/>
          </w:tcPr>
          <w:p>
            <w:pPr>
              <w:pStyle w:val="17"/>
            </w:pPr>
            <w:r>
              <w:t>1244.25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1244.25</w:t>
            </w:r>
          </w:p>
        </w:tc>
        <w:tc>
          <w:tcPr>
            <w:tcW w:w="4535" w:type="dxa"/>
            <w:vAlign w:val="center"/>
          </w:tcPr>
          <w:p>
            <w:pPr>
              <w:pStyle w:val="16"/>
            </w:pPr>
            <w:r>
              <w:t>支出总计</w:t>
            </w:r>
          </w:p>
        </w:tc>
        <w:tc>
          <w:tcPr>
            <w:tcW w:w="2126" w:type="dxa"/>
            <w:vAlign w:val="center"/>
          </w:tcPr>
          <w:p>
            <w:pPr>
              <w:pStyle w:val="17"/>
            </w:pPr>
            <w:r>
              <w:t>1244.25</w:t>
            </w: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2"/>
        <w:gridCol w:w="992"/>
        <w:gridCol w:w="3686"/>
        <w:gridCol w:w="992"/>
        <w:gridCol w:w="992"/>
        <w:gridCol w:w="1050"/>
        <w:gridCol w:w="992"/>
        <w:gridCol w:w="709"/>
        <w:gridCol w:w="708"/>
        <w:gridCol w:w="1134"/>
        <w:gridCol w:w="1276"/>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14" w:type="dxa"/>
            <w:gridSpan w:val="5"/>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751"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restart"/>
            <w:vAlign w:val="center"/>
          </w:tcPr>
          <w:p>
            <w:pPr>
              <w:pStyle w:val="12"/>
            </w:pPr>
            <w:r>
              <w:t>序号</w:t>
            </w:r>
          </w:p>
        </w:tc>
        <w:tc>
          <w:tcPr>
            <w:tcW w:w="4678" w:type="dxa"/>
            <w:gridSpan w:val="2"/>
            <w:vAlign w:val="center"/>
          </w:tcPr>
          <w:p>
            <w:pPr>
              <w:pStyle w:val="12"/>
            </w:pPr>
            <w:r>
              <w:t>功能分类科目</w:t>
            </w:r>
          </w:p>
        </w:tc>
        <w:tc>
          <w:tcPr>
            <w:tcW w:w="992" w:type="dxa"/>
            <w:vMerge w:val="restart"/>
            <w:vAlign w:val="center"/>
          </w:tcPr>
          <w:p>
            <w:pPr>
              <w:pStyle w:val="12"/>
            </w:pPr>
            <w:r>
              <w:t>合计</w:t>
            </w:r>
          </w:p>
        </w:tc>
        <w:tc>
          <w:tcPr>
            <w:tcW w:w="7570" w:type="dxa"/>
            <w:gridSpan w:val="8"/>
            <w:vAlign w:val="center"/>
          </w:tcPr>
          <w:p>
            <w:pPr>
              <w:pStyle w:val="12"/>
            </w:pPr>
            <w:r>
              <w:t>本年收入</w:t>
            </w:r>
          </w:p>
        </w:tc>
        <w:tc>
          <w:tcPr>
            <w:tcW w:w="79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Merge w:val="continue"/>
          </w:tcPr>
          <w:p/>
        </w:tc>
        <w:tc>
          <w:tcPr>
            <w:tcW w:w="992" w:type="dxa"/>
            <w:vAlign w:val="center"/>
          </w:tcPr>
          <w:p>
            <w:pPr>
              <w:pStyle w:val="12"/>
            </w:pPr>
            <w:r>
              <w:t>科目    编码</w:t>
            </w:r>
          </w:p>
        </w:tc>
        <w:tc>
          <w:tcPr>
            <w:tcW w:w="3686" w:type="dxa"/>
            <w:vAlign w:val="center"/>
          </w:tcPr>
          <w:p>
            <w:pPr>
              <w:pStyle w:val="12"/>
            </w:pPr>
            <w:r>
              <w:t>科目名称</w:t>
            </w:r>
          </w:p>
        </w:tc>
        <w:tc>
          <w:tcPr>
            <w:tcW w:w="992" w:type="dxa"/>
            <w:vMerge w:val="continue"/>
          </w:tcPr>
          <w:p/>
        </w:tc>
        <w:tc>
          <w:tcPr>
            <w:tcW w:w="992" w:type="dxa"/>
            <w:vAlign w:val="center"/>
          </w:tcPr>
          <w:p>
            <w:pPr>
              <w:pStyle w:val="12"/>
            </w:pPr>
            <w:r>
              <w:t>小计</w:t>
            </w:r>
          </w:p>
        </w:tc>
        <w:tc>
          <w:tcPr>
            <w:tcW w:w="1050" w:type="dxa"/>
            <w:vAlign w:val="center"/>
          </w:tcPr>
          <w:p>
            <w:pPr>
              <w:pStyle w:val="12"/>
            </w:pPr>
            <w:r>
              <w:t>财政拨款收入</w:t>
            </w:r>
          </w:p>
        </w:tc>
        <w:tc>
          <w:tcPr>
            <w:tcW w:w="992" w:type="dxa"/>
            <w:vAlign w:val="center"/>
          </w:tcPr>
          <w:p>
            <w:pPr>
              <w:pStyle w:val="12"/>
            </w:pPr>
            <w:r>
              <w:t>财政专户收入</w:t>
            </w:r>
          </w:p>
        </w:tc>
        <w:tc>
          <w:tcPr>
            <w:tcW w:w="709" w:type="dxa"/>
            <w:vAlign w:val="center"/>
          </w:tcPr>
          <w:p>
            <w:pPr>
              <w:pStyle w:val="12"/>
            </w:pPr>
            <w:r>
              <w:t>事业收入</w:t>
            </w:r>
          </w:p>
        </w:tc>
        <w:tc>
          <w:tcPr>
            <w:tcW w:w="708" w:type="dxa"/>
            <w:vAlign w:val="center"/>
          </w:tcPr>
          <w:p>
            <w:pPr>
              <w:pStyle w:val="12"/>
            </w:pPr>
            <w:r>
              <w:t>经营收入</w:t>
            </w:r>
          </w:p>
        </w:tc>
        <w:tc>
          <w:tcPr>
            <w:tcW w:w="1134" w:type="dxa"/>
            <w:vAlign w:val="center"/>
          </w:tcPr>
          <w:p>
            <w:pPr>
              <w:pStyle w:val="12"/>
            </w:pPr>
            <w:r>
              <w:t>上级补助收入</w:t>
            </w:r>
          </w:p>
        </w:tc>
        <w:tc>
          <w:tcPr>
            <w:tcW w:w="1276" w:type="dxa"/>
            <w:vAlign w:val="center"/>
          </w:tcPr>
          <w:p>
            <w:pPr>
              <w:pStyle w:val="12"/>
            </w:pPr>
            <w:r>
              <w:t>附属单位上缴收入</w:t>
            </w:r>
          </w:p>
        </w:tc>
        <w:tc>
          <w:tcPr>
            <w:tcW w:w="709" w:type="dxa"/>
            <w:vAlign w:val="center"/>
          </w:tcPr>
          <w:p>
            <w:pPr>
              <w:pStyle w:val="12"/>
            </w:pPr>
            <w:r>
              <w:t>其他收入</w:t>
            </w:r>
          </w:p>
        </w:tc>
        <w:tc>
          <w:tcPr>
            <w:tcW w:w="7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 w:type="dxa"/>
            <w:vAlign w:val="center"/>
          </w:tcPr>
          <w:p>
            <w:pPr>
              <w:pStyle w:val="12"/>
            </w:pPr>
            <w:r>
              <w:t>栏次</w:t>
            </w:r>
          </w:p>
        </w:tc>
        <w:tc>
          <w:tcPr>
            <w:tcW w:w="992" w:type="dxa"/>
            <w:vAlign w:val="center"/>
          </w:tcPr>
          <w:p>
            <w:pPr>
              <w:pStyle w:val="12"/>
            </w:pPr>
            <w:r>
              <w:t>1</w:t>
            </w:r>
          </w:p>
        </w:tc>
        <w:tc>
          <w:tcPr>
            <w:tcW w:w="3686" w:type="dxa"/>
            <w:vAlign w:val="center"/>
          </w:tcPr>
          <w:p>
            <w:pPr>
              <w:pStyle w:val="12"/>
            </w:pPr>
            <w:r>
              <w:t>2</w:t>
            </w:r>
          </w:p>
        </w:tc>
        <w:tc>
          <w:tcPr>
            <w:tcW w:w="992" w:type="dxa"/>
            <w:vAlign w:val="center"/>
          </w:tcPr>
          <w:p>
            <w:pPr>
              <w:pStyle w:val="12"/>
            </w:pPr>
            <w:r>
              <w:t>3</w:t>
            </w:r>
          </w:p>
        </w:tc>
        <w:tc>
          <w:tcPr>
            <w:tcW w:w="992" w:type="dxa"/>
            <w:vAlign w:val="center"/>
          </w:tcPr>
          <w:p>
            <w:pPr>
              <w:pStyle w:val="12"/>
            </w:pPr>
            <w:r>
              <w:t>4</w:t>
            </w:r>
          </w:p>
        </w:tc>
        <w:tc>
          <w:tcPr>
            <w:tcW w:w="1050" w:type="dxa"/>
            <w:vAlign w:val="center"/>
          </w:tcPr>
          <w:p>
            <w:pPr>
              <w:pStyle w:val="12"/>
            </w:pPr>
            <w:r>
              <w:t>5</w:t>
            </w:r>
          </w:p>
        </w:tc>
        <w:tc>
          <w:tcPr>
            <w:tcW w:w="992" w:type="dxa"/>
            <w:vAlign w:val="center"/>
          </w:tcPr>
          <w:p>
            <w:pPr>
              <w:pStyle w:val="12"/>
            </w:pPr>
            <w:r>
              <w:t>6</w:t>
            </w:r>
          </w:p>
        </w:tc>
        <w:tc>
          <w:tcPr>
            <w:tcW w:w="709" w:type="dxa"/>
            <w:vAlign w:val="center"/>
          </w:tcPr>
          <w:p>
            <w:pPr>
              <w:pStyle w:val="12"/>
            </w:pPr>
            <w:r>
              <w:t>7</w:t>
            </w:r>
          </w:p>
        </w:tc>
        <w:tc>
          <w:tcPr>
            <w:tcW w:w="708" w:type="dxa"/>
            <w:vAlign w:val="center"/>
          </w:tcPr>
          <w:p>
            <w:pPr>
              <w:pStyle w:val="12"/>
            </w:pPr>
            <w:r>
              <w:t>8</w:t>
            </w:r>
          </w:p>
        </w:tc>
        <w:tc>
          <w:tcPr>
            <w:tcW w:w="1134" w:type="dxa"/>
            <w:vAlign w:val="center"/>
          </w:tcPr>
          <w:p>
            <w:pPr>
              <w:pStyle w:val="12"/>
            </w:pPr>
            <w:r>
              <w:t>9</w:t>
            </w:r>
          </w:p>
        </w:tc>
        <w:tc>
          <w:tcPr>
            <w:tcW w:w="1276" w:type="dxa"/>
            <w:vAlign w:val="center"/>
          </w:tcPr>
          <w:p>
            <w:pPr>
              <w:pStyle w:val="12"/>
            </w:pPr>
            <w:r>
              <w:t>10</w:t>
            </w:r>
          </w:p>
        </w:tc>
        <w:tc>
          <w:tcPr>
            <w:tcW w:w="709" w:type="dxa"/>
            <w:vAlign w:val="center"/>
          </w:tcPr>
          <w:p>
            <w:pPr>
              <w:pStyle w:val="12"/>
            </w:pPr>
            <w:r>
              <w:t>11</w:t>
            </w:r>
          </w:p>
        </w:tc>
        <w:tc>
          <w:tcPr>
            <w:tcW w:w="79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w:t>
            </w:r>
          </w:p>
        </w:tc>
        <w:tc>
          <w:tcPr>
            <w:tcW w:w="992" w:type="dxa"/>
            <w:vAlign w:val="center"/>
          </w:tcPr>
          <w:p>
            <w:pPr>
              <w:pStyle w:val="18"/>
            </w:pPr>
          </w:p>
        </w:tc>
        <w:tc>
          <w:tcPr>
            <w:tcW w:w="3686" w:type="dxa"/>
            <w:vAlign w:val="center"/>
          </w:tcPr>
          <w:p>
            <w:pPr>
              <w:pStyle w:val="16"/>
            </w:pPr>
            <w:r>
              <w:t>合计</w:t>
            </w:r>
          </w:p>
        </w:tc>
        <w:tc>
          <w:tcPr>
            <w:tcW w:w="992" w:type="dxa"/>
            <w:vAlign w:val="center"/>
          </w:tcPr>
          <w:p>
            <w:pPr>
              <w:pStyle w:val="17"/>
            </w:pPr>
            <w:r>
              <w:t>1244.25</w:t>
            </w:r>
          </w:p>
        </w:tc>
        <w:tc>
          <w:tcPr>
            <w:tcW w:w="992" w:type="dxa"/>
            <w:vAlign w:val="center"/>
          </w:tcPr>
          <w:p>
            <w:pPr>
              <w:pStyle w:val="17"/>
            </w:pPr>
            <w:r>
              <w:t>1244.25</w:t>
            </w:r>
          </w:p>
        </w:tc>
        <w:tc>
          <w:tcPr>
            <w:tcW w:w="1050" w:type="dxa"/>
            <w:vAlign w:val="center"/>
          </w:tcPr>
          <w:p>
            <w:pPr>
              <w:pStyle w:val="17"/>
            </w:pPr>
            <w:r>
              <w:t>1244.25</w:t>
            </w:r>
          </w:p>
        </w:tc>
        <w:tc>
          <w:tcPr>
            <w:tcW w:w="992" w:type="dxa"/>
            <w:vAlign w:val="center"/>
          </w:tcPr>
          <w:p>
            <w:pPr>
              <w:pStyle w:val="17"/>
            </w:pPr>
          </w:p>
        </w:tc>
        <w:tc>
          <w:tcPr>
            <w:tcW w:w="709" w:type="dxa"/>
            <w:vAlign w:val="center"/>
          </w:tcPr>
          <w:p>
            <w:pPr>
              <w:pStyle w:val="17"/>
            </w:pPr>
          </w:p>
        </w:tc>
        <w:tc>
          <w:tcPr>
            <w:tcW w:w="708" w:type="dxa"/>
            <w:vAlign w:val="center"/>
          </w:tcPr>
          <w:p>
            <w:pPr>
              <w:pStyle w:val="17"/>
            </w:pPr>
          </w:p>
        </w:tc>
        <w:tc>
          <w:tcPr>
            <w:tcW w:w="1134" w:type="dxa"/>
            <w:vAlign w:val="center"/>
          </w:tcPr>
          <w:p>
            <w:pPr>
              <w:pStyle w:val="17"/>
            </w:pPr>
          </w:p>
        </w:tc>
        <w:tc>
          <w:tcPr>
            <w:tcW w:w="1276" w:type="dxa"/>
            <w:vAlign w:val="center"/>
          </w:tcPr>
          <w:p>
            <w:pPr>
              <w:pStyle w:val="17"/>
            </w:pPr>
          </w:p>
        </w:tc>
        <w:tc>
          <w:tcPr>
            <w:tcW w:w="709" w:type="dxa"/>
            <w:vAlign w:val="center"/>
          </w:tcPr>
          <w:p>
            <w:pPr>
              <w:pStyle w:val="17"/>
            </w:pPr>
          </w:p>
        </w:tc>
        <w:tc>
          <w:tcPr>
            <w:tcW w:w="79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2</w:t>
            </w:r>
          </w:p>
        </w:tc>
        <w:tc>
          <w:tcPr>
            <w:tcW w:w="992" w:type="dxa"/>
            <w:vAlign w:val="center"/>
          </w:tcPr>
          <w:p>
            <w:pPr>
              <w:pStyle w:val="14"/>
            </w:pPr>
            <w:r>
              <w:t>201</w:t>
            </w:r>
          </w:p>
        </w:tc>
        <w:tc>
          <w:tcPr>
            <w:tcW w:w="3686" w:type="dxa"/>
            <w:vAlign w:val="center"/>
          </w:tcPr>
          <w:p>
            <w:pPr>
              <w:pStyle w:val="14"/>
            </w:pPr>
            <w:r>
              <w:t>一般公共服务支出</w:t>
            </w:r>
          </w:p>
        </w:tc>
        <w:tc>
          <w:tcPr>
            <w:tcW w:w="992" w:type="dxa"/>
            <w:vAlign w:val="center"/>
          </w:tcPr>
          <w:p>
            <w:pPr>
              <w:pStyle w:val="13"/>
            </w:pPr>
            <w:r>
              <w:t>1008.60</w:t>
            </w:r>
          </w:p>
        </w:tc>
        <w:tc>
          <w:tcPr>
            <w:tcW w:w="992" w:type="dxa"/>
            <w:vAlign w:val="center"/>
          </w:tcPr>
          <w:p>
            <w:pPr>
              <w:pStyle w:val="13"/>
            </w:pPr>
            <w:r>
              <w:t>1008.60</w:t>
            </w:r>
          </w:p>
        </w:tc>
        <w:tc>
          <w:tcPr>
            <w:tcW w:w="1050" w:type="dxa"/>
            <w:vAlign w:val="center"/>
          </w:tcPr>
          <w:p>
            <w:pPr>
              <w:pStyle w:val="13"/>
            </w:pPr>
            <w:r>
              <w:t>1008.60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3</w:t>
            </w:r>
          </w:p>
        </w:tc>
        <w:tc>
          <w:tcPr>
            <w:tcW w:w="992" w:type="dxa"/>
            <w:vAlign w:val="center"/>
          </w:tcPr>
          <w:p>
            <w:pPr>
              <w:pStyle w:val="14"/>
            </w:pPr>
            <w:r>
              <w:t>20131</w:t>
            </w:r>
          </w:p>
        </w:tc>
        <w:tc>
          <w:tcPr>
            <w:tcW w:w="3686" w:type="dxa"/>
            <w:vAlign w:val="center"/>
          </w:tcPr>
          <w:p>
            <w:pPr>
              <w:pStyle w:val="14"/>
            </w:pPr>
            <w:r>
              <w:t>党委办公厅（室）及相关机构事务</w:t>
            </w:r>
          </w:p>
        </w:tc>
        <w:tc>
          <w:tcPr>
            <w:tcW w:w="992" w:type="dxa"/>
            <w:vAlign w:val="center"/>
          </w:tcPr>
          <w:p>
            <w:pPr>
              <w:pStyle w:val="13"/>
            </w:pPr>
            <w:r>
              <w:t>1008.60</w:t>
            </w:r>
          </w:p>
        </w:tc>
        <w:tc>
          <w:tcPr>
            <w:tcW w:w="992" w:type="dxa"/>
            <w:vAlign w:val="center"/>
          </w:tcPr>
          <w:p>
            <w:pPr>
              <w:pStyle w:val="13"/>
            </w:pPr>
            <w:r>
              <w:t>1008.60</w:t>
            </w:r>
          </w:p>
        </w:tc>
        <w:tc>
          <w:tcPr>
            <w:tcW w:w="1050" w:type="dxa"/>
            <w:vAlign w:val="center"/>
          </w:tcPr>
          <w:p>
            <w:pPr>
              <w:pStyle w:val="13"/>
            </w:pPr>
            <w:r>
              <w:t>1008.60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4</w:t>
            </w:r>
          </w:p>
        </w:tc>
        <w:tc>
          <w:tcPr>
            <w:tcW w:w="992" w:type="dxa"/>
            <w:vAlign w:val="center"/>
          </w:tcPr>
          <w:p>
            <w:pPr>
              <w:pStyle w:val="14"/>
            </w:pPr>
            <w:r>
              <w:t>2013101</w:t>
            </w:r>
          </w:p>
        </w:tc>
        <w:tc>
          <w:tcPr>
            <w:tcW w:w="3686" w:type="dxa"/>
            <w:vAlign w:val="center"/>
          </w:tcPr>
          <w:p>
            <w:pPr>
              <w:pStyle w:val="14"/>
            </w:pPr>
            <w:r>
              <w:t>行政运行</w:t>
            </w:r>
          </w:p>
        </w:tc>
        <w:tc>
          <w:tcPr>
            <w:tcW w:w="992" w:type="dxa"/>
            <w:vAlign w:val="center"/>
          </w:tcPr>
          <w:p>
            <w:pPr>
              <w:pStyle w:val="13"/>
            </w:pPr>
            <w:r>
              <w:t>633.60</w:t>
            </w:r>
          </w:p>
        </w:tc>
        <w:tc>
          <w:tcPr>
            <w:tcW w:w="992" w:type="dxa"/>
            <w:vAlign w:val="center"/>
          </w:tcPr>
          <w:p>
            <w:pPr>
              <w:pStyle w:val="13"/>
            </w:pPr>
            <w:r>
              <w:t>633.60</w:t>
            </w:r>
          </w:p>
        </w:tc>
        <w:tc>
          <w:tcPr>
            <w:tcW w:w="1050" w:type="dxa"/>
            <w:vAlign w:val="center"/>
          </w:tcPr>
          <w:p>
            <w:pPr>
              <w:pStyle w:val="13"/>
            </w:pPr>
            <w:r>
              <w:t>633.60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5</w:t>
            </w:r>
          </w:p>
        </w:tc>
        <w:tc>
          <w:tcPr>
            <w:tcW w:w="992" w:type="dxa"/>
            <w:vAlign w:val="center"/>
          </w:tcPr>
          <w:p>
            <w:pPr>
              <w:pStyle w:val="14"/>
            </w:pPr>
            <w:r>
              <w:t>2013102</w:t>
            </w:r>
          </w:p>
        </w:tc>
        <w:tc>
          <w:tcPr>
            <w:tcW w:w="3686" w:type="dxa"/>
            <w:vAlign w:val="center"/>
          </w:tcPr>
          <w:p>
            <w:pPr>
              <w:pStyle w:val="14"/>
            </w:pPr>
            <w:r>
              <w:t>一般行政管理事务</w:t>
            </w:r>
          </w:p>
        </w:tc>
        <w:tc>
          <w:tcPr>
            <w:tcW w:w="992" w:type="dxa"/>
            <w:vAlign w:val="center"/>
          </w:tcPr>
          <w:p>
            <w:pPr>
              <w:pStyle w:val="13"/>
            </w:pPr>
            <w:r>
              <w:t>375.00</w:t>
            </w:r>
          </w:p>
        </w:tc>
        <w:tc>
          <w:tcPr>
            <w:tcW w:w="992" w:type="dxa"/>
            <w:vAlign w:val="center"/>
          </w:tcPr>
          <w:p>
            <w:pPr>
              <w:pStyle w:val="13"/>
            </w:pPr>
            <w:r>
              <w:t>375.00</w:t>
            </w:r>
          </w:p>
        </w:tc>
        <w:tc>
          <w:tcPr>
            <w:tcW w:w="1050" w:type="dxa"/>
            <w:vAlign w:val="center"/>
          </w:tcPr>
          <w:p>
            <w:pPr>
              <w:pStyle w:val="13"/>
            </w:pPr>
            <w:r>
              <w:t>375.00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6</w:t>
            </w:r>
          </w:p>
        </w:tc>
        <w:tc>
          <w:tcPr>
            <w:tcW w:w="992" w:type="dxa"/>
            <w:vAlign w:val="center"/>
          </w:tcPr>
          <w:p>
            <w:pPr>
              <w:pStyle w:val="14"/>
            </w:pPr>
            <w:r>
              <w:t>208</w:t>
            </w:r>
          </w:p>
        </w:tc>
        <w:tc>
          <w:tcPr>
            <w:tcW w:w="3686" w:type="dxa"/>
            <w:vAlign w:val="center"/>
          </w:tcPr>
          <w:p>
            <w:pPr>
              <w:pStyle w:val="14"/>
            </w:pPr>
            <w:r>
              <w:t>社会保障和就业支出</w:t>
            </w:r>
          </w:p>
        </w:tc>
        <w:tc>
          <w:tcPr>
            <w:tcW w:w="992" w:type="dxa"/>
            <w:vAlign w:val="center"/>
          </w:tcPr>
          <w:p>
            <w:pPr>
              <w:pStyle w:val="13"/>
            </w:pPr>
            <w:r>
              <w:t>107.72</w:t>
            </w:r>
          </w:p>
        </w:tc>
        <w:tc>
          <w:tcPr>
            <w:tcW w:w="992" w:type="dxa"/>
            <w:vAlign w:val="center"/>
          </w:tcPr>
          <w:p>
            <w:pPr>
              <w:pStyle w:val="13"/>
            </w:pPr>
            <w:r>
              <w:t>107.72</w:t>
            </w:r>
          </w:p>
        </w:tc>
        <w:tc>
          <w:tcPr>
            <w:tcW w:w="1050" w:type="dxa"/>
            <w:vAlign w:val="center"/>
          </w:tcPr>
          <w:p>
            <w:pPr>
              <w:pStyle w:val="13"/>
            </w:pPr>
            <w:r>
              <w:t>107.72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7</w:t>
            </w:r>
          </w:p>
        </w:tc>
        <w:tc>
          <w:tcPr>
            <w:tcW w:w="992" w:type="dxa"/>
            <w:vAlign w:val="center"/>
          </w:tcPr>
          <w:p>
            <w:pPr>
              <w:pStyle w:val="14"/>
            </w:pPr>
            <w:r>
              <w:t>20805</w:t>
            </w:r>
          </w:p>
        </w:tc>
        <w:tc>
          <w:tcPr>
            <w:tcW w:w="3686" w:type="dxa"/>
            <w:vAlign w:val="center"/>
          </w:tcPr>
          <w:p>
            <w:pPr>
              <w:pStyle w:val="14"/>
            </w:pPr>
            <w:r>
              <w:t>行政事业单位养老支出</w:t>
            </w:r>
          </w:p>
        </w:tc>
        <w:tc>
          <w:tcPr>
            <w:tcW w:w="992" w:type="dxa"/>
            <w:vAlign w:val="center"/>
          </w:tcPr>
          <w:p>
            <w:pPr>
              <w:pStyle w:val="13"/>
            </w:pPr>
            <w:r>
              <w:t>106.72</w:t>
            </w:r>
          </w:p>
        </w:tc>
        <w:tc>
          <w:tcPr>
            <w:tcW w:w="992" w:type="dxa"/>
            <w:vAlign w:val="center"/>
          </w:tcPr>
          <w:p>
            <w:pPr>
              <w:pStyle w:val="13"/>
            </w:pPr>
            <w:r>
              <w:t>106.72</w:t>
            </w:r>
          </w:p>
        </w:tc>
        <w:tc>
          <w:tcPr>
            <w:tcW w:w="1050" w:type="dxa"/>
            <w:vAlign w:val="center"/>
          </w:tcPr>
          <w:p>
            <w:pPr>
              <w:pStyle w:val="13"/>
            </w:pPr>
            <w:r>
              <w:t>106.72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8</w:t>
            </w:r>
          </w:p>
        </w:tc>
        <w:tc>
          <w:tcPr>
            <w:tcW w:w="992" w:type="dxa"/>
            <w:vAlign w:val="center"/>
          </w:tcPr>
          <w:p>
            <w:pPr>
              <w:pStyle w:val="14"/>
            </w:pPr>
            <w:r>
              <w:t>2080501</w:t>
            </w:r>
          </w:p>
        </w:tc>
        <w:tc>
          <w:tcPr>
            <w:tcW w:w="3686" w:type="dxa"/>
            <w:vAlign w:val="center"/>
          </w:tcPr>
          <w:p>
            <w:pPr>
              <w:pStyle w:val="14"/>
            </w:pPr>
            <w:r>
              <w:t>行政单位离退休</w:t>
            </w:r>
          </w:p>
        </w:tc>
        <w:tc>
          <w:tcPr>
            <w:tcW w:w="992" w:type="dxa"/>
            <w:vAlign w:val="center"/>
          </w:tcPr>
          <w:p>
            <w:pPr>
              <w:pStyle w:val="13"/>
            </w:pPr>
            <w:r>
              <w:t>10.75</w:t>
            </w:r>
          </w:p>
        </w:tc>
        <w:tc>
          <w:tcPr>
            <w:tcW w:w="992" w:type="dxa"/>
            <w:vAlign w:val="center"/>
          </w:tcPr>
          <w:p>
            <w:pPr>
              <w:pStyle w:val="13"/>
            </w:pPr>
            <w:r>
              <w:t>10.75</w:t>
            </w:r>
          </w:p>
        </w:tc>
        <w:tc>
          <w:tcPr>
            <w:tcW w:w="1050" w:type="dxa"/>
            <w:vAlign w:val="center"/>
          </w:tcPr>
          <w:p>
            <w:pPr>
              <w:pStyle w:val="13"/>
            </w:pPr>
            <w:r>
              <w:t>10.75</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9</w:t>
            </w:r>
          </w:p>
        </w:tc>
        <w:tc>
          <w:tcPr>
            <w:tcW w:w="992" w:type="dxa"/>
            <w:vAlign w:val="center"/>
          </w:tcPr>
          <w:p>
            <w:pPr>
              <w:pStyle w:val="14"/>
            </w:pPr>
            <w:r>
              <w:t>2080505</w:t>
            </w:r>
          </w:p>
        </w:tc>
        <w:tc>
          <w:tcPr>
            <w:tcW w:w="3686" w:type="dxa"/>
            <w:vAlign w:val="center"/>
          </w:tcPr>
          <w:p>
            <w:pPr>
              <w:pStyle w:val="14"/>
            </w:pPr>
            <w:r>
              <w:t>机关事业单位基本养老保险缴费支出</w:t>
            </w:r>
          </w:p>
        </w:tc>
        <w:tc>
          <w:tcPr>
            <w:tcW w:w="992" w:type="dxa"/>
            <w:vAlign w:val="center"/>
          </w:tcPr>
          <w:p>
            <w:pPr>
              <w:pStyle w:val="13"/>
            </w:pPr>
            <w:r>
              <w:t>95.97</w:t>
            </w:r>
          </w:p>
        </w:tc>
        <w:tc>
          <w:tcPr>
            <w:tcW w:w="992" w:type="dxa"/>
            <w:vAlign w:val="center"/>
          </w:tcPr>
          <w:p>
            <w:pPr>
              <w:pStyle w:val="13"/>
            </w:pPr>
            <w:r>
              <w:t>95.97</w:t>
            </w:r>
          </w:p>
        </w:tc>
        <w:tc>
          <w:tcPr>
            <w:tcW w:w="1050" w:type="dxa"/>
            <w:vAlign w:val="center"/>
          </w:tcPr>
          <w:p>
            <w:pPr>
              <w:pStyle w:val="13"/>
            </w:pPr>
            <w:r>
              <w:t>95.97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10</w:t>
            </w:r>
          </w:p>
        </w:tc>
        <w:tc>
          <w:tcPr>
            <w:tcW w:w="992" w:type="dxa"/>
            <w:vAlign w:val="center"/>
          </w:tcPr>
          <w:p>
            <w:pPr>
              <w:pStyle w:val="14"/>
            </w:pPr>
            <w:r>
              <w:t>20808</w:t>
            </w:r>
          </w:p>
        </w:tc>
        <w:tc>
          <w:tcPr>
            <w:tcW w:w="3686" w:type="dxa"/>
            <w:vAlign w:val="center"/>
          </w:tcPr>
          <w:p>
            <w:pPr>
              <w:pStyle w:val="14"/>
            </w:pPr>
            <w:r>
              <w:t>抚恤</w:t>
            </w:r>
          </w:p>
        </w:tc>
        <w:tc>
          <w:tcPr>
            <w:tcW w:w="992" w:type="dxa"/>
            <w:vAlign w:val="center"/>
          </w:tcPr>
          <w:p>
            <w:pPr>
              <w:pStyle w:val="13"/>
            </w:pPr>
            <w:r>
              <w:t>1.00</w:t>
            </w:r>
          </w:p>
        </w:tc>
        <w:tc>
          <w:tcPr>
            <w:tcW w:w="992" w:type="dxa"/>
            <w:vAlign w:val="center"/>
          </w:tcPr>
          <w:p>
            <w:pPr>
              <w:pStyle w:val="13"/>
            </w:pPr>
            <w:r>
              <w:t>1.00</w:t>
            </w:r>
          </w:p>
        </w:tc>
        <w:tc>
          <w:tcPr>
            <w:tcW w:w="1050" w:type="dxa"/>
            <w:vAlign w:val="center"/>
          </w:tcPr>
          <w:p>
            <w:pPr>
              <w:pStyle w:val="13"/>
            </w:pPr>
            <w:r>
              <w:t>1.00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11</w:t>
            </w:r>
          </w:p>
        </w:tc>
        <w:tc>
          <w:tcPr>
            <w:tcW w:w="992" w:type="dxa"/>
            <w:vAlign w:val="center"/>
          </w:tcPr>
          <w:p>
            <w:pPr>
              <w:pStyle w:val="14"/>
            </w:pPr>
            <w:r>
              <w:t>2080899</w:t>
            </w:r>
          </w:p>
        </w:tc>
        <w:tc>
          <w:tcPr>
            <w:tcW w:w="3686" w:type="dxa"/>
            <w:vAlign w:val="center"/>
          </w:tcPr>
          <w:p>
            <w:pPr>
              <w:pStyle w:val="14"/>
            </w:pPr>
            <w:r>
              <w:t>其他优抚支出</w:t>
            </w:r>
          </w:p>
        </w:tc>
        <w:tc>
          <w:tcPr>
            <w:tcW w:w="992" w:type="dxa"/>
            <w:vAlign w:val="center"/>
          </w:tcPr>
          <w:p>
            <w:pPr>
              <w:pStyle w:val="13"/>
            </w:pPr>
            <w:r>
              <w:t>1.00</w:t>
            </w:r>
          </w:p>
        </w:tc>
        <w:tc>
          <w:tcPr>
            <w:tcW w:w="992" w:type="dxa"/>
            <w:vAlign w:val="center"/>
          </w:tcPr>
          <w:p>
            <w:pPr>
              <w:pStyle w:val="13"/>
            </w:pPr>
            <w:r>
              <w:t>1.00</w:t>
            </w:r>
          </w:p>
        </w:tc>
        <w:tc>
          <w:tcPr>
            <w:tcW w:w="1050" w:type="dxa"/>
            <w:vAlign w:val="center"/>
          </w:tcPr>
          <w:p>
            <w:pPr>
              <w:pStyle w:val="13"/>
            </w:pPr>
            <w:r>
              <w:t>1.00</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12</w:t>
            </w:r>
          </w:p>
        </w:tc>
        <w:tc>
          <w:tcPr>
            <w:tcW w:w="992" w:type="dxa"/>
            <w:vAlign w:val="center"/>
          </w:tcPr>
          <w:p>
            <w:pPr>
              <w:pStyle w:val="14"/>
            </w:pPr>
            <w:r>
              <w:t>210</w:t>
            </w:r>
          </w:p>
        </w:tc>
        <w:tc>
          <w:tcPr>
            <w:tcW w:w="3686" w:type="dxa"/>
            <w:vAlign w:val="center"/>
          </w:tcPr>
          <w:p>
            <w:pPr>
              <w:pStyle w:val="14"/>
            </w:pPr>
            <w:r>
              <w:t>卫生健康支出</w:t>
            </w:r>
          </w:p>
        </w:tc>
        <w:tc>
          <w:tcPr>
            <w:tcW w:w="992" w:type="dxa"/>
            <w:vAlign w:val="center"/>
          </w:tcPr>
          <w:p>
            <w:pPr>
              <w:pStyle w:val="13"/>
            </w:pPr>
            <w:r>
              <w:t>79.56</w:t>
            </w:r>
          </w:p>
        </w:tc>
        <w:tc>
          <w:tcPr>
            <w:tcW w:w="992" w:type="dxa"/>
            <w:vAlign w:val="center"/>
          </w:tcPr>
          <w:p>
            <w:pPr>
              <w:pStyle w:val="13"/>
            </w:pPr>
            <w:r>
              <w:t>79.56</w:t>
            </w:r>
          </w:p>
        </w:tc>
        <w:tc>
          <w:tcPr>
            <w:tcW w:w="1050" w:type="dxa"/>
            <w:vAlign w:val="center"/>
          </w:tcPr>
          <w:p>
            <w:pPr>
              <w:pStyle w:val="13"/>
            </w:pPr>
            <w:r>
              <w:t>79.56</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13</w:t>
            </w:r>
          </w:p>
        </w:tc>
        <w:tc>
          <w:tcPr>
            <w:tcW w:w="992" w:type="dxa"/>
            <w:vAlign w:val="center"/>
          </w:tcPr>
          <w:p>
            <w:pPr>
              <w:pStyle w:val="14"/>
            </w:pPr>
            <w:r>
              <w:t>21011</w:t>
            </w:r>
          </w:p>
        </w:tc>
        <w:tc>
          <w:tcPr>
            <w:tcW w:w="3686" w:type="dxa"/>
            <w:vAlign w:val="center"/>
          </w:tcPr>
          <w:p>
            <w:pPr>
              <w:pStyle w:val="14"/>
            </w:pPr>
            <w:r>
              <w:t>行政事业单位医疗</w:t>
            </w:r>
          </w:p>
        </w:tc>
        <w:tc>
          <w:tcPr>
            <w:tcW w:w="992" w:type="dxa"/>
            <w:vAlign w:val="center"/>
          </w:tcPr>
          <w:p>
            <w:pPr>
              <w:pStyle w:val="13"/>
            </w:pPr>
            <w:r>
              <w:t>79.56</w:t>
            </w:r>
          </w:p>
        </w:tc>
        <w:tc>
          <w:tcPr>
            <w:tcW w:w="992" w:type="dxa"/>
            <w:vAlign w:val="center"/>
          </w:tcPr>
          <w:p>
            <w:pPr>
              <w:pStyle w:val="13"/>
            </w:pPr>
            <w:r>
              <w:t>79.56</w:t>
            </w:r>
          </w:p>
        </w:tc>
        <w:tc>
          <w:tcPr>
            <w:tcW w:w="1050" w:type="dxa"/>
            <w:vAlign w:val="center"/>
          </w:tcPr>
          <w:p>
            <w:pPr>
              <w:pStyle w:val="13"/>
            </w:pPr>
            <w:r>
              <w:t>79.56</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14</w:t>
            </w:r>
          </w:p>
        </w:tc>
        <w:tc>
          <w:tcPr>
            <w:tcW w:w="992" w:type="dxa"/>
            <w:vAlign w:val="center"/>
          </w:tcPr>
          <w:p>
            <w:pPr>
              <w:pStyle w:val="14"/>
            </w:pPr>
            <w:r>
              <w:t>2101101</w:t>
            </w:r>
          </w:p>
        </w:tc>
        <w:tc>
          <w:tcPr>
            <w:tcW w:w="3686" w:type="dxa"/>
            <w:vAlign w:val="center"/>
          </w:tcPr>
          <w:p>
            <w:pPr>
              <w:pStyle w:val="14"/>
            </w:pPr>
            <w:r>
              <w:t>行政单位医疗</w:t>
            </w:r>
          </w:p>
        </w:tc>
        <w:tc>
          <w:tcPr>
            <w:tcW w:w="992" w:type="dxa"/>
            <w:vAlign w:val="center"/>
          </w:tcPr>
          <w:p>
            <w:pPr>
              <w:pStyle w:val="13"/>
            </w:pPr>
            <w:r>
              <w:t>37.82</w:t>
            </w:r>
          </w:p>
        </w:tc>
        <w:tc>
          <w:tcPr>
            <w:tcW w:w="992" w:type="dxa"/>
            <w:vAlign w:val="center"/>
          </w:tcPr>
          <w:p>
            <w:pPr>
              <w:pStyle w:val="13"/>
            </w:pPr>
            <w:r>
              <w:t>37.82</w:t>
            </w:r>
          </w:p>
        </w:tc>
        <w:tc>
          <w:tcPr>
            <w:tcW w:w="1050" w:type="dxa"/>
            <w:vAlign w:val="center"/>
          </w:tcPr>
          <w:p>
            <w:pPr>
              <w:pStyle w:val="13"/>
            </w:pPr>
            <w:r>
              <w:t>37.82</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15</w:t>
            </w:r>
          </w:p>
        </w:tc>
        <w:tc>
          <w:tcPr>
            <w:tcW w:w="992" w:type="dxa"/>
            <w:vAlign w:val="center"/>
          </w:tcPr>
          <w:p>
            <w:pPr>
              <w:pStyle w:val="14"/>
            </w:pPr>
            <w:r>
              <w:t>2101103</w:t>
            </w:r>
          </w:p>
        </w:tc>
        <w:tc>
          <w:tcPr>
            <w:tcW w:w="3686" w:type="dxa"/>
            <w:vAlign w:val="center"/>
          </w:tcPr>
          <w:p>
            <w:pPr>
              <w:pStyle w:val="14"/>
            </w:pPr>
            <w:r>
              <w:t>公务员医疗补助</w:t>
            </w:r>
          </w:p>
        </w:tc>
        <w:tc>
          <w:tcPr>
            <w:tcW w:w="992" w:type="dxa"/>
            <w:vAlign w:val="center"/>
          </w:tcPr>
          <w:p>
            <w:pPr>
              <w:pStyle w:val="13"/>
            </w:pPr>
            <w:r>
              <w:t>41.74</w:t>
            </w:r>
          </w:p>
        </w:tc>
        <w:tc>
          <w:tcPr>
            <w:tcW w:w="992" w:type="dxa"/>
            <w:vAlign w:val="center"/>
          </w:tcPr>
          <w:p>
            <w:pPr>
              <w:pStyle w:val="13"/>
            </w:pPr>
            <w:r>
              <w:t>41.74</w:t>
            </w:r>
          </w:p>
        </w:tc>
        <w:tc>
          <w:tcPr>
            <w:tcW w:w="1050" w:type="dxa"/>
            <w:vAlign w:val="center"/>
          </w:tcPr>
          <w:p>
            <w:pPr>
              <w:pStyle w:val="13"/>
            </w:pPr>
            <w:r>
              <w:t>41.74</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16</w:t>
            </w:r>
          </w:p>
        </w:tc>
        <w:tc>
          <w:tcPr>
            <w:tcW w:w="992" w:type="dxa"/>
            <w:vAlign w:val="center"/>
          </w:tcPr>
          <w:p>
            <w:pPr>
              <w:pStyle w:val="14"/>
            </w:pPr>
            <w:r>
              <w:t>221</w:t>
            </w:r>
          </w:p>
        </w:tc>
        <w:tc>
          <w:tcPr>
            <w:tcW w:w="3686" w:type="dxa"/>
            <w:vAlign w:val="center"/>
          </w:tcPr>
          <w:p>
            <w:pPr>
              <w:pStyle w:val="14"/>
            </w:pPr>
            <w:r>
              <w:t>住房保障支出</w:t>
            </w:r>
          </w:p>
        </w:tc>
        <w:tc>
          <w:tcPr>
            <w:tcW w:w="992" w:type="dxa"/>
            <w:vAlign w:val="center"/>
          </w:tcPr>
          <w:p>
            <w:pPr>
              <w:pStyle w:val="13"/>
            </w:pPr>
            <w:r>
              <w:t>48.37</w:t>
            </w:r>
          </w:p>
        </w:tc>
        <w:tc>
          <w:tcPr>
            <w:tcW w:w="992" w:type="dxa"/>
            <w:vAlign w:val="center"/>
          </w:tcPr>
          <w:p>
            <w:pPr>
              <w:pStyle w:val="13"/>
            </w:pPr>
            <w:r>
              <w:t>48.37</w:t>
            </w:r>
          </w:p>
        </w:tc>
        <w:tc>
          <w:tcPr>
            <w:tcW w:w="1050" w:type="dxa"/>
            <w:vAlign w:val="center"/>
          </w:tcPr>
          <w:p>
            <w:pPr>
              <w:pStyle w:val="13"/>
            </w:pPr>
            <w:r>
              <w:t>48.37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17</w:t>
            </w:r>
          </w:p>
        </w:tc>
        <w:tc>
          <w:tcPr>
            <w:tcW w:w="992" w:type="dxa"/>
            <w:vAlign w:val="center"/>
          </w:tcPr>
          <w:p>
            <w:pPr>
              <w:pStyle w:val="14"/>
            </w:pPr>
            <w:r>
              <w:t>22102</w:t>
            </w:r>
          </w:p>
        </w:tc>
        <w:tc>
          <w:tcPr>
            <w:tcW w:w="3686" w:type="dxa"/>
            <w:vAlign w:val="center"/>
          </w:tcPr>
          <w:p>
            <w:pPr>
              <w:pStyle w:val="14"/>
            </w:pPr>
            <w:r>
              <w:t>住房改革支出</w:t>
            </w:r>
          </w:p>
        </w:tc>
        <w:tc>
          <w:tcPr>
            <w:tcW w:w="992" w:type="dxa"/>
            <w:vAlign w:val="center"/>
          </w:tcPr>
          <w:p>
            <w:pPr>
              <w:pStyle w:val="13"/>
            </w:pPr>
            <w:r>
              <w:t>48.37</w:t>
            </w:r>
          </w:p>
        </w:tc>
        <w:tc>
          <w:tcPr>
            <w:tcW w:w="992" w:type="dxa"/>
            <w:vAlign w:val="center"/>
          </w:tcPr>
          <w:p>
            <w:pPr>
              <w:pStyle w:val="13"/>
            </w:pPr>
            <w:r>
              <w:t>48.37</w:t>
            </w:r>
          </w:p>
        </w:tc>
        <w:tc>
          <w:tcPr>
            <w:tcW w:w="1050" w:type="dxa"/>
            <w:vAlign w:val="center"/>
          </w:tcPr>
          <w:p>
            <w:pPr>
              <w:pStyle w:val="13"/>
            </w:pPr>
            <w:r>
              <w:t>48.37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2" w:type="dxa"/>
            <w:vAlign w:val="center"/>
          </w:tcPr>
          <w:p>
            <w:pPr>
              <w:pStyle w:val="15"/>
            </w:pPr>
            <w:r>
              <w:t>18</w:t>
            </w:r>
          </w:p>
        </w:tc>
        <w:tc>
          <w:tcPr>
            <w:tcW w:w="992" w:type="dxa"/>
            <w:vAlign w:val="center"/>
          </w:tcPr>
          <w:p>
            <w:pPr>
              <w:pStyle w:val="14"/>
            </w:pPr>
            <w:r>
              <w:t>2210201</w:t>
            </w:r>
          </w:p>
        </w:tc>
        <w:tc>
          <w:tcPr>
            <w:tcW w:w="3686" w:type="dxa"/>
            <w:vAlign w:val="center"/>
          </w:tcPr>
          <w:p>
            <w:pPr>
              <w:pStyle w:val="14"/>
            </w:pPr>
            <w:r>
              <w:t>住房公积金</w:t>
            </w:r>
          </w:p>
        </w:tc>
        <w:tc>
          <w:tcPr>
            <w:tcW w:w="992" w:type="dxa"/>
            <w:vAlign w:val="center"/>
          </w:tcPr>
          <w:p>
            <w:pPr>
              <w:pStyle w:val="13"/>
            </w:pPr>
            <w:r>
              <w:t>48.37</w:t>
            </w:r>
          </w:p>
        </w:tc>
        <w:tc>
          <w:tcPr>
            <w:tcW w:w="992" w:type="dxa"/>
            <w:vAlign w:val="center"/>
          </w:tcPr>
          <w:p>
            <w:pPr>
              <w:pStyle w:val="13"/>
            </w:pPr>
            <w:r>
              <w:t>48.37</w:t>
            </w:r>
          </w:p>
        </w:tc>
        <w:tc>
          <w:tcPr>
            <w:tcW w:w="1050" w:type="dxa"/>
            <w:vAlign w:val="center"/>
          </w:tcPr>
          <w:p>
            <w:pPr>
              <w:pStyle w:val="13"/>
            </w:pPr>
            <w:r>
              <w:t>48.37</w:t>
            </w:r>
          </w:p>
        </w:tc>
        <w:tc>
          <w:tcPr>
            <w:tcW w:w="992" w:type="dxa"/>
            <w:vAlign w:val="center"/>
          </w:tcPr>
          <w:p>
            <w:pPr>
              <w:pStyle w:val="13"/>
            </w:pPr>
          </w:p>
        </w:tc>
        <w:tc>
          <w:tcPr>
            <w:tcW w:w="709" w:type="dxa"/>
            <w:vAlign w:val="center"/>
          </w:tcPr>
          <w:p>
            <w:pPr>
              <w:pStyle w:val="13"/>
            </w:pPr>
          </w:p>
        </w:tc>
        <w:tc>
          <w:tcPr>
            <w:tcW w:w="708" w:type="dxa"/>
            <w:vAlign w:val="center"/>
          </w:tcPr>
          <w:p>
            <w:pPr>
              <w:pStyle w:val="13"/>
            </w:pPr>
          </w:p>
        </w:tc>
        <w:tc>
          <w:tcPr>
            <w:tcW w:w="1134" w:type="dxa"/>
            <w:vAlign w:val="center"/>
          </w:tcPr>
          <w:p>
            <w:pPr>
              <w:pStyle w:val="13"/>
            </w:pPr>
          </w:p>
        </w:tc>
        <w:tc>
          <w:tcPr>
            <w:tcW w:w="1276" w:type="dxa"/>
            <w:vAlign w:val="center"/>
          </w:tcPr>
          <w:p>
            <w:pPr>
              <w:pStyle w:val="13"/>
            </w:pPr>
          </w:p>
        </w:tc>
        <w:tc>
          <w:tcPr>
            <w:tcW w:w="709" w:type="dxa"/>
            <w:vAlign w:val="center"/>
          </w:tcPr>
          <w:p>
            <w:pPr>
              <w:pStyle w:val="13"/>
            </w:pPr>
          </w:p>
        </w:tc>
        <w:tc>
          <w:tcPr>
            <w:tcW w:w="793"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1244.25</w:t>
            </w:r>
          </w:p>
        </w:tc>
        <w:tc>
          <w:tcPr>
            <w:tcW w:w="1361" w:type="dxa"/>
            <w:vAlign w:val="center"/>
          </w:tcPr>
          <w:p>
            <w:pPr>
              <w:pStyle w:val="17"/>
            </w:pPr>
            <w:r>
              <w:t>869.25</w:t>
            </w:r>
          </w:p>
        </w:tc>
        <w:tc>
          <w:tcPr>
            <w:tcW w:w="1361" w:type="dxa"/>
            <w:vAlign w:val="center"/>
          </w:tcPr>
          <w:p>
            <w:pPr>
              <w:pStyle w:val="17"/>
            </w:pPr>
            <w:r>
              <w:t>375.00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1008.60</w:t>
            </w:r>
          </w:p>
        </w:tc>
        <w:tc>
          <w:tcPr>
            <w:tcW w:w="1361" w:type="dxa"/>
            <w:vAlign w:val="center"/>
          </w:tcPr>
          <w:p>
            <w:pPr>
              <w:pStyle w:val="13"/>
            </w:pPr>
            <w:r>
              <w:t>633.60</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1008.60</w:t>
            </w:r>
          </w:p>
        </w:tc>
        <w:tc>
          <w:tcPr>
            <w:tcW w:w="1361" w:type="dxa"/>
            <w:vAlign w:val="center"/>
          </w:tcPr>
          <w:p>
            <w:pPr>
              <w:pStyle w:val="13"/>
            </w:pPr>
            <w:r>
              <w:t>633.60</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633.60</w:t>
            </w:r>
          </w:p>
        </w:tc>
        <w:tc>
          <w:tcPr>
            <w:tcW w:w="1361" w:type="dxa"/>
            <w:vAlign w:val="center"/>
          </w:tcPr>
          <w:p>
            <w:pPr>
              <w:pStyle w:val="13"/>
            </w:pPr>
            <w:r>
              <w:t>633.60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r>
              <w:t>375.00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107.72</w:t>
            </w:r>
          </w:p>
        </w:tc>
        <w:tc>
          <w:tcPr>
            <w:tcW w:w="1361" w:type="dxa"/>
            <w:vAlign w:val="center"/>
          </w:tcPr>
          <w:p>
            <w:pPr>
              <w:pStyle w:val="13"/>
            </w:pPr>
            <w:r>
              <w:t>107.72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106.72</w:t>
            </w:r>
          </w:p>
        </w:tc>
        <w:tc>
          <w:tcPr>
            <w:tcW w:w="1361" w:type="dxa"/>
            <w:vAlign w:val="center"/>
          </w:tcPr>
          <w:p>
            <w:pPr>
              <w:pStyle w:val="13"/>
            </w:pPr>
            <w:r>
              <w:t>106.72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10.75</w:t>
            </w:r>
          </w:p>
        </w:tc>
        <w:tc>
          <w:tcPr>
            <w:tcW w:w="1361" w:type="dxa"/>
            <w:vAlign w:val="center"/>
          </w:tcPr>
          <w:p>
            <w:pPr>
              <w:pStyle w:val="13"/>
            </w:pPr>
            <w:r>
              <w:t>10.75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95.97</w:t>
            </w:r>
          </w:p>
        </w:tc>
        <w:tc>
          <w:tcPr>
            <w:tcW w:w="1361" w:type="dxa"/>
            <w:vAlign w:val="center"/>
          </w:tcPr>
          <w:p>
            <w:pPr>
              <w:pStyle w:val="13"/>
            </w:pPr>
            <w:r>
              <w:t>95.97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1.00</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79.56</w:t>
            </w:r>
          </w:p>
        </w:tc>
        <w:tc>
          <w:tcPr>
            <w:tcW w:w="1361" w:type="dxa"/>
            <w:vAlign w:val="center"/>
          </w:tcPr>
          <w:p>
            <w:pPr>
              <w:pStyle w:val="13"/>
            </w:pPr>
            <w:r>
              <w:t>79.56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79.56</w:t>
            </w:r>
          </w:p>
        </w:tc>
        <w:tc>
          <w:tcPr>
            <w:tcW w:w="1361" w:type="dxa"/>
            <w:vAlign w:val="center"/>
          </w:tcPr>
          <w:p>
            <w:pPr>
              <w:pStyle w:val="13"/>
            </w:pPr>
            <w:r>
              <w:t>79.56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37.82</w:t>
            </w:r>
          </w:p>
        </w:tc>
        <w:tc>
          <w:tcPr>
            <w:tcW w:w="1361" w:type="dxa"/>
            <w:vAlign w:val="center"/>
          </w:tcPr>
          <w:p>
            <w:pPr>
              <w:pStyle w:val="13"/>
            </w:pPr>
            <w:r>
              <w:t>37.82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41.74</w:t>
            </w:r>
          </w:p>
        </w:tc>
        <w:tc>
          <w:tcPr>
            <w:tcW w:w="1361" w:type="dxa"/>
            <w:vAlign w:val="center"/>
          </w:tcPr>
          <w:p>
            <w:pPr>
              <w:pStyle w:val="13"/>
            </w:pPr>
            <w:r>
              <w:t>41.74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48.37</w:t>
            </w:r>
          </w:p>
        </w:tc>
        <w:tc>
          <w:tcPr>
            <w:tcW w:w="1361" w:type="dxa"/>
            <w:vAlign w:val="center"/>
          </w:tcPr>
          <w:p>
            <w:pPr>
              <w:pStyle w:val="13"/>
            </w:pPr>
            <w:r>
              <w:t>48.37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1244.25</w:t>
            </w:r>
          </w:p>
        </w:tc>
        <w:tc>
          <w:tcPr>
            <w:tcW w:w="3402" w:type="dxa"/>
            <w:vAlign w:val="center"/>
          </w:tcPr>
          <w:p>
            <w:pPr>
              <w:pStyle w:val="14"/>
            </w:pPr>
            <w:r>
              <w:t>一、一般公共服务支出</w:t>
            </w:r>
          </w:p>
        </w:tc>
        <w:tc>
          <w:tcPr>
            <w:tcW w:w="1474" w:type="dxa"/>
            <w:vAlign w:val="center"/>
          </w:tcPr>
          <w:p>
            <w:pPr>
              <w:pStyle w:val="13"/>
            </w:pPr>
            <w:r>
              <w:t>1008.60</w:t>
            </w:r>
          </w:p>
        </w:tc>
        <w:tc>
          <w:tcPr>
            <w:tcW w:w="1474" w:type="dxa"/>
            <w:vAlign w:val="center"/>
          </w:tcPr>
          <w:p>
            <w:pPr>
              <w:pStyle w:val="13"/>
            </w:pPr>
            <w:r>
              <w:t>1008.60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107.72</w:t>
            </w:r>
          </w:p>
        </w:tc>
        <w:tc>
          <w:tcPr>
            <w:tcW w:w="1474" w:type="dxa"/>
            <w:vAlign w:val="center"/>
          </w:tcPr>
          <w:p>
            <w:pPr>
              <w:pStyle w:val="13"/>
            </w:pPr>
            <w:r>
              <w:t>107.72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79.56</w:t>
            </w:r>
          </w:p>
        </w:tc>
        <w:tc>
          <w:tcPr>
            <w:tcW w:w="1474" w:type="dxa"/>
            <w:vAlign w:val="center"/>
          </w:tcPr>
          <w:p>
            <w:pPr>
              <w:pStyle w:val="13"/>
            </w:pPr>
            <w:r>
              <w:t>79.56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48.37</w:t>
            </w:r>
          </w:p>
        </w:tc>
        <w:tc>
          <w:tcPr>
            <w:tcW w:w="1474" w:type="dxa"/>
            <w:vAlign w:val="center"/>
          </w:tcPr>
          <w:p>
            <w:pPr>
              <w:pStyle w:val="13"/>
            </w:pPr>
            <w:r>
              <w:t>48.37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1244.25</w:t>
            </w:r>
          </w:p>
        </w:tc>
        <w:tc>
          <w:tcPr>
            <w:tcW w:w="3402" w:type="dxa"/>
            <w:vAlign w:val="center"/>
          </w:tcPr>
          <w:p>
            <w:pPr>
              <w:pStyle w:val="16"/>
            </w:pPr>
            <w:r>
              <w:t>本年支出合计</w:t>
            </w:r>
          </w:p>
        </w:tc>
        <w:tc>
          <w:tcPr>
            <w:tcW w:w="1474" w:type="dxa"/>
            <w:vAlign w:val="center"/>
          </w:tcPr>
          <w:p>
            <w:pPr>
              <w:pStyle w:val="17"/>
            </w:pPr>
            <w:r>
              <w:t>1244.25</w:t>
            </w:r>
          </w:p>
        </w:tc>
        <w:tc>
          <w:tcPr>
            <w:tcW w:w="1474" w:type="dxa"/>
            <w:vAlign w:val="center"/>
          </w:tcPr>
          <w:p>
            <w:pPr>
              <w:pStyle w:val="17"/>
            </w:pPr>
            <w:r>
              <w:t>1244.25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1244.25</w:t>
            </w:r>
          </w:p>
        </w:tc>
        <w:tc>
          <w:tcPr>
            <w:tcW w:w="3402" w:type="dxa"/>
            <w:vAlign w:val="center"/>
          </w:tcPr>
          <w:p>
            <w:pPr>
              <w:pStyle w:val="16"/>
            </w:pPr>
            <w:r>
              <w:t>支出总计</w:t>
            </w:r>
          </w:p>
        </w:tc>
        <w:tc>
          <w:tcPr>
            <w:tcW w:w="1474" w:type="dxa"/>
            <w:vAlign w:val="center"/>
          </w:tcPr>
          <w:p>
            <w:pPr>
              <w:pStyle w:val="17"/>
            </w:pPr>
            <w:r>
              <w:t>1244.25</w:t>
            </w:r>
          </w:p>
        </w:tc>
        <w:tc>
          <w:tcPr>
            <w:tcW w:w="1474" w:type="dxa"/>
            <w:vAlign w:val="center"/>
          </w:tcPr>
          <w:p>
            <w:pPr>
              <w:pStyle w:val="17"/>
            </w:pPr>
            <w:r>
              <w:t>1244.25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1244.25</w:t>
            </w:r>
          </w:p>
        </w:tc>
        <w:tc>
          <w:tcPr>
            <w:tcW w:w="2551" w:type="dxa"/>
            <w:vAlign w:val="center"/>
          </w:tcPr>
          <w:p>
            <w:pPr>
              <w:pStyle w:val="17"/>
            </w:pPr>
            <w:r>
              <w:t>869.25</w:t>
            </w:r>
          </w:p>
        </w:tc>
        <w:tc>
          <w:tcPr>
            <w:tcW w:w="2551" w:type="dxa"/>
            <w:vAlign w:val="center"/>
          </w:tcPr>
          <w:p>
            <w:pPr>
              <w:pStyle w:val="17"/>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1008.60</w:t>
            </w:r>
          </w:p>
        </w:tc>
        <w:tc>
          <w:tcPr>
            <w:tcW w:w="2551" w:type="dxa"/>
            <w:vAlign w:val="center"/>
          </w:tcPr>
          <w:p>
            <w:pPr>
              <w:pStyle w:val="13"/>
            </w:pPr>
            <w:r>
              <w:t>633.60</w:t>
            </w: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1008.60</w:t>
            </w:r>
          </w:p>
        </w:tc>
        <w:tc>
          <w:tcPr>
            <w:tcW w:w="2551" w:type="dxa"/>
            <w:vAlign w:val="center"/>
          </w:tcPr>
          <w:p>
            <w:pPr>
              <w:pStyle w:val="13"/>
            </w:pPr>
            <w:r>
              <w:t>633.60</w:t>
            </w: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633.60</w:t>
            </w:r>
          </w:p>
        </w:tc>
        <w:tc>
          <w:tcPr>
            <w:tcW w:w="2551" w:type="dxa"/>
            <w:vAlign w:val="center"/>
          </w:tcPr>
          <w:p>
            <w:pPr>
              <w:pStyle w:val="13"/>
            </w:pPr>
            <w:r>
              <w:t>633.60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375.00</w:t>
            </w:r>
          </w:p>
        </w:tc>
        <w:tc>
          <w:tcPr>
            <w:tcW w:w="2551" w:type="dxa"/>
            <w:vAlign w:val="center"/>
          </w:tcPr>
          <w:p>
            <w:pPr>
              <w:pStyle w:val="13"/>
            </w:pPr>
          </w:p>
        </w:tc>
        <w:tc>
          <w:tcPr>
            <w:tcW w:w="2551" w:type="dxa"/>
            <w:vAlign w:val="center"/>
          </w:tcPr>
          <w:p>
            <w:pPr>
              <w:pStyle w:val="13"/>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107.72</w:t>
            </w:r>
          </w:p>
        </w:tc>
        <w:tc>
          <w:tcPr>
            <w:tcW w:w="2551" w:type="dxa"/>
            <w:vAlign w:val="center"/>
          </w:tcPr>
          <w:p>
            <w:pPr>
              <w:pStyle w:val="13"/>
            </w:pPr>
            <w:r>
              <w:t>107.72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106.72</w:t>
            </w:r>
          </w:p>
        </w:tc>
        <w:tc>
          <w:tcPr>
            <w:tcW w:w="2551" w:type="dxa"/>
            <w:vAlign w:val="center"/>
          </w:tcPr>
          <w:p>
            <w:pPr>
              <w:pStyle w:val="13"/>
            </w:pPr>
            <w:r>
              <w:t>106.72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10.75</w:t>
            </w:r>
          </w:p>
        </w:tc>
        <w:tc>
          <w:tcPr>
            <w:tcW w:w="2551" w:type="dxa"/>
            <w:vAlign w:val="center"/>
          </w:tcPr>
          <w:p>
            <w:pPr>
              <w:pStyle w:val="13"/>
            </w:pPr>
            <w:r>
              <w:t>10.75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95.97</w:t>
            </w:r>
          </w:p>
        </w:tc>
        <w:tc>
          <w:tcPr>
            <w:tcW w:w="2551" w:type="dxa"/>
            <w:vAlign w:val="center"/>
          </w:tcPr>
          <w:p>
            <w:pPr>
              <w:pStyle w:val="13"/>
            </w:pPr>
            <w:r>
              <w:t>95.97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79.56</w:t>
            </w:r>
          </w:p>
        </w:tc>
        <w:tc>
          <w:tcPr>
            <w:tcW w:w="2551" w:type="dxa"/>
            <w:vAlign w:val="center"/>
          </w:tcPr>
          <w:p>
            <w:pPr>
              <w:pStyle w:val="13"/>
            </w:pPr>
            <w:r>
              <w:t>79.56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869.25</w:t>
            </w:r>
          </w:p>
        </w:tc>
        <w:tc>
          <w:tcPr>
            <w:tcW w:w="2551" w:type="dxa"/>
            <w:vAlign w:val="center"/>
          </w:tcPr>
          <w:p>
            <w:pPr>
              <w:pStyle w:val="17"/>
            </w:pPr>
            <w:r>
              <w:t>790.19</w:t>
            </w:r>
          </w:p>
        </w:tc>
        <w:tc>
          <w:tcPr>
            <w:tcW w:w="2551" w:type="dxa"/>
            <w:vAlign w:val="center"/>
          </w:tcPr>
          <w:p>
            <w:pPr>
              <w:pStyle w:val="17"/>
            </w:pPr>
            <w:r>
              <w:t>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777.40</w:t>
            </w:r>
          </w:p>
        </w:tc>
        <w:tc>
          <w:tcPr>
            <w:tcW w:w="2551" w:type="dxa"/>
            <w:vAlign w:val="center"/>
          </w:tcPr>
          <w:p>
            <w:pPr>
              <w:pStyle w:val="13"/>
            </w:pPr>
            <w:r>
              <w:t>777.40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230.08</w:t>
            </w:r>
          </w:p>
        </w:tc>
        <w:tc>
          <w:tcPr>
            <w:tcW w:w="2551" w:type="dxa"/>
            <w:vAlign w:val="center"/>
          </w:tcPr>
          <w:p>
            <w:pPr>
              <w:pStyle w:val="13"/>
            </w:pPr>
            <w:r>
              <w:t>230.08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144.06</w:t>
            </w:r>
          </w:p>
        </w:tc>
        <w:tc>
          <w:tcPr>
            <w:tcW w:w="2551" w:type="dxa"/>
            <w:vAlign w:val="center"/>
          </w:tcPr>
          <w:p>
            <w:pPr>
              <w:pStyle w:val="13"/>
            </w:pPr>
            <w:r>
              <w:t>144.06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66.53</w:t>
            </w:r>
          </w:p>
        </w:tc>
        <w:tc>
          <w:tcPr>
            <w:tcW w:w="2551" w:type="dxa"/>
            <w:vAlign w:val="center"/>
          </w:tcPr>
          <w:p>
            <w:pPr>
              <w:pStyle w:val="13"/>
            </w:pPr>
            <w:r>
              <w:t>66.53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106.35</w:t>
            </w:r>
          </w:p>
        </w:tc>
        <w:tc>
          <w:tcPr>
            <w:tcW w:w="2551" w:type="dxa"/>
            <w:vAlign w:val="center"/>
          </w:tcPr>
          <w:p>
            <w:pPr>
              <w:pStyle w:val="13"/>
            </w:pPr>
            <w:r>
              <w:t>106.35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95.97</w:t>
            </w:r>
          </w:p>
        </w:tc>
        <w:tc>
          <w:tcPr>
            <w:tcW w:w="2551" w:type="dxa"/>
            <w:vAlign w:val="center"/>
          </w:tcPr>
          <w:p>
            <w:pPr>
              <w:pStyle w:val="13"/>
            </w:pPr>
            <w:r>
              <w:t>95.97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37.82</w:t>
            </w:r>
          </w:p>
        </w:tc>
        <w:tc>
          <w:tcPr>
            <w:tcW w:w="2551" w:type="dxa"/>
            <w:vAlign w:val="center"/>
          </w:tcPr>
          <w:p>
            <w:pPr>
              <w:pStyle w:val="13"/>
            </w:pPr>
            <w:r>
              <w:t>37.82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41.74</w:t>
            </w:r>
          </w:p>
        </w:tc>
        <w:tc>
          <w:tcPr>
            <w:tcW w:w="2551" w:type="dxa"/>
            <w:vAlign w:val="center"/>
          </w:tcPr>
          <w:p>
            <w:pPr>
              <w:pStyle w:val="13"/>
            </w:pPr>
            <w:r>
              <w:t>41.74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6.48</w:t>
            </w:r>
          </w:p>
        </w:tc>
        <w:tc>
          <w:tcPr>
            <w:tcW w:w="2551" w:type="dxa"/>
            <w:vAlign w:val="center"/>
          </w:tcPr>
          <w:p>
            <w:pPr>
              <w:pStyle w:val="13"/>
            </w:pPr>
            <w:r>
              <w:t>6.48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48.37</w:t>
            </w:r>
          </w:p>
        </w:tc>
        <w:tc>
          <w:tcPr>
            <w:tcW w:w="2551" w:type="dxa"/>
            <w:vAlign w:val="center"/>
          </w:tcPr>
          <w:p>
            <w:pPr>
              <w:pStyle w:val="13"/>
            </w:pPr>
            <w:r>
              <w:t>48.37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79.06</w:t>
            </w:r>
          </w:p>
        </w:tc>
        <w:tc>
          <w:tcPr>
            <w:tcW w:w="2551" w:type="dxa"/>
            <w:vAlign w:val="center"/>
          </w:tcPr>
          <w:p>
            <w:pPr>
              <w:pStyle w:val="13"/>
            </w:pPr>
          </w:p>
        </w:tc>
        <w:tc>
          <w:tcPr>
            <w:tcW w:w="2551" w:type="dxa"/>
            <w:vAlign w:val="center"/>
          </w:tcPr>
          <w:p>
            <w:pPr>
              <w:pStyle w:val="13"/>
            </w:pPr>
            <w:r>
              <w:t>79.06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14.25</w:t>
            </w:r>
          </w:p>
        </w:tc>
        <w:tc>
          <w:tcPr>
            <w:tcW w:w="2551" w:type="dxa"/>
            <w:vAlign w:val="center"/>
          </w:tcPr>
          <w:p>
            <w:pPr>
              <w:pStyle w:val="13"/>
            </w:pPr>
          </w:p>
        </w:tc>
        <w:tc>
          <w:tcPr>
            <w:tcW w:w="2551" w:type="dxa"/>
            <w:vAlign w:val="center"/>
          </w:tcPr>
          <w:p>
            <w:pPr>
              <w:pStyle w:val="13"/>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14.69</w:t>
            </w:r>
          </w:p>
        </w:tc>
        <w:tc>
          <w:tcPr>
            <w:tcW w:w="2551" w:type="dxa"/>
            <w:vAlign w:val="center"/>
          </w:tcPr>
          <w:p>
            <w:pPr>
              <w:pStyle w:val="13"/>
            </w:pPr>
          </w:p>
        </w:tc>
        <w:tc>
          <w:tcPr>
            <w:tcW w:w="2551" w:type="dxa"/>
            <w:vAlign w:val="center"/>
          </w:tcPr>
          <w:p>
            <w:pPr>
              <w:pStyle w:val="13"/>
            </w:pPr>
            <w:r>
              <w:t>14.69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10.81</w:t>
            </w:r>
          </w:p>
        </w:tc>
        <w:tc>
          <w:tcPr>
            <w:tcW w:w="2551" w:type="dxa"/>
            <w:vAlign w:val="center"/>
          </w:tcPr>
          <w:p>
            <w:pPr>
              <w:pStyle w:val="13"/>
            </w:pPr>
          </w:p>
        </w:tc>
        <w:tc>
          <w:tcPr>
            <w:tcW w:w="2551" w:type="dxa"/>
            <w:vAlign w:val="center"/>
          </w:tcPr>
          <w:p>
            <w:pPr>
              <w:pStyle w:val="13"/>
            </w:pPr>
            <w:r>
              <w:t>10.81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6.15</w:t>
            </w:r>
          </w:p>
        </w:tc>
        <w:tc>
          <w:tcPr>
            <w:tcW w:w="2551" w:type="dxa"/>
            <w:vAlign w:val="center"/>
          </w:tcPr>
          <w:p>
            <w:pPr>
              <w:pStyle w:val="13"/>
            </w:pPr>
          </w:p>
        </w:tc>
        <w:tc>
          <w:tcPr>
            <w:tcW w:w="2551" w:type="dxa"/>
            <w:vAlign w:val="center"/>
          </w:tcPr>
          <w:p>
            <w:pPr>
              <w:pStyle w:val="13"/>
            </w:pPr>
            <w:r>
              <w:t>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13.52</w:t>
            </w:r>
          </w:p>
        </w:tc>
        <w:tc>
          <w:tcPr>
            <w:tcW w:w="2551" w:type="dxa"/>
            <w:vAlign w:val="center"/>
          </w:tcPr>
          <w:p>
            <w:pPr>
              <w:pStyle w:val="13"/>
            </w:pPr>
          </w:p>
        </w:tc>
        <w:tc>
          <w:tcPr>
            <w:tcW w:w="2551" w:type="dxa"/>
            <w:vAlign w:val="center"/>
          </w:tcPr>
          <w:p>
            <w:pPr>
              <w:pStyle w:val="13"/>
            </w:pPr>
            <w:r>
              <w:t>13.52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18.41</w:t>
            </w:r>
          </w:p>
        </w:tc>
        <w:tc>
          <w:tcPr>
            <w:tcW w:w="2551" w:type="dxa"/>
            <w:vAlign w:val="center"/>
          </w:tcPr>
          <w:p>
            <w:pPr>
              <w:pStyle w:val="13"/>
            </w:pPr>
          </w:p>
        </w:tc>
        <w:tc>
          <w:tcPr>
            <w:tcW w:w="2551" w:type="dxa"/>
            <w:vAlign w:val="center"/>
          </w:tcPr>
          <w:p>
            <w:pPr>
              <w:pStyle w:val="13"/>
            </w:pPr>
            <w:r>
              <w:t>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0.66</w:t>
            </w:r>
          </w:p>
        </w:tc>
        <w:tc>
          <w:tcPr>
            <w:tcW w:w="2551" w:type="dxa"/>
            <w:vAlign w:val="center"/>
          </w:tcPr>
          <w:p>
            <w:pPr>
              <w:pStyle w:val="13"/>
            </w:pPr>
          </w:p>
        </w:tc>
        <w:tc>
          <w:tcPr>
            <w:tcW w:w="2551"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12.79</w:t>
            </w:r>
          </w:p>
        </w:tc>
        <w:tc>
          <w:tcPr>
            <w:tcW w:w="2551" w:type="dxa"/>
            <w:vAlign w:val="center"/>
          </w:tcPr>
          <w:p>
            <w:pPr>
              <w:pStyle w:val="13"/>
            </w:pPr>
            <w:r>
              <w:t>12.79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10.59</w:t>
            </w:r>
          </w:p>
        </w:tc>
        <w:tc>
          <w:tcPr>
            <w:tcW w:w="2551" w:type="dxa"/>
            <w:vAlign w:val="center"/>
          </w:tcPr>
          <w:p>
            <w:pPr>
              <w:pStyle w:val="13"/>
            </w:pPr>
            <w:r>
              <w:t>10.59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w:t>
            </w:r>
          </w:p>
        </w:tc>
        <w:tc>
          <w:tcPr>
            <w:tcW w:w="2551" w:type="dxa"/>
            <w:vAlign w:val="center"/>
          </w:tcPr>
          <w:p>
            <w:pPr>
              <w:pStyle w:val="13"/>
            </w:pPr>
            <w:r>
              <w:t>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1.20</w:t>
            </w:r>
          </w:p>
        </w:tc>
        <w:tc>
          <w:tcPr>
            <w:tcW w:w="2551" w:type="dxa"/>
            <w:vAlign w:val="center"/>
          </w:tcPr>
          <w:p>
            <w:pPr>
              <w:pStyle w:val="13"/>
            </w:pPr>
            <w:r>
              <w:t>1.20</w:t>
            </w:r>
          </w:p>
        </w:tc>
        <w:tc>
          <w:tcPr>
            <w:tcW w:w="2551" w:type="dxa"/>
            <w:vAlign w:val="center"/>
          </w:tcPr>
          <w:p>
            <w:pPr>
              <w:pStyle w:val="13"/>
            </w:pPr>
          </w:p>
        </w:tc>
      </w:tr>
    </w:tbl>
    <w:p>
      <w:pPr>
        <w:sectPr>
          <w:pgSz w:w="16840" w:h="11900" w:orient="landscape"/>
          <w:pgMar w:top="1361" w:right="1020" w:bottom="1134" w:left="1020" w:header="720" w:footer="720" w:gutter="0"/>
          <w:cols w:space="720" w:num="1"/>
          <w:docGrid w:linePitch="0" w:charSpace="0"/>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docGrid w:linePitch="0" w:charSpace="0"/>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w:t>
            </w:r>
            <w:r>
              <w:rPr>
                <w:rFonts w:hint="eastAsia" w:ascii="宋体" w:hAnsi="宋体" w:eastAsia="宋体" w:cs="宋体"/>
                <w:color w:val="000000"/>
                <w:sz w:val="22"/>
                <w:szCs w:val="22"/>
              </w:rPr>
              <w:t>三公</w:t>
            </w:r>
            <w:r>
              <w:rPr>
                <w:rFonts w:ascii="Calibri" w:hAnsi="Calibri" w:cs="Calibri"/>
                <w:color w:val="000000"/>
                <w:sz w:val="22"/>
                <w:szCs w:val="22"/>
              </w:rPr>
              <w:t>”</w:t>
            </w:r>
            <w:r>
              <w:rPr>
                <w:rFonts w:hint="eastAsia" w:ascii="宋体" w:hAnsi="宋体" w:eastAsia="宋体" w:cs="宋体"/>
                <w:color w:val="000000"/>
                <w:sz w:val="22"/>
                <w:szCs w:val="22"/>
              </w:rPr>
              <w:t>经费小计</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14.090000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14.090000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1</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一、因公出国（境）费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其他因公出国（境）费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2</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二、公务用车购置及运维费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其中：公务用车购置费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tcPr>
          <w:p>
            <w:pPr>
              <w:rPr>
                <w:rFonts w:ascii="Calibri" w:hAnsi="Calibri" w:eastAsia="宋体" w:cs="Calibri"/>
                <w:color w:val="000000"/>
                <w:sz w:val="22"/>
                <w:szCs w:val="22"/>
              </w:rPr>
            </w:pPr>
            <w:r>
              <w:rPr>
                <w:rFonts w:ascii="Calibri" w:hAnsi="Calibri" w:cs="Calibri"/>
                <w:color w:val="000000"/>
                <w:sz w:val="22"/>
                <w:szCs w:val="22"/>
              </w:rPr>
              <w:t xml:space="preserve">          </w:t>
            </w:r>
            <w:r>
              <w:rPr>
                <w:rFonts w:hint="eastAsia" w:ascii="宋体" w:hAnsi="宋体" w:eastAsia="宋体" w:cs="宋体"/>
                <w:color w:val="000000"/>
                <w:sz w:val="22"/>
                <w:szCs w:val="22"/>
              </w:rPr>
              <w:t>公务用车运行维护费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13.520000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rPr>
                <w:rFonts w:hint="eastAsia" w:asciiTheme="minorEastAsia" w:hAnsiTheme="minorEastAsia" w:eastAsiaTheme="minorEastAsia"/>
                <w:lang w:eastAsia="zh-CN"/>
              </w:rPr>
              <w:t>3</w:t>
            </w:r>
          </w:p>
        </w:tc>
        <w:tc>
          <w:tcPr>
            <w:tcW w:w="3798" w:type="dxa"/>
          </w:tcPr>
          <w:p>
            <w:pPr>
              <w:rPr>
                <w:rFonts w:ascii="Calibri" w:hAnsi="Calibri" w:eastAsia="宋体" w:cs="Calibri"/>
                <w:color w:val="000000"/>
                <w:sz w:val="22"/>
                <w:szCs w:val="22"/>
              </w:rPr>
            </w:pPr>
            <w:r>
              <w:rPr>
                <w:rFonts w:hint="eastAsia" w:ascii="宋体" w:hAnsi="宋体" w:eastAsia="宋体" w:cs="宋体"/>
                <w:color w:val="000000"/>
                <w:sz w:val="22"/>
                <w:szCs w:val="22"/>
              </w:rPr>
              <w:t>三、公务接待费</w:t>
            </w:r>
          </w:p>
        </w:tc>
        <w:tc>
          <w:tcPr>
            <w:tcW w:w="2382" w:type="dxa"/>
          </w:tcPr>
          <w:p>
            <w:pPr>
              <w:jc w:val="right"/>
              <w:rPr>
                <w:rFonts w:ascii="Calibri" w:hAnsi="Calibri" w:eastAsia="宋体" w:cs="Calibri"/>
                <w:color w:val="000000"/>
                <w:sz w:val="22"/>
                <w:szCs w:val="22"/>
              </w:rPr>
            </w:pPr>
            <w:r>
              <w:rPr>
                <w:rFonts w:ascii="Calibri" w:hAnsi="Calibri" w:cs="Calibri"/>
                <w:color w:val="000000"/>
                <w:sz w:val="22"/>
                <w:szCs w:val="22"/>
              </w:rPr>
              <w:t>0.570000</w:t>
            </w:r>
          </w:p>
        </w:tc>
        <w:tc>
          <w:tcPr>
            <w:tcW w:w="2381" w:type="dxa"/>
          </w:tcPr>
          <w:p>
            <w:pPr>
              <w:jc w:val="right"/>
              <w:rPr>
                <w:rFonts w:ascii="Calibri" w:hAnsi="Calibri" w:eastAsia="宋体" w:cs="Calibri"/>
                <w:color w:val="000000"/>
                <w:sz w:val="22"/>
                <w:szCs w:val="22"/>
              </w:rPr>
            </w:pPr>
            <w:r>
              <w:rPr>
                <w:rFonts w:ascii="Calibri" w:hAnsi="Calibri" w:cs="Calibri"/>
                <w:color w:val="000000"/>
                <w:sz w:val="22"/>
                <w:szCs w:val="22"/>
              </w:rPr>
              <w:t>0.570000</w:t>
            </w:r>
          </w:p>
        </w:tc>
        <w:tc>
          <w:tcPr>
            <w:tcW w:w="2381" w:type="dxa"/>
            <w:vAlign w:val="center"/>
          </w:tcPr>
          <w:p>
            <w:pPr>
              <w:pStyle w:val="13"/>
            </w:pPr>
          </w:p>
        </w:tc>
        <w:tc>
          <w:tcPr>
            <w:tcW w:w="2381" w:type="dxa"/>
            <w:vAlign w:val="center"/>
          </w:tcPr>
          <w:p>
            <w:pPr>
              <w:pStyle w:val="13"/>
            </w:pPr>
          </w:p>
        </w:tc>
      </w:tr>
    </w:tbl>
    <w:p>
      <w:pPr>
        <w:jc w:val="center"/>
        <w:outlineLvl w:val="4"/>
        <w:rPr>
          <w:rFonts w:hint="eastAsia" w:ascii="方正小标宋_GBK" w:hAnsi="方正小标宋_GBK" w:cs="方正小标宋_GBK" w:eastAsiaTheme="minorEastAsia"/>
          <w:color w:val="000000"/>
          <w:sz w:val="44"/>
          <w:lang w:eastAsia="zh-CN"/>
        </w:rPr>
      </w:pPr>
    </w:p>
    <w:p>
      <w:pPr>
        <w:jc w:val="center"/>
        <w:outlineLvl w:val="4"/>
        <w:rPr>
          <w:rFonts w:hint="eastAsia" w:ascii="方正小标宋_GBK" w:hAnsi="方正小标宋_GBK" w:cs="方正小标宋_GBK" w:eastAsiaTheme="minorEastAsia"/>
          <w:color w:val="000000"/>
          <w:sz w:val="44"/>
          <w:lang w:eastAsia="zh-CN"/>
        </w:rPr>
      </w:pPr>
    </w:p>
    <w:p>
      <w:pPr>
        <w:outlineLvl w:val="4"/>
        <w:rPr>
          <w:rFonts w:hint="eastAsia" w:ascii="方正小标宋_GBK" w:hAnsi="方正小标宋_GBK" w:cs="方正小标宋_GBK" w:eastAsiaTheme="minorEastAsia"/>
          <w:color w:val="000000"/>
          <w:sz w:val="44"/>
          <w:lang w:eastAsia="zh-CN"/>
        </w:rPr>
      </w:pPr>
    </w:p>
    <w:p>
      <w:pPr>
        <w:jc w:val="center"/>
        <w:outlineLvl w:val="4"/>
      </w:pPr>
      <w:r>
        <w:rPr>
          <w:rFonts w:ascii="方正小标宋_GBK" w:hAnsi="方正小标宋_GBK" w:eastAsia="方正小标宋_GBK" w:cs="方正小标宋_GBK"/>
          <w:color w:val="000000"/>
          <w:sz w:val="44"/>
        </w:rPr>
        <w:t>中共秦皇岛市海港区委办公室本级2023年单位预算信息公开情况说明</w:t>
      </w:r>
    </w:p>
    <w:p>
      <w:pPr>
        <w:spacing w:beforeAutospacing="0" w:afterAutospacing="0" w:line="500" w:lineRule="exact"/>
        <w:ind w:firstLine="560"/>
      </w:pPr>
      <w:r>
        <w:rPr>
          <w:rFonts w:eastAsia="方正仿宋_GBK"/>
          <w:color w:val="000000"/>
          <w:sz w:val="28"/>
        </w:rPr>
        <w:t>按照《预算法》、《地方预决算公开操作规程》和《关于进一步推进预算公开工作的实施意见》规定，现将中共秦皇岛市海港区委办公室本级2023年单位预算公开如下：</w:t>
      </w:r>
    </w:p>
    <w:p>
      <w:pPr>
        <w:spacing w:before="10" w:beforeAutospacing="0" w:after="10" w:afterAutospacing="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1、负责推动党中央和省、市、区委决策部署的落实，按照区委要求协调有关方面开展工作，承担区委运行保障具体事务。</w:t>
      </w:r>
    </w:p>
    <w:p>
      <w:pPr>
        <w:pStyle w:val="19"/>
      </w:pPr>
      <w:r>
        <w:t>2、负责区委和区委办公室文件、区委领导讲话稿的起草、把关、整理等工作。</w:t>
      </w:r>
    </w:p>
    <w:p>
      <w:pPr>
        <w:pStyle w:val="19"/>
      </w:pPr>
      <w:r>
        <w:t>3、负责党中央和省、市、区委重要工作部署贯彻落实的督促检查，中央和省、市、区委领导批示和交办事项的催办反馈，区委统一部署的重大专项活动的推进落实。</w:t>
      </w:r>
    </w:p>
    <w:p>
      <w:pPr>
        <w:pStyle w:val="19"/>
      </w:pPr>
      <w:r>
        <w:t>4、围绕党中央和省、市、区委总体工作部署以及全区重大问题开展调查研究；负责收集和处理信息、反映动态；负责社情民意的搜集、整理和编报工作。</w:t>
      </w:r>
    </w:p>
    <w:p>
      <w:pPr>
        <w:pStyle w:val="19"/>
      </w:pPr>
      <w:r>
        <w:t>5、负责区委全委会、区委常委会和区委其他重要会议的会务工作；负责区委领导参加重大活动和日常工作活动的组织安排。</w:t>
      </w:r>
    </w:p>
    <w:p>
      <w:pPr>
        <w:pStyle w:val="19"/>
      </w:pPr>
      <w:r>
        <w:t>6、负责区委日常文书处理；负责区委文件和区委办公室代区委行文的审核工作；负责区委制定党内规范性文件的服务工作；负责统筹协调和督促指导全区党务公开工作。</w:t>
      </w:r>
    </w:p>
    <w:p>
      <w:pPr>
        <w:pStyle w:val="19"/>
      </w:pPr>
      <w:r>
        <w:t>7、承担区委保密委员会和区密码工作领导小组的日常工作。</w:t>
      </w:r>
    </w:p>
    <w:p>
      <w:pPr>
        <w:pStyle w:val="19"/>
      </w:pPr>
      <w:r>
        <w:t>8、负责区委总值班及全区紧急情况、突发事件的传报、反馈工作。</w:t>
      </w:r>
    </w:p>
    <w:p>
      <w:pPr>
        <w:pStyle w:val="19"/>
      </w:pPr>
      <w:r>
        <w:t>9、负责区委落实全面从严治党主体责任领导小组日常工作。</w:t>
      </w:r>
    </w:p>
    <w:p>
      <w:pPr>
        <w:pStyle w:val="19"/>
      </w:pPr>
      <w:r>
        <w:t>10、负责区委落实全面从严治党主体责任领导小组日常工作。</w:t>
      </w:r>
    </w:p>
    <w:p>
      <w:pPr>
        <w:pStyle w:val="19"/>
      </w:pPr>
      <w:r>
        <w:t>11、负责全区对外联络和暑期服务工作；负责全区公务接待机构的业务指导和培训。</w:t>
      </w:r>
    </w:p>
    <w:p>
      <w:pPr>
        <w:pStyle w:val="19"/>
        <w:rPr>
          <w:lang w:eastAsia="zh-CN"/>
        </w:rPr>
      </w:pPr>
      <w:r>
        <w:t>12、完成区委和区委全面深化改革委员会、区委国家安全委员会交办的其他任务。</w:t>
      </w:r>
    </w:p>
    <w:p>
      <w:pPr>
        <w:pStyle w:val="19"/>
        <w:rPr>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中共秦皇岛市海港区委办公室本级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beforeAutospacing="0" w:after="10" w:afterAutospacing="0"/>
        <w:ind w:firstLine="640"/>
        <w:outlineLvl w:val="5"/>
      </w:pPr>
      <w:r>
        <w:rPr>
          <w:rFonts w:ascii="黑体" w:hAnsi="黑体" w:eastAsia="黑体" w:cs="黑体"/>
          <w:color w:val="000000"/>
          <w:sz w:val="32"/>
        </w:rPr>
        <w:t>二、单位预算安排的总体情况</w:t>
      </w:r>
    </w:p>
    <w:p>
      <w:pPr>
        <w:spacing w:beforeAutospacing="0" w:afterAutospacing="0"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28"/>
      </w:pPr>
    </w:p>
    <w:p>
      <w:pPr>
        <w:spacing w:before="10" w:beforeAutospacing="0" w:after="10" w:afterAutospacing="0"/>
        <w:ind w:firstLine="640"/>
        <w:outlineLvl w:val="5"/>
      </w:pPr>
      <w:r>
        <w:rPr>
          <w:rFonts w:ascii="黑体" w:hAnsi="黑体" w:eastAsia="黑体" w:cs="黑体"/>
          <w:color w:val="000000"/>
          <w:sz w:val="32"/>
        </w:rPr>
        <w:t>三、机关运行经费安排情况</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机关运行经费安排支出</w:t>
      </w:r>
      <w:r>
        <w:rPr>
          <w:rFonts w:eastAsia="方正仿宋_GBK"/>
          <w:color w:val="000000"/>
          <w:sz w:val="28"/>
        </w:rPr>
        <w:t>79.06</w:t>
      </w:r>
      <w:r>
        <w:rPr>
          <w:rFonts w:hint="eastAsia" w:eastAsia="方正仿宋_GBK"/>
          <w:color w:val="000000"/>
          <w:sz w:val="28"/>
        </w:rPr>
        <w:t>万元，办公费</w:t>
      </w:r>
      <w:r>
        <w:rPr>
          <w:rFonts w:eastAsia="方正仿宋_GBK"/>
          <w:color w:val="000000"/>
          <w:sz w:val="28"/>
        </w:rPr>
        <w:t>14.25</w:t>
      </w:r>
      <w:r>
        <w:rPr>
          <w:rFonts w:hint="eastAsia" w:eastAsia="方正仿宋_GBK"/>
          <w:color w:val="000000"/>
          <w:sz w:val="28"/>
        </w:rPr>
        <w:t>万元，邮电费</w:t>
      </w:r>
      <w:r>
        <w:rPr>
          <w:rFonts w:eastAsia="方正仿宋_GBK"/>
          <w:color w:val="000000"/>
          <w:sz w:val="28"/>
        </w:rPr>
        <w:t>14.69</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万元，工会经费</w:t>
      </w:r>
      <w:r>
        <w:rPr>
          <w:rFonts w:eastAsia="方正仿宋_GBK"/>
          <w:color w:val="000000"/>
          <w:sz w:val="28"/>
        </w:rPr>
        <w:t>10.81</w:t>
      </w:r>
      <w:r>
        <w:rPr>
          <w:rFonts w:hint="eastAsia" w:eastAsia="方正仿宋_GBK"/>
          <w:color w:val="000000"/>
          <w:sz w:val="28"/>
        </w:rPr>
        <w:t>万元，福利费</w:t>
      </w:r>
      <w:r>
        <w:rPr>
          <w:rFonts w:eastAsia="方正仿宋_GBK"/>
          <w:color w:val="000000"/>
          <w:sz w:val="28"/>
        </w:rPr>
        <w:t>6.15</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万元，其他交通费用</w:t>
      </w:r>
      <w:r>
        <w:rPr>
          <w:rFonts w:eastAsia="方正仿宋_GBK"/>
          <w:color w:val="000000"/>
          <w:sz w:val="28"/>
        </w:rPr>
        <w:t>18.41</w:t>
      </w:r>
      <w:r>
        <w:rPr>
          <w:rFonts w:hint="eastAsia" w:eastAsia="方正仿宋_GBK"/>
          <w:color w:val="000000"/>
          <w:sz w:val="28"/>
        </w:rPr>
        <w:t>万元，其他商品和服务支出</w:t>
      </w:r>
      <w:r>
        <w:rPr>
          <w:rFonts w:eastAsia="方正仿宋_GBK"/>
          <w:color w:val="000000"/>
          <w:sz w:val="28"/>
        </w:rPr>
        <w:t>0.66</w:t>
      </w:r>
      <w:r>
        <w:rPr>
          <w:rFonts w:hint="eastAsia" w:eastAsia="方正仿宋_GBK"/>
          <w:color w:val="000000"/>
          <w:sz w:val="28"/>
        </w:rPr>
        <w:t>万元。</w:t>
      </w:r>
    </w:p>
    <w:p>
      <w:pPr>
        <w:pStyle w:val="29"/>
      </w:pPr>
    </w:p>
    <w:p>
      <w:pPr>
        <w:spacing w:before="10" w:beforeAutospacing="0" w:after="10" w:afterAutospacing="0"/>
        <w:ind w:firstLine="640"/>
        <w:outlineLvl w:val="5"/>
      </w:pPr>
      <w:r>
        <w:rPr>
          <w:rFonts w:ascii="黑体" w:hAnsi="黑体" w:eastAsia="黑体" w:cs="黑体"/>
          <w:color w:val="000000"/>
          <w:sz w:val="32"/>
        </w:rPr>
        <w:t>四、财政拨款“三公”经费预算情况及增减变化原因</w:t>
      </w:r>
    </w:p>
    <w:p>
      <w:pPr>
        <w:spacing w:beforeAutospacing="0" w:afterAutospacing="0" w:line="500" w:lineRule="exact"/>
        <w:ind w:firstLine="560"/>
        <w:rPr>
          <w:rFonts w:eastAsia="方正仿宋_GBK"/>
          <w:color w:val="000000"/>
          <w:sz w:val="28"/>
          <w:lang w:eastAsia="zh-CN"/>
        </w:rPr>
      </w:pPr>
      <w:r>
        <w:rPr>
          <w:rFonts w:hint="eastAsia" w:eastAsia="方正仿宋_GBK"/>
          <w:color w:val="000000"/>
          <w:sz w:val="28"/>
        </w:rPr>
        <w:t>因公出国（境）费</w:t>
      </w:r>
      <w:r>
        <w:rPr>
          <w:rFonts w:eastAsia="方正仿宋_GBK"/>
          <w:color w:val="000000"/>
          <w:sz w:val="28"/>
        </w:rPr>
        <w:t>0</w:t>
      </w:r>
      <w:r>
        <w:rPr>
          <w:rFonts w:hint="eastAsia" w:eastAsia="方正仿宋_GBK"/>
          <w:color w:val="000000"/>
          <w:sz w:val="28"/>
        </w:rPr>
        <w:t>万元，公务用车购置及运维费</w:t>
      </w:r>
      <w:r>
        <w:rPr>
          <w:rFonts w:eastAsia="方正仿宋_GBK"/>
          <w:color w:val="000000"/>
          <w:sz w:val="28"/>
        </w:rPr>
        <w:t>13.52</w:t>
      </w:r>
      <w:r>
        <w:rPr>
          <w:rFonts w:hint="eastAsia" w:eastAsia="方正仿宋_GBK"/>
          <w:color w:val="000000"/>
          <w:sz w:val="28"/>
        </w:rPr>
        <w:t>万元，其中：公务用车购置费</w:t>
      </w:r>
      <w:r>
        <w:rPr>
          <w:rFonts w:eastAsia="方正仿宋_GBK"/>
          <w:color w:val="000000"/>
          <w:sz w:val="28"/>
        </w:rPr>
        <w:t>0</w:t>
      </w:r>
      <w:r>
        <w:rPr>
          <w:rFonts w:hint="eastAsia" w:eastAsia="方正仿宋_GBK"/>
          <w:color w:val="000000"/>
          <w:sz w:val="28"/>
        </w:rPr>
        <w:t>万元，公务用车运行维护费</w:t>
      </w:r>
      <w:r>
        <w:rPr>
          <w:rFonts w:eastAsia="方正仿宋_GBK"/>
          <w:color w:val="000000"/>
          <w:sz w:val="28"/>
        </w:rPr>
        <w:t>13.52</w:t>
      </w:r>
      <w:r>
        <w:rPr>
          <w:rFonts w:hint="eastAsia" w:eastAsia="方正仿宋_GBK"/>
          <w:color w:val="000000"/>
          <w:sz w:val="28"/>
        </w:rPr>
        <w:t>万元，公务接待费</w:t>
      </w:r>
      <w:r>
        <w:rPr>
          <w:rFonts w:eastAsia="方正仿宋_GBK"/>
          <w:color w:val="000000"/>
          <w:sz w:val="28"/>
        </w:rPr>
        <w:t>0.57</w:t>
      </w:r>
      <w:r>
        <w:rPr>
          <w:rFonts w:hint="eastAsia" w:eastAsia="方正仿宋_GBK"/>
          <w:color w:val="000000"/>
          <w:sz w:val="28"/>
        </w:rPr>
        <w:t>万元。</w:t>
      </w:r>
      <w:r>
        <w:rPr>
          <w:rFonts w:hint="eastAsia" w:eastAsia="方正仿宋_GBK"/>
          <w:color w:val="000000"/>
          <w:sz w:val="28"/>
          <w:lang w:eastAsia="zh-CN"/>
        </w:rPr>
        <w:t>预算金额与上年无变化。</w:t>
      </w:r>
    </w:p>
    <w:p>
      <w:pPr>
        <w:pStyle w:val="30"/>
      </w:pPr>
    </w:p>
    <w:p>
      <w:pPr>
        <w:spacing w:before="10" w:beforeAutospacing="0" w:after="10" w:afterAutospacing="0"/>
        <w:ind w:firstLine="640"/>
        <w:outlineLvl w:val="5"/>
        <w:sectPr>
          <w:pgSz w:w="16840" w:h="11900" w:orient="landscape"/>
          <w:pgMar w:top="1361" w:right="1020" w:bottom="1361" w:left="1020" w:header="720" w:footer="720" w:gutter="0"/>
          <w:cols w:space="720" w:num="1"/>
          <w:docGrid w:linePitch="0" w:charSpace="0"/>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1、“4.15”全民国家安全宣传教育经费（含主题公园）绩效目标表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1.通过在城区公园、游园建设国家安全宣传教育主题公园，打造海港区国家安全宣传特色“窗口”，推动全民国家安全教育落地生根。</w:t>
            </w:r>
          </w:p>
          <w:p>
            <w:pPr>
              <w:pStyle w:val="14"/>
            </w:pPr>
            <w:r>
              <w:t>2.通过在国家安全主题公园设置国家安全宣传橱窗，深入宣传总体国家安全观及相关国家安全知识，营造浓厚宣传氛围。</w:t>
            </w:r>
          </w:p>
          <w:p>
            <w:pPr>
              <w:pStyle w:val="14"/>
            </w:pPr>
            <w:r>
              <w:t>3.通过在国家安全主题公园安装国家安全宣传广播设备，提高全民国家安全知识素养，形成人人维护国家安全的思想自觉和行动自觉，广泛汇聚维护国家安全的社会共识和强大合力。</w:t>
            </w:r>
            <w:r>
              <w:tab/>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设置宣传载体</w:t>
            </w:r>
          </w:p>
        </w:tc>
        <w:tc>
          <w:tcPr>
            <w:tcW w:w="2835" w:type="dxa"/>
            <w:vAlign w:val="center"/>
          </w:tcPr>
          <w:p>
            <w:pPr>
              <w:pStyle w:val="14"/>
            </w:pPr>
            <w:r>
              <w:t>安装国家安全宣传橱窗</w:t>
            </w:r>
          </w:p>
        </w:tc>
        <w:tc>
          <w:tcPr>
            <w:tcW w:w="2551" w:type="dxa"/>
            <w:vAlign w:val="center"/>
          </w:tcPr>
          <w:p>
            <w:pPr>
              <w:pStyle w:val="14"/>
            </w:pPr>
            <w:r>
              <w:t>≥10个</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设置宣传载体</w:t>
            </w:r>
          </w:p>
        </w:tc>
        <w:tc>
          <w:tcPr>
            <w:tcW w:w="2835" w:type="dxa"/>
            <w:vAlign w:val="center"/>
          </w:tcPr>
          <w:p>
            <w:pPr>
              <w:pStyle w:val="14"/>
            </w:pPr>
            <w:r>
              <w:t>安装国家安全宣传广播设备</w:t>
            </w:r>
          </w:p>
          <w:p>
            <w:pPr>
              <w:pStyle w:val="14"/>
            </w:pPr>
          </w:p>
        </w:tc>
        <w:tc>
          <w:tcPr>
            <w:tcW w:w="2551" w:type="dxa"/>
            <w:vAlign w:val="center"/>
          </w:tcPr>
          <w:p>
            <w:pPr>
              <w:pStyle w:val="14"/>
            </w:pPr>
            <w:r>
              <w:t>≥1套</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印刷宣传册数量</w:t>
            </w:r>
          </w:p>
        </w:tc>
        <w:tc>
          <w:tcPr>
            <w:tcW w:w="2835" w:type="dxa"/>
            <w:vAlign w:val="center"/>
          </w:tcPr>
          <w:p>
            <w:pPr>
              <w:pStyle w:val="14"/>
            </w:pPr>
            <w:r>
              <w:t>印刷宣传册数量</w:t>
            </w:r>
          </w:p>
        </w:tc>
        <w:tc>
          <w:tcPr>
            <w:tcW w:w="2551" w:type="dxa"/>
            <w:vAlign w:val="center"/>
          </w:tcPr>
          <w:p>
            <w:pPr>
              <w:pStyle w:val="14"/>
            </w:pPr>
            <w:r>
              <w:t>≥10000%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宣传载体合格率</w:t>
            </w:r>
          </w:p>
        </w:tc>
        <w:tc>
          <w:tcPr>
            <w:tcW w:w="2835" w:type="dxa"/>
            <w:vAlign w:val="center"/>
          </w:tcPr>
          <w:p>
            <w:pPr>
              <w:pStyle w:val="14"/>
            </w:pPr>
            <w:r>
              <w:t>宣传橱窗、广播设备合格率</w:t>
            </w: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p>
            <w:pPr>
              <w:pStyle w:val="14"/>
            </w:pPr>
          </w:p>
        </w:tc>
        <w:tc>
          <w:tcPr>
            <w:tcW w:w="2835" w:type="dxa"/>
            <w:vAlign w:val="center"/>
          </w:tcPr>
          <w:p>
            <w:pPr>
              <w:pStyle w:val="14"/>
            </w:pPr>
            <w:r>
              <w:t>宣传资料印刷品合格率</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宣传载体建设及时性</w:t>
            </w:r>
          </w:p>
        </w:tc>
        <w:tc>
          <w:tcPr>
            <w:tcW w:w="2835" w:type="dxa"/>
            <w:vAlign w:val="center"/>
          </w:tcPr>
          <w:p>
            <w:pPr>
              <w:pStyle w:val="14"/>
            </w:pPr>
            <w:r>
              <w:t>按照计划宣传特色“窗口”建设</w:t>
            </w:r>
          </w:p>
          <w:p>
            <w:pPr>
              <w:pStyle w:val="14"/>
            </w:pPr>
          </w:p>
        </w:tc>
        <w:tc>
          <w:tcPr>
            <w:tcW w:w="2551" w:type="dxa"/>
            <w:vAlign w:val="center"/>
          </w:tcPr>
          <w:p>
            <w:pPr>
              <w:pStyle w:val="14"/>
            </w:pPr>
            <w:r>
              <w:t>≥100%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宣教活动完成及时性</w:t>
            </w:r>
          </w:p>
          <w:p>
            <w:pPr>
              <w:pStyle w:val="14"/>
            </w:pPr>
          </w:p>
        </w:tc>
        <w:tc>
          <w:tcPr>
            <w:tcW w:w="2835" w:type="dxa"/>
            <w:vAlign w:val="center"/>
          </w:tcPr>
          <w:p>
            <w:pPr>
              <w:pStyle w:val="14"/>
            </w:pPr>
            <w:r>
              <w:t>按照计划完成宣传教育活动</w:t>
            </w:r>
          </w:p>
          <w:p>
            <w:pPr>
              <w:pStyle w:val="14"/>
            </w:pP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≤10万元</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≤5万元</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群众安全意识提升情况</w:t>
            </w:r>
          </w:p>
        </w:tc>
        <w:tc>
          <w:tcPr>
            <w:tcW w:w="2835" w:type="dxa"/>
            <w:vAlign w:val="center"/>
          </w:tcPr>
          <w:p>
            <w:pPr>
              <w:pStyle w:val="14"/>
            </w:pPr>
            <w:r>
              <w:t>增强全民国家安全意识，对全区国家安全工作产生了深远可持续的影响。</w:t>
            </w:r>
          </w:p>
          <w:p>
            <w:pPr>
              <w:pStyle w:val="14"/>
            </w:pPr>
          </w:p>
        </w:tc>
        <w:tc>
          <w:tcPr>
            <w:tcW w:w="2551" w:type="dxa"/>
            <w:vAlign w:val="center"/>
          </w:tcPr>
          <w:p>
            <w:pPr>
              <w:pStyle w:val="14"/>
            </w:pPr>
            <w:r>
              <w:t>效果明显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群众安全意识提升情况</w:t>
            </w:r>
          </w:p>
          <w:p>
            <w:pPr>
              <w:pStyle w:val="14"/>
            </w:pPr>
          </w:p>
        </w:tc>
        <w:tc>
          <w:tcPr>
            <w:tcW w:w="2835" w:type="dxa"/>
            <w:vAlign w:val="center"/>
          </w:tcPr>
          <w:p>
            <w:pPr>
              <w:pStyle w:val="14"/>
            </w:pPr>
            <w:r>
              <w:t>增强全民国家安全意识，对全区国家安全工作产生了深远可持续的影响。</w:t>
            </w: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提升宣传教育影响力</w:t>
            </w:r>
          </w:p>
        </w:tc>
        <w:tc>
          <w:tcPr>
            <w:tcW w:w="2835" w:type="dxa"/>
            <w:vAlign w:val="center"/>
          </w:tcPr>
          <w:p>
            <w:pPr>
              <w:pStyle w:val="14"/>
            </w:pPr>
            <w:r>
              <w:t>高国家安全宣传教育影响力，进一步增强全民国家安全意识。</w:t>
            </w:r>
          </w:p>
        </w:tc>
        <w:tc>
          <w:tcPr>
            <w:tcW w:w="2551" w:type="dxa"/>
            <w:vAlign w:val="center"/>
          </w:tcPr>
          <w:p>
            <w:pPr>
              <w:pStyle w:val="14"/>
            </w:pPr>
            <w:r>
              <w:t>效果明显</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提升宣传教育活动影响力</w:t>
            </w:r>
          </w:p>
          <w:p>
            <w:pPr>
              <w:pStyle w:val="14"/>
            </w:pPr>
          </w:p>
        </w:tc>
        <w:tc>
          <w:tcPr>
            <w:tcW w:w="2835" w:type="dxa"/>
            <w:vAlign w:val="center"/>
          </w:tcPr>
          <w:p>
            <w:pPr>
              <w:pStyle w:val="14"/>
            </w:pPr>
            <w:r>
              <w:t>提高国家安全宣传教育活动影响力，进一步增强全民国家安全意识。</w:t>
            </w:r>
          </w:p>
          <w:p>
            <w:pPr>
              <w:pStyle w:val="14"/>
            </w:pPr>
          </w:p>
        </w:tc>
        <w:tc>
          <w:tcPr>
            <w:tcW w:w="2551" w:type="dxa"/>
            <w:vAlign w:val="center"/>
          </w:tcPr>
          <w:p>
            <w:pPr>
              <w:pStyle w:val="14"/>
            </w:pPr>
            <w:r>
              <w:t>效果明显</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群众对宣传特色“窗口”效果满意程度</w:t>
            </w:r>
          </w:p>
          <w:p>
            <w:pPr>
              <w:pStyle w:val="14"/>
            </w:pPr>
          </w:p>
        </w:tc>
        <w:tc>
          <w:tcPr>
            <w:tcW w:w="2551" w:type="dxa"/>
            <w:vAlign w:val="center"/>
          </w:tcPr>
          <w:p>
            <w:pPr>
              <w:pStyle w:val="14"/>
            </w:pPr>
            <w:r>
              <w:t>≥95%</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群众对活动效果满意程度</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2、《中国共产党河北省秦皇岛市海港区历史（第二卷）》编撰工作绩效目标表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1.记述海港区2011年-2021年党的活动的大事，要事、新事的资料和线索，确保真实准确</w:t>
            </w:r>
            <w:r>
              <w:tab/>
            </w:r>
            <w:r>
              <w:tab/>
            </w:r>
            <w:r>
              <w:tab/>
            </w:r>
            <w:r>
              <w:tab/>
            </w:r>
            <w:r>
              <w:tab/>
            </w:r>
          </w:p>
          <w:p>
            <w:pPr>
              <w:pStyle w:val="14"/>
            </w:pPr>
            <w:r>
              <w:t>2.进一步延伸和扩展查阅范围，便于利用者检索查阅相关史实</w:t>
            </w:r>
            <w:r>
              <w:tab/>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大事记工作完成率</w:t>
            </w:r>
          </w:p>
          <w:p>
            <w:pPr>
              <w:pStyle w:val="14"/>
            </w:pPr>
          </w:p>
        </w:tc>
        <w:tc>
          <w:tcPr>
            <w:tcW w:w="2835" w:type="dxa"/>
            <w:vAlign w:val="center"/>
          </w:tcPr>
          <w:p>
            <w:pPr>
              <w:pStyle w:val="14"/>
            </w:pPr>
            <w:r>
              <w:t>完成《中国共产党海港区委大事记》版面审计并申请书号，出版引述成书</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大事记印刷合格率</w:t>
            </w:r>
          </w:p>
          <w:p>
            <w:pPr>
              <w:pStyle w:val="14"/>
            </w:pPr>
          </w:p>
        </w:tc>
        <w:tc>
          <w:tcPr>
            <w:tcW w:w="2835" w:type="dxa"/>
            <w:vAlign w:val="center"/>
          </w:tcPr>
          <w:p>
            <w:pPr>
              <w:pStyle w:val="14"/>
            </w:pPr>
            <w:r>
              <w:t>大事记印刷合格率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编印工作完成及时性</w:t>
            </w:r>
          </w:p>
        </w:tc>
        <w:tc>
          <w:tcPr>
            <w:tcW w:w="2835" w:type="dxa"/>
            <w:vAlign w:val="center"/>
          </w:tcPr>
          <w:p>
            <w:pPr>
              <w:pStyle w:val="14"/>
            </w:pPr>
            <w:r>
              <w:t>按照计划时间完成编撰及出版工作</w:t>
            </w: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tc>
        <w:tc>
          <w:tcPr>
            <w:tcW w:w="2835" w:type="dxa"/>
            <w:vAlign w:val="center"/>
          </w:tcPr>
          <w:p>
            <w:pPr>
              <w:pStyle w:val="14"/>
            </w:pPr>
            <w:r>
              <w:t>按照计划及预算合理控制费用支出</w:t>
            </w:r>
          </w:p>
          <w:p>
            <w:pPr>
              <w:pStyle w:val="14"/>
            </w:pPr>
          </w:p>
        </w:tc>
        <w:tc>
          <w:tcPr>
            <w:tcW w:w="2551" w:type="dxa"/>
            <w:vAlign w:val="center"/>
          </w:tcPr>
          <w:p>
            <w:pPr>
              <w:pStyle w:val="14"/>
            </w:pPr>
            <w:r>
              <w:t>10万元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提升宣传影响作用</w:t>
            </w:r>
          </w:p>
          <w:p>
            <w:pPr>
              <w:pStyle w:val="14"/>
            </w:pPr>
          </w:p>
        </w:tc>
        <w:tc>
          <w:tcPr>
            <w:tcW w:w="2835" w:type="dxa"/>
            <w:vAlign w:val="center"/>
          </w:tcPr>
          <w:p>
            <w:pPr>
              <w:pStyle w:val="14"/>
            </w:pPr>
            <w:r>
              <w:t>提高海港区宣传力度，具有持续性</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资政育人作用效果</w:t>
            </w:r>
          </w:p>
          <w:p>
            <w:pPr>
              <w:pStyle w:val="14"/>
            </w:pPr>
          </w:p>
        </w:tc>
        <w:tc>
          <w:tcPr>
            <w:tcW w:w="2835" w:type="dxa"/>
            <w:vAlign w:val="center"/>
          </w:tcPr>
          <w:p>
            <w:pPr>
              <w:pStyle w:val="14"/>
            </w:pPr>
            <w:r>
              <w:t>发挥党史工作“资政育人的作用”</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领导满意度</w:t>
            </w:r>
          </w:p>
          <w:p>
            <w:pPr>
              <w:pStyle w:val="14"/>
            </w:pPr>
          </w:p>
        </w:tc>
        <w:tc>
          <w:tcPr>
            <w:tcW w:w="2835" w:type="dxa"/>
            <w:vAlign w:val="center"/>
          </w:tcPr>
          <w:p>
            <w:pPr>
              <w:pStyle w:val="14"/>
            </w:pPr>
            <w:r>
              <w:t>领导对大事记编写工作的满意程度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3、党政专用电视会议系统延伸建设资金绩效目标表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1.按照文件要求，按时完成党政专用电视系统延伸建设。</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涉及工作的数量</w:t>
            </w:r>
          </w:p>
        </w:tc>
        <w:tc>
          <w:tcPr>
            <w:tcW w:w="2835" w:type="dxa"/>
            <w:vAlign w:val="center"/>
          </w:tcPr>
          <w:p>
            <w:pPr>
              <w:pStyle w:val="14"/>
            </w:pPr>
            <w:r>
              <w:t>涉及工作的数量</w:t>
            </w:r>
          </w:p>
        </w:tc>
        <w:tc>
          <w:tcPr>
            <w:tcW w:w="2551" w:type="dxa"/>
            <w:vAlign w:val="center"/>
          </w:tcPr>
          <w:p>
            <w:pPr>
              <w:pStyle w:val="14"/>
            </w:pPr>
            <w:r>
              <w:t>≥1项</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各项工作完成合格率</w:t>
            </w: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各项工作完成及时率</w:t>
            </w: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成本费用的控制</w:t>
            </w:r>
          </w:p>
        </w:tc>
        <w:tc>
          <w:tcPr>
            <w:tcW w:w="2835" w:type="dxa"/>
            <w:vAlign w:val="center"/>
          </w:tcPr>
          <w:p>
            <w:pPr>
              <w:pStyle w:val="14"/>
            </w:pPr>
            <w:r>
              <w:t>控制总费用的实际支出小于等于预算</w:t>
            </w:r>
          </w:p>
        </w:tc>
        <w:tc>
          <w:tcPr>
            <w:tcW w:w="2551" w:type="dxa"/>
            <w:vAlign w:val="center"/>
          </w:tcPr>
          <w:p>
            <w:pPr>
              <w:pStyle w:val="14"/>
            </w:pPr>
            <w:r>
              <w:t>≤217万元</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4、电子政务网络维护费绩效目标表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1.保障全区电子政务内网节点网络畅通</w:t>
            </w:r>
          </w:p>
          <w:p>
            <w:pPr>
              <w:pStyle w:val="14"/>
            </w:pPr>
            <w:r>
              <w:t>2.通过对电子政务内网继续投入资金，保障新增单位线路建设</w:t>
            </w:r>
            <w:r>
              <w:tab/>
            </w:r>
            <w:r>
              <w:tab/>
            </w:r>
            <w:r>
              <w:tab/>
            </w:r>
            <w:r>
              <w:tab/>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网络通畅节点覆盖率</w:t>
            </w:r>
          </w:p>
          <w:p>
            <w:pPr>
              <w:pStyle w:val="14"/>
            </w:pPr>
          </w:p>
        </w:tc>
        <w:tc>
          <w:tcPr>
            <w:tcW w:w="2835" w:type="dxa"/>
            <w:vAlign w:val="center"/>
          </w:tcPr>
          <w:p>
            <w:pPr>
              <w:pStyle w:val="14"/>
            </w:pPr>
            <w:r>
              <w:t>保障全区网络通畅的节点数量</w:t>
            </w:r>
          </w:p>
          <w:p>
            <w:pPr>
              <w:pStyle w:val="14"/>
            </w:pPr>
          </w:p>
        </w:tc>
        <w:tc>
          <w:tcPr>
            <w:tcW w:w="2551" w:type="dxa"/>
            <w:vAlign w:val="center"/>
          </w:tcPr>
          <w:p>
            <w:pPr>
              <w:pStyle w:val="14"/>
            </w:pPr>
            <w:r>
              <w:t>100%</w:t>
            </w:r>
          </w:p>
        </w:tc>
        <w:tc>
          <w:tcPr>
            <w:tcW w:w="2268" w:type="dxa"/>
            <w:vAlign w:val="center"/>
          </w:tcPr>
          <w:p>
            <w:pPr>
              <w:pStyle w:val="14"/>
            </w:pPr>
            <w:r>
              <w:t>转发，中共河北省委保密机要局关于做好电子政务内网密码设备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网络平稳运行保障率</w:t>
            </w:r>
          </w:p>
          <w:p>
            <w:pPr>
              <w:pStyle w:val="14"/>
            </w:pPr>
          </w:p>
        </w:tc>
        <w:tc>
          <w:tcPr>
            <w:tcW w:w="2835" w:type="dxa"/>
            <w:vAlign w:val="center"/>
          </w:tcPr>
          <w:p>
            <w:pPr>
              <w:pStyle w:val="14"/>
            </w:pPr>
            <w:r>
              <w:t>保障全区网络建设完好情况</w:t>
            </w:r>
          </w:p>
          <w:p>
            <w:pPr>
              <w:pStyle w:val="14"/>
            </w:pPr>
          </w:p>
        </w:tc>
        <w:tc>
          <w:tcPr>
            <w:tcW w:w="2551" w:type="dxa"/>
            <w:vAlign w:val="center"/>
          </w:tcPr>
          <w:p>
            <w:pPr>
              <w:pStyle w:val="14"/>
            </w:pPr>
            <w:r>
              <w:t>100%</w:t>
            </w:r>
          </w:p>
        </w:tc>
        <w:tc>
          <w:tcPr>
            <w:tcW w:w="2268" w:type="dxa"/>
            <w:vAlign w:val="center"/>
          </w:tcPr>
          <w:p>
            <w:pPr>
              <w:pStyle w:val="14"/>
            </w:pPr>
            <w:r>
              <w:t>转发，中共河北省委保密机要局关于做好电子政务内网密码设备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网络运行稳定性</w:t>
            </w:r>
          </w:p>
          <w:p>
            <w:pPr>
              <w:pStyle w:val="14"/>
            </w:pPr>
          </w:p>
        </w:tc>
        <w:tc>
          <w:tcPr>
            <w:tcW w:w="2835" w:type="dxa"/>
            <w:vAlign w:val="center"/>
          </w:tcPr>
          <w:p>
            <w:pPr>
              <w:pStyle w:val="14"/>
            </w:pPr>
            <w:r>
              <w:t>保障网络平稳运行</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密码设备验收合格率</w:t>
            </w:r>
          </w:p>
          <w:p>
            <w:pPr>
              <w:pStyle w:val="14"/>
            </w:pPr>
          </w:p>
        </w:tc>
        <w:tc>
          <w:tcPr>
            <w:tcW w:w="2835" w:type="dxa"/>
            <w:vAlign w:val="center"/>
          </w:tcPr>
          <w:p>
            <w:pPr>
              <w:pStyle w:val="14"/>
            </w:pPr>
            <w:r>
              <w:t>确保密码设备符合上级规定标准要求</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网络维护及时性</w:t>
            </w:r>
          </w:p>
          <w:p>
            <w:pPr>
              <w:pStyle w:val="14"/>
            </w:pPr>
          </w:p>
        </w:tc>
        <w:tc>
          <w:tcPr>
            <w:tcW w:w="2835" w:type="dxa"/>
            <w:vAlign w:val="center"/>
          </w:tcPr>
          <w:p>
            <w:pPr>
              <w:pStyle w:val="14"/>
            </w:pPr>
            <w:r>
              <w:t>按照要求及时完成网络运行维护</w:t>
            </w:r>
          </w:p>
          <w:p>
            <w:pPr>
              <w:pStyle w:val="14"/>
            </w:pPr>
          </w:p>
        </w:tc>
        <w:tc>
          <w:tcPr>
            <w:tcW w:w="2551" w:type="dxa"/>
            <w:vAlign w:val="center"/>
          </w:tcPr>
          <w:p>
            <w:pPr>
              <w:pStyle w:val="14"/>
            </w:pPr>
            <w:r>
              <w:t>100%</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按合同约定及预算额合理控制费用支出</w:t>
            </w:r>
          </w:p>
          <w:p>
            <w:pPr>
              <w:pStyle w:val="14"/>
            </w:pPr>
          </w:p>
        </w:tc>
        <w:tc>
          <w:tcPr>
            <w:tcW w:w="2551" w:type="dxa"/>
            <w:vAlign w:val="center"/>
          </w:tcPr>
          <w:p>
            <w:pPr>
              <w:pStyle w:val="14"/>
            </w:pPr>
            <w:r>
              <w:t>≤18万元</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促进政务数字化建设</w:t>
            </w:r>
          </w:p>
          <w:p>
            <w:pPr>
              <w:pStyle w:val="14"/>
            </w:pPr>
          </w:p>
        </w:tc>
        <w:tc>
          <w:tcPr>
            <w:tcW w:w="2835" w:type="dxa"/>
            <w:vAlign w:val="center"/>
          </w:tcPr>
          <w:p>
            <w:pPr>
              <w:pStyle w:val="14"/>
            </w:pPr>
            <w:r>
              <w:t>服务全区联网单位收发公文</w:t>
            </w:r>
          </w:p>
          <w:p>
            <w:pPr>
              <w:pStyle w:val="14"/>
            </w:pPr>
          </w:p>
        </w:tc>
        <w:tc>
          <w:tcPr>
            <w:tcW w:w="2551" w:type="dxa"/>
            <w:vAlign w:val="center"/>
          </w:tcPr>
          <w:p>
            <w:pPr>
              <w:pStyle w:val="14"/>
            </w:pPr>
            <w:r>
              <w:t>效果明显</w:t>
            </w:r>
          </w:p>
        </w:tc>
        <w:tc>
          <w:tcPr>
            <w:tcW w:w="2268" w:type="dxa"/>
            <w:vAlign w:val="center"/>
          </w:tcPr>
          <w:p>
            <w:pPr>
              <w:pStyle w:val="14"/>
            </w:pPr>
            <w:r>
              <w:t>上级要求及年度工作计划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p>
        </w:tc>
        <w:tc>
          <w:tcPr>
            <w:tcW w:w="2835" w:type="dxa"/>
            <w:vAlign w:val="center"/>
          </w:tcPr>
          <w:p>
            <w:pPr>
              <w:pStyle w:val="14"/>
            </w:pPr>
            <w:r>
              <w:t>各单位对公文交换系统网络运行满意程度</w:t>
            </w:r>
          </w:p>
          <w:p>
            <w:pPr>
              <w:pStyle w:val="14"/>
            </w:pPr>
          </w:p>
        </w:tc>
        <w:tc>
          <w:tcPr>
            <w:tcW w:w="2551" w:type="dxa"/>
            <w:vAlign w:val="center"/>
          </w:tcPr>
          <w:p>
            <w:pPr>
              <w:pStyle w:val="14"/>
            </w:pPr>
            <w:r>
              <w:t>≥95%</w:t>
            </w:r>
          </w:p>
        </w:tc>
        <w:tc>
          <w:tcPr>
            <w:tcW w:w="2268" w:type="dxa"/>
            <w:vAlign w:val="center"/>
          </w:tcPr>
          <w:p>
            <w:pPr>
              <w:pStyle w:val="14"/>
            </w:pPr>
            <w:r>
              <w:t>上级要求及年度工作计划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5、机要局业务经费绩效目标表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1.通过对机要硬件投入，确保机要工作稳定运转</w:t>
            </w:r>
            <w:r>
              <w:tab/>
            </w:r>
            <w:r>
              <w:tab/>
            </w:r>
            <w:r>
              <w:tab/>
            </w:r>
            <w:r>
              <w:tab/>
            </w:r>
          </w:p>
          <w:p>
            <w:pPr>
              <w:pStyle w:val="14"/>
            </w:pPr>
            <w:r>
              <w:t>2.通过对电话线路的日常巡检，确保区领导办公室保密电话通话正常和机要密码通信安全畅通</w:t>
            </w:r>
          </w:p>
          <w:p>
            <w:pPr>
              <w:pStyle w:val="14"/>
            </w:pPr>
            <w:r>
              <w:t>3. 通过开展保密宣传教育，提升全民保密意识</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涉密电视会议室建设完成率</w:t>
            </w:r>
          </w:p>
        </w:tc>
        <w:tc>
          <w:tcPr>
            <w:tcW w:w="2835" w:type="dxa"/>
            <w:vAlign w:val="center"/>
          </w:tcPr>
          <w:p>
            <w:pPr>
              <w:pStyle w:val="14"/>
            </w:pPr>
            <w:r>
              <w:t>完成涉密电视会议室建设</w:t>
            </w:r>
          </w:p>
          <w:p>
            <w:pPr>
              <w:pStyle w:val="14"/>
            </w:pPr>
          </w:p>
        </w:tc>
        <w:tc>
          <w:tcPr>
            <w:tcW w:w="2551" w:type="dxa"/>
            <w:vAlign w:val="center"/>
          </w:tcPr>
          <w:p>
            <w:pPr>
              <w:pStyle w:val="14"/>
            </w:pPr>
            <w:r>
              <w:t>100%</w:t>
            </w:r>
          </w:p>
        </w:tc>
        <w:tc>
          <w:tcPr>
            <w:tcW w:w="2268" w:type="dxa"/>
            <w:vAlign w:val="center"/>
          </w:tcPr>
          <w:p>
            <w:pPr>
              <w:pStyle w:val="14"/>
            </w:pPr>
            <w:r>
              <w:t>冀办字【2014】42号、《河北省省以下密码通信主渠道网络维护管理细则》《国家密码管理局省市县党政密码通信主渠道基础设施技术要求和运维规范》、冀专通【2021】24号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机要线路畅通保障率</w:t>
            </w:r>
          </w:p>
        </w:tc>
        <w:tc>
          <w:tcPr>
            <w:tcW w:w="2835" w:type="dxa"/>
            <w:vAlign w:val="center"/>
          </w:tcPr>
          <w:p>
            <w:pPr>
              <w:pStyle w:val="14"/>
            </w:pPr>
            <w:r>
              <w:t>确保保密机要工作顺利开展</w:t>
            </w:r>
          </w:p>
        </w:tc>
        <w:tc>
          <w:tcPr>
            <w:tcW w:w="2551" w:type="dxa"/>
            <w:vAlign w:val="center"/>
          </w:tcPr>
          <w:p>
            <w:pPr>
              <w:pStyle w:val="14"/>
            </w:pPr>
            <w:r>
              <w:t>100%</w:t>
            </w:r>
          </w:p>
        </w:tc>
        <w:tc>
          <w:tcPr>
            <w:tcW w:w="2268" w:type="dxa"/>
            <w:vAlign w:val="center"/>
          </w:tcPr>
          <w:p>
            <w:pPr>
              <w:pStyle w:val="14"/>
            </w:pPr>
            <w:r>
              <w:t>冀办字【2014】42号、《河北省省以下密码通信主渠道网络维护管理细则》《国家密码管理局省市县党政密码通信主渠道基础设施技术要求和运维规范》、冀专通【2021】24号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机要工作事故率</w:t>
            </w:r>
          </w:p>
          <w:p>
            <w:pPr>
              <w:pStyle w:val="14"/>
            </w:pPr>
          </w:p>
        </w:tc>
        <w:tc>
          <w:tcPr>
            <w:tcW w:w="2835" w:type="dxa"/>
            <w:vAlign w:val="center"/>
          </w:tcPr>
          <w:p>
            <w:pPr>
              <w:pStyle w:val="14"/>
            </w:pPr>
            <w:r>
              <w:t>确保保密机要工作符合规范不出事故</w:t>
            </w:r>
          </w:p>
          <w:p>
            <w:pPr>
              <w:pStyle w:val="14"/>
            </w:pPr>
          </w:p>
        </w:tc>
        <w:tc>
          <w:tcPr>
            <w:tcW w:w="2551" w:type="dxa"/>
            <w:vAlign w:val="center"/>
          </w:tcPr>
          <w:p>
            <w:pPr>
              <w:pStyle w:val="14"/>
            </w:pPr>
            <w:r>
              <w:t>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p>
            <w:pPr>
              <w:pStyle w:val="14"/>
            </w:pPr>
          </w:p>
        </w:tc>
        <w:tc>
          <w:tcPr>
            <w:tcW w:w="2835" w:type="dxa"/>
            <w:vAlign w:val="center"/>
          </w:tcPr>
          <w:p>
            <w:pPr>
              <w:pStyle w:val="14"/>
            </w:pPr>
            <w:r>
              <w:t>网络及工程施工合格率</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工程完成及时性</w:t>
            </w:r>
          </w:p>
        </w:tc>
        <w:tc>
          <w:tcPr>
            <w:tcW w:w="2835" w:type="dxa"/>
            <w:vAlign w:val="center"/>
          </w:tcPr>
          <w:p>
            <w:pPr>
              <w:pStyle w:val="14"/>
            </w:pPr>
            <w:r>
              <w:t>按照计划时间完成网络及涉密会议室建设任务</w:t>
            </w:r>
          </w:p>
          <w:p>
            <w:pPr>
              <w:pStyle w:val="14"/>
            </w:pP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机要工作按时完成率</w:t>
            </w:r>
          </w:p>
          <w:p>
            <w:pPr>
              <w:pStyle w:val="14"/>
            </w:pPr>
          </w:p>
        </w:tc>
        <w:tc>
          <w:tcPr>
            <w:tcW w:w="2835" w:type="dxa"/>
            <w:vAlign w:val="center"/>
          </w:tcPr>
          <w:p>
            <w:pPr>
              <w:pStyle w:val="14"/>
            </w:pPr>
            <w:r>
              <w:t>网络设施正常运行确保机要工作及时完成</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15万元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机要工作水平持续提升</w:t>
            </w:r>
          </w:p>
          <w:p>
            <w:pPr>
              <w:pStyle w:val="14"/>
            </w:pPr>
          </w:p>
        </w:tc>
        <w:tc>
          <w:tcPr>
            <w:tcW w:w="2835" w:type="dxa"/>
            <w:vAlign w:val="center"/>
          </w:tcPr>
          <w:p>
            <w:pPr>
              <w:pStyle w:val="14"/>
            </w:pPr>
            <w:r>
              <w:t>保证全区机要工作水平持续提升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提升机要工作保障能力</w:t>
            </w:r>
          </w:p>
          <w:p>
            <w:pPr>
              <w:pStyle w:val="14"/>
            </w:pPr>
          </w:p>
        </w:tc>
        <w:tc>
          <w:tcPr>
            <w:tcW w:w="2835" w:type="dxa"/>
            <w:vAlign w:val="center"/>
          </w:tcPr>
          <w:p>
            <w:pPr>
              <w:pStyle w:val="14"/>
            </w:pPr>
            <w:r>
              <w:t>保密机要工作顺利开展，提升机要工作保障能力</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领导满意度</w:t>
            </w:r>
          </w:p>
          <w:p>
            <w:pPr>
              <w:pStyle w:val="14"/>
            </w:pPr>
          </w:p>
        </w:tc>
        <w:tc>
          <w:tcPr>
            <w:tcW w:w="2835" w:type="dxa"/>
            <w:vAlign w:val="center"/>
          </w:tcPr>
          <w:p>
            <w:pPr>
              <w:pStyle w:val="14"/>
            </w:pPr>
            <w:r>
              <w:t>领导对机要工作的满意程度</w:t>
            </w:r>
          </w:p>
          <w:p>
            <w:pPr>
              <w:pStyle w:val="14"/>
            </w:pPr>
          </w:p>
        </w:tc>
        <w:tc>
          <w:tcPr>
            <w:tcW w:w="2551" w:type="dxa"/>
            <w:vAlign w:val="center"/>
          </w:tcPr>
          <w:p>
            <w:pPr>
              <w:pStyle w:val="14"/>
            </w:pPr>
            <w:r>
              <w:t>100%</w:t>
            </w:r>
          </w:p>
        </w:tc>
        <w:tc>
          <w:tcPr>
            <w:tcW w:w="2268" w:type="dxa"/>
            <w:vAlign w:val="center"/>
          </w:tcPr>
          <w:p>
            <w:pPr>
              <w:pStyle w:val="14"/>
            </w:pPr>
            <w:r>
              <w:t>实际调查</w:t>
            </w: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6、信息化中心专项经费绩效目标表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1.通过开展公务内网运维工作，保障全区57个内网节点单位网络畅通。</w:t>
            </w:r>
          </w:p>
          <w:p>
            <w:pPr>
              <w:pStyle w:val="14"/>
            </w:pPr>
            <w:r>
              <w:t>2.通过开展内网服务器运维工作，保障区公务内网服务器和应用完好运行。</w:t>
            </w:r>
          </w:p>
          <w:p>
            <w:pPr>
              <w:pStyle w:val="14"/>
            </w:pPr>
            <w:r>
              <w:t>3.通过开展日常巡检工作，确保区委信息化工作中的应用更新和硬件维护。</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网络平稳运行保障率</w:t>
            </w:r>
          </w:p>
        </w:tc>
        <w:tc>
          <w:tcPr>
            <w:tcW w:w="2835" w:type="dxa"/>
            <w:vAlign w:val="center"/>
          </w:tcPr>
          <w:p>
            <w:pPr>
              <w:pStyle w:val="14"/>
            </w:pPr>
            <w:r>
              <w:t>保障全区网络建设完好情况</w:t>
            </w:r>
          </w:p>
          <w:p>
            <w:pPr>
              <w:pStyle w:val="14"/>
            </w:pPr>
          </w:p>
        </w:tc>
        <w:tc>
          <w:tcPr>
            <w:tcW w:w="2551" w:type="dxa"/>
            <w:vAlign w:val="center"/>
          </w:tcPr>
          <w:p>
            <w:pPr>
              <w:pStyle w:val="14"/>
            </w:pPr>
            <w:r>
              <w:t>100%</w:t>
            </w:r>
          </w:p>
        </w:tc>
        <w:tc>
          <w:tcPr>
            <w:tcW w:w="2268" w:type="dxa"/>
            <w:vAlign w:val="center"/>
          </w:tcPr>
          <w:p>
            <w:pPr>
              <w:pStyle w:val="14"/>
            </w:pPr>
            <w:r>
              <w:t>中共河北省委保密机要局关于做好网络建设</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网络通畅节点数量</w:t>
            </w:r>
          </w:p>
          <w:p>
            <w:pPr>
              <w:pStyle w:val="14"/>
            </w:pPr>
          </w:p>
        </w:tc>
        <w:tc>
          <w:tcPr>
            <w:tcW w:w="2835" w:type="dxa"/>
            <w:vAlign w:val="center"/>
          </w:tcPr>
          <w:p>
            <w:pPr>
              <w:pStyle w:val="14"/>
            </w:pPr>
            <w:r>
              <w:t>保障全区网络通畅的节点数量</w:t>
            </w:r>
          </w:p>
          <w:p>
            <w:pPr>
              <w:pStyle w:val="14"/>
            </w:pPr>
          </w:p>
        </w:tc>
        <w:tc>
          <w:tcPr>
            <w:tcW w:w="2551" w:type="dxa"/>
            <w:vAlign w:val="center"/>
          </w:tcPr>
          <w:p>
            <w:pPr>
              <w:pStyle w:val="14"/>
            </w:pPr>
            <w:r>
              <w:t>57个</w:t>
            </w:r>
          </w:p>
        </w:tc>
        <w:tc>
          <w:tcPr>
            <w:tcW w:w="2268" w:type="dxa"/>
            <w:vAlign w:val="center"/>
          </w:tcPr>
          <w:p>
            <w:pPr>
              <w:pStyle w:val="14"/>
            </w:pPr>
            <w:r>
              <w:t>中共河北省委保密机要局关于做好网络建设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网络运行稳定性</w:t>
            </w:r>
          </w:p>
          <w:p>
            <w:pPr>
              <w:pStyle w:val="14"/>
            </w:pPr>
          </w:p>
        </w:tc>
        <w:tc>
          <w:tcPr>
            <w:tcW w:w="2835" w:type="dxa"/>
            <w:vAlign w:val="center"/>
          </w:tcPr>
          <w:p>
            <w:pPr>
              <w:pStyle w:val="14"/>
            </w:pPr>
            <w:r>
              <w:t>保障网络平稳运行</w:t>
            </w:r>
          </w:p>
          <w:p>
            <w:pPr>
              <w:pStyle w:val="14"/>
            </w:pPr>
          </w:p>
        </w:tc>
        <w:tc>
          <w:tcPr>
            <w:tcW w:w="2551" w:type="dxa"/>
            <w:vAlign w:val="center"/>
          </w:tcPr>
          <w:p>
            <w:pPr>
              <w:pStyle w:val="14"/>
            </w:pPr>
            <w:r>
              <w:t>100%</w:t>
            </w:r>
          </w:p>
        </w:tc>
        <w:tc>
          <w:tcPr>
            <w:tcW w:w="2268" w:type="dxa"/>
            <w:vAlign w:val="center"/>
          </w:tcPr>
          <w:p>
            <w:pPr>
              <w:pStyle w:val="14"/>
            </w:pPr>
            <w:r>
              <w:t>中共河北省委保密机要局关于做好网络建设</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公文交换安全准确率</w:t>
            </w:r>
          </w:p>
          <w:p>
            <w:pPr>
              <w:pStyle w:val="14"/>
            </w:pPr>
          </w:p>
        </w:tc>
        <w:tc>
          <w:tcPr>
            <w:tcW w:w="2835" w:type="dxa"/>
            <w:vAlign w:val="center"/>
          </w:tcPr>
          <w:p>
            <w:pPr>
              <w:pStyle w:val="14"/>
            </w:pPr>
            <w:r>
              <w:t>确保公文交换工作安全准确开展</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公文交换工作及时性</w:t>
            </w:r>
          </w:p>
          <w:p>
            <w:pPr>
              <w:pStyle w:val="14"/>
            </w:pPr>
          </w:p>
        </w:tc>
        <w:tc>
          <w:tcPr>
            <w:tcW w:w="2835" w:type="dxa"/>
            <w:vAlign w:val="center"/>
          </w:tcPr>
          <w:p>
            <w:pPr>
              <w:pStyle w:val="14"/>
            </w:pPr>
            <w:r>
              <w:t>按照公文管理时限要求完成公文交换工作</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网络维护及时性</w:t>
            </w:r>
          </w:p>
          <w:p>
            <w:pPr>
              <w:pStyle w:val="14"/>
            </w:pPr>
          </w:p>
        </w:tc>
        <w:tc>
          <w:tcPr>
            <w:tcW w:w="2835" w:type="dxa"/>
            <w:vAlign w:val="center"/>
          </w:tcPr>
          <w:p>
            <w:pPr>
              <w:pStyle w:val="14"/>
            </w:pPr>
            <w:r>
              <w:t>按照要求及时完成网络运行维护</w:t>
            </w:r>
          </w:p>
          <w:p>
            <w:pPr>
              <w:pStyle w:val="14"/>
            </w:pPr>
          </w:p>
        </w:tc>
        <w:tc>
          <w:tcPr>
            <w:tcW w:w="2551" w:type="dxa"/>
            <w:vAlign w:val="center"/>
          </w:tcPr>
          <w:p>
            <w:pPr>
              <w:pStyle w:val="14"/>
            </w:pPr>
            <w:r>
              <w:t>100%</w:t>
            </w:r>
          </w:p>
        </w:tc>
        <w:tc>
          <w:tcPr>
            <w:tcW w:w="2268" w:type="dxa"/>
            <w:vAlign w:val="center"/>
          </w:tcPr>
          <w:p>
            <w:pPr>
              <w:pStyle w:val="14"/>
            </w:pPr>
            <w:r>
              <w:t>服务合同/年度工作计划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按合同约定及预算额合理控制费用支出</w:t>
            </w:r>
          </w:p>
          <w:p>
            <w:pPr>
              <w:pStyle w:val="14"/>
            </w:pPr>
          </w:p>
        </w:tc>
        <w:tc>
          <w:tcPr>
            <w:tcW w:w="2551" w:type="dxa"/>
            <w:vAlign w:val="center"/>
          </w:tcPr>
          <w:p>
            <w:pPr>
              <w:pStyle w:val="14"/>
            </w:pPr>
            <w:r>
              <w:t>≤40万元</w:t>
            </w:r>
          </w:p>
        </w:tc>
        <w:tc>
          <w:tcPr>
            <w:tcW w:w="2268" w:type="dxa"/>
            <w:vAlign w:val="center"/>
          </w:tcPr>
          <w:p>
            <w:pPr>
              <w:pStyle w:val="14"/>
            </w:pPr>
            <w:r>
              <w:t>服务合同/年度预算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政府履职效能提升</w:t>
            </w:r>
          </w:p>
          <w:p>
            <w:pPr>
              <w:pStyle w:val="14"/>
            </w:pPr>
          </w:p>
        </w:tc>
        <w:tc>
          <w:tcPr>
            <w:tcW w:w="2835" w:type="dxa"/>
            <w:vAlign w:val="center"/>
          </w:tcPr>
          <w:p>
            <w:pPr>
              <w:pStyle w:val="14"/>
            </w:pPr>
            <w:r>
              <w:t>提高工作效率，保障工作顺利开展</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促进政务数字化建设</w:t>
            </w:r>
          </w:p>
          <w:p>
            <w:pPr>
              <w:pStyle w:val="14"/>
            </w:pPr>
          </w:p>
        </w:tc>
        <w:tc>
          <w:tcPr>
            <w:tcW w:w="2835" w:type="dxa"/>
            <w:vAlign w:val="center"/>
          </w:tcPr>
          <w:p>
            <w:pPr>
              <w:pStyle w:val="14"/>
            </w:pPr>
            <w:r>
              <w:t>服务全区联网单位收发公文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使用单位满意度</w:t>
            </w:r>
          </w:p>
          <w:p>
            <w:pPr>
              <w:pStyle w:val="14"/>
            </w:pPr>
          </w:p>
        </w:tc>
        <w:tc>
          <w:tcPr>
            <w:tcW w:w="2835" w:type="dxa"/>
            <w:vAlign w:val="center"/>
          </w:tcPr>
          <w:p>
            <w:pPr>
              <w:pStyle w:val="14"/>
            </w:pPr>
            <w:r>
              <w:t>各单位对公文交换系统网络运行满意程度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7、重点工作经费绩效目标表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重点工作完成率</w:t>
            </w:r>
          </w:p>
          <w:p>
            <w:pPr>
              <w:pStyle w:val="14"/>
            </w:pPr>
          </w:p>
        </w:tc>
        <w:tc>
          <w:tcPr>
            <w:tcW w:w="2835" w:type="dxa"/>
            <w:vAlign w:val="center"/>
          </w:tcPr>
          <w:p>
            <w:pPr>
              <w:pStyle w:val="14"/>
            </w:pPr>
            <w:r>
              <w:t>接待、会务培训、办公耗材采购、各项慰问完成情况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重点工作效果达标率</w:t>
            </w:r>
          </w:p>
          <w:p>
            <w:pPr>
              <w:pStyle w:val="14"/>
            </w:pPr>
          </w:p>
        </w:tc>
        <w:tc>
          <w:tcPr>
            <w:tcW w:w="2835" w:type="dxa"/>
            <w:vAlign w:val="center"/>
          </w:tcPr>
          <w:p>
            <w:pPr>
              <w:pStyle w:val="14"/>
            </w:pPr>
            <w:r>
              <w:t>接待、会务培训、办公耗材采购、各项慰问完成的质量达标情况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重点工作完成及时性</w:t>
            </w:r>
          </w:p>
          <w:p>
            <w:pPr>
              <w:pStyle w:val="14"/>
            </w:pPr>
          </w:p>
        </w:tc>
        <w:tc>
          <w:tcPr>
            <w:tcW w:w="2835" w:type="dxa"/>
            <w:vAlign w:val="center"/>
          </w:tcPr>
          <w:p>
            <w:pPr>
              <w:pStyle w:val="14"/>
            </w:pPr>
            <w:r>
              <w:t>按照计划时间安排完成各项重点工作</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40万元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工作人员能力持续提升</w:t>
            </w:r>
          </w:p>
          <w:p>
            <w:pPr>
              <w:pStyle w:val="14"/>
            </w:pPr>
          </w:p>
        </w:tc>
        <w:tc>
          <w:tcPr>
            <w:tcW w:w="2835" w:type="dxa"/>
            <w:vAlign w:val="center"/>
          </w:tcPr>
          <w:p>
            <w:pPr>
              <w:pStyle w:val="14"/>
            </w:pPr>
            <w:r>
              <w:t>促进工作人员能力持续提升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机关工作效能提升</w:t>
            </w:r>
          </w:p>
          <w:p>
            <w:pPr>
              <w:pStyle w:val="14"/>
            </w:pPr>
          </w:p>
        </w:tc>
        <w:tc>
          <w:tcPr>
            <w:tcW w:w="2835" w:type="dxa"/>
            <w:vAlign w:val="center"/>
          </w:tcPr>
          <w:p>
            <w:pPr>
              <w:pStyle w:val="14"/>
            </w:pPr>
            <w:r>
              <w:t>提升政府机关工作效能，促进政府形象提升</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p>
            <w:pPr>
              <w:pStyle w:val="14"/>
            </w:pPr>
          </w:p>
        </w:tc>
        <w:tc>
          <w:tcPr>
            <w:tcW w:w="2835" w:type="dxa"/>
            <w:vAlign w:val="center"/>
          </w:tcPr>
          <w:p>
            <w:pPr>
              <w:pStyle w:val="14"/>
            </w:pPr>
            <w:r>
              <w:t>工作人员对工作保障的满意程度</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ind w:firstLine="560"/>
      </w:pPr>
      <w:r>
        <w:rPr>
          <w:rFonts w:ascii="方正仿宋_GBK" w:hAnsi="方正仿宋_GBK" w:eastAsia="方正仿宋_GBK" w:cs="方正仿宋_GBK"/>
          <w:b/>
          <w:color w:val="000000"/>
          <w:sz w:val="28"/>
        </w:rPr>
        <w:t>8、资料印刷制作费绩效目标表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1.完成会议纪要，资料，宣传册，涉密文件等的印刷，保障工作有序开展。</w:t>
            </w:r>
            <w:r>
              <w:tab/>
            </w:r>
            <w:r>
              <w:tab/>
            </w:r>
            <w:r>
              <w:tab/>
            </w:r>
            <w:r>
              <w:tab/>
            </w:r>
            <w:r>
              <w:tab/>
            </w:r>
          </w:p>
          <w:p>
            <w:pPr>
              <w:pStyle w:val="14"/>
            </w:pPr>
            <w:r>
              <w:t>2.完成各类展板广告制作及宣传推广工作，扩大宣传力度提升政府形象。</w:t>
            </w:r>
          </w:p>
        </w:tc>
      </w:tr>
    </w:tbl>
    <w:p>
      <w:pPr>
        <w:spacing w:beforeAutospacing="0" w:afterAutospacing="0"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文稿印刷完成率</w:t>
            </w:r>
          </w:p>
          <w:p>
            <w:pPr>
              <w:pStyle w:val="14"/>
            </w:pPr>
          </w:p>
        </w:tc>
        <w:tc>
          <w:tcPr>
            <w:tcW w:w="2835" w:type="dxa"/>
            <w:vAlign w:val="center"/>
          </w:tcPr>
          <w:p>
            <w:pPr>
              <w:pStyle w:val="14"/>
            </w:pPr>
            <w:r>
              <w:t>印刷各类文稿的完成情况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印刷品合格率</w:t>
            </w:r>
          </w:p>
          <w:p>
            <w:pPr>
              <w:pStyle w:val="14"/>
            </w:pPr>
          </w:p>
        </w:tc>
        <w:tc>
          <w:tcPr>
            <w:tcW w:w="2835" w:type="dxa"/>
            <w:vAlign w:val="center"/>
          </w:tcPr>
          <w:p>
            <w:pPr>
              <w:pStyle w:val="14"/>
            </w:pPr>
            <w:r>
              <w:t>印刷品质量合格情况</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资料印刷及时性</w:t>
            </w:r>
          </w:p>
          <w:p>
            <w:pPr>
              <w:pStyle w:val="14"/>
            </w:pPr>
          </w:p>
        </w:tc>
        <w:tc>
          <w:tcPr>
            <w:tcW w:w="2835" w:type="dxa"/>
            <w:vAlign w:val="center"/>
          </w:tcPr>
          <w:p>
            <w:pPr>
              <w:pStyle w:val="14"/>
            </w:pPr>
            <w:r>
              <w:t>按照计划完成各类资料印刷，保障使用</w:t>
            </w:r>
          </w:p>
          <w:p>
            <w:pPr>
              <w:pStyle w:val="14"/>
            </w:pPr>
          </w:p>
        </w:tc>
        <w:tc>
          <w:tcPr>
            <w:tcW w:w="2551" w:type="dxa"/>
            <w:vAlign w:val="center"/>
          </w:tcPr>
          <w:p>
            <w:pPr>
              <w:pStyle w:val="14"/>
            </w:pPr>
            <w:r>
              <w:t>100%</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费用支出控制数</w:t>
            </w:r>
          </w:p>
          <w:p>
            <w:pPr>
              <w:pStyle w:val="14"/>
            </w:pPr>
          </w:p>
        </w:tc>
        <w:tc>
          <w:tcPr>
            <w:tcW w:w="2835" w:type="dxa"/>
            <w:vAlign w:val="center"/>
          </w:tcPr>
          <w:p>
            <w:pPr>
              <w:pStyle w:val="14"/>
            </w:pPr>
            <w:r>
              <w:t>按照计划及预算合理控制费用支出</w:t>
            </w:r>
          </w:p>
          <w:p>
            <w:pPr>
              <w:pStyle w:val="14"/>
            </w:pPr>
          </w:p>
        </w:tc>
        <w:tc>
          <w:tcPr>
            <w:tcW w:w="2551" w:type="dxa"/>
            <w:vAlign w:val="center"/>
          </w:tcPr>
          <w:p>
            <w:pPr>
              <w:pStyle w:val="14"/>
            </w:pPr>
            <w:r>
              <w:t>20万元</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提高海港区对外形象</w:t>
            </w:r>
          </w:p>
          <w:p>
            <w:pPr>
              <w:pStyle w:val="14"/>
            </w:pPr>
          </w:p>
        </w:tc>
        <w:tc>
          <w:tcPr>
            <w:tcW w:w="2835" w:type="dxa"/>
            <w:vAlign w:val="center"/>
          </w:tcPr>
          <w:p>
            <w:pPr>
              <w:pStyle w:val="14"/>
            </w:pPr>
            <w:r>
              <w:t>提高海港区宣传力度，具有持续性</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提高政府公信力</w:t>
            </w:r>
          </w:p>
          <w:p>
            <w:pPr>
              <w:pStyle w:val="14"/>
            </w:pPr>
          </w:p>
        </w:tc>
        <w:tc>
          <w:tcPr>
            <w:tcW w:w="2835" w:type="dxa"/>
            <w:vAlign w:val="center"/>
          </w:tcPr>
          <w:p>
            <w:pPr>
              <w:pStyle w:val="14"/>
            </w:pPr>
            <w:r>
              <w:t>提高工作效率，保障工作顺利开展，提高政府公信力</w:t>
            </w:r>
          </w:p>
          <w:p>
            <w:pPr>
              <w:pStyle w:val="14"/>
            </w:pPr>
          </w:p>
        </w:tc>
        <w:tc>
          <w:tcPr>
            <w:tcW w:w="2551" w:type="dxa"/>
            <w:vAlign w:val="center"/>
          </w:tcPr>
          <w:p>
            <w:pPr>
              <w:pStyle w:val="14"/>
            </w:pPr>
            <w:r>
              <w:t>效果明显</w:t>
            </w:r>
          </w:p>
        </w:tc>
        <w:tc>
          <w:tcPr>
            <w:tcW w:w="2268"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p>
            <w:pPr>
              <w:pStyle w:val="14"/>
            </w:pPr>
          </w:p>
        </w:tc>
        <w:tc>
          <w:tcPr>
            <w:tcW w:w="2835" w:type="dxa"/>
            <w:vAlign w:val="center"/>
          </w:tcPr>
          <w:p>
            <w:pPr>
              <w:pStyle w:val="14"/>
            </w:pPr>
            <w:r>
              <w:t>服务对象满意度</w:t>
            </w:r>
          </w:p>
          <w:p>
            <w:pPr>
              <w:pStyle w:val="14"/>
            </w:pPr>
          </w:p>
        </w:tc>
        <w:tc>
          <w:tcPr>
            <w:tcW w:w="2551" w:type="dxa"/>
            <w:vAlign w:val="center"/>
          </w:tcPr>
          <w:p>
            <w:pPr>
              <w:pStyle w:val="14"/>
            </w:pPr>
            <w:r>
              <w:t>≥95%</w:t>
            </w:r>
          </w:p>
        </w:tc>
        <w:tc>
          <w:tcPr>
            <w:tcW w:w="2268" w:type="dxa"/>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0" w:charSpace="0"/>
        </w:sectPr>
      </w:pPr>
    </w:p>
    <w:p>
      <w:pPr>
        <w:spacing w:before="10" w:beforeAutospacing="0" w:after="10" w:afterAutospacing="0"/>
        <w:ind w:firstLine="640"/>
        <w:outlineLvl w:val="5"/>
      </w:pPr>
      <w:r>
        <w:rPr>
          <w:rFonts w:ascii="黑体" w:hAnsi="黑体" w:eastAsia="黑体" w:cs="黑体"/>
          <w:color w:val="000000"/>
          <w:sz w:val="32"/>
        </w:rPr>
        <w:t>六、政府采购预算情况</w:t>
      </w:r>
    </w:p>
    <w:p>
      <w:pPr>
        <w:spacing w:beforeAutospacing="0" w:afterAutospacing="0" w:line="500" w:lineRule="exact"/>
        <w:ind w:firstLine="560"/>
      </w:pPr>
      <w:r>
        <w:rPr>
          <w:rFonts w:eastAsia="方正仿宋_GBK"/>
          <w:color w:val="000000"/>
          <w:sz w:val="28"/>
        </w:rPr>
        <w:t>2023年，中共秦皇岛市海港区委办公室本级安排政府采购预算0.00万元。具体内容见下表。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Autospacing="0" w:afterAutospacing="0"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beforeAutospacing="0" w:after="10" w:afterAutospacing="0"/>
        <w:ind w:firstLine="640"/>
        <w:outlineLvl w:val="5"/>
      </w:pPr>
      <w:r>
        <w:rPr>
          <w:rFonts w:ascii="黑体" w:hAnsi="黑体" w:eastAsia="黑体" w:cs="黑体"/>
          <w:color w:val="000000"/>
          <w:sz w:val="32"/>
        </w:rPr>
        <w:t>七、国有资产信息</w:t>
      </w:r>
    </w:p>
    <w:p>
      <w:pPr>
        <w:spacing w:beforeAutospacing="0" w:afterAutospacing="0" w:line="500" w:lineRule="exact"/>
        <w:ind w:firstLine="560"/>
      </w:pPr>
      <w:r>
        <w:rPr>
          <w:rFonts w:eastAsia="方正仿宋_GBK"/>
          <w:color w:val="000000"/>
          <w:sz w:val="28"/>
        </w:rPr>
        <w:t>中共秦皇岛市海港区委办公室本级上年末固定资产金额为</w:t>
      </w:r>
      <w:r>
        <w:rPr>
          <w:rFonts w:hint="eastAsia" w:eastAsia="方正仿宋_GBK"/>
          <w:color w:val="000000"/>
          <w:sz w:val="28"/>
          <w:lang w:eastAsia="zh-CN"/>
        </w:rPr>
        <w:t>538.66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201001中共秦皇岛市海港区委办公室本级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ind w:firstLine="1680" w:firstLineChars="700"/>
              <w:rPr>
                <w:rFonts w:ascii="宋体" w:hAnsi="宋体" w:eastAsia="宋体" w:cs="宋体"/>
              </w:rPr>
            </w:pPr>
            <w:r>
              <w:rPr>
                <w:rFonts w:hint="eastAsia" w:ascii="宋体" w:hAnsi="宋体" w:eastAsia="宋体" w:cs="宋体"/>
              </w:rPr>
              <w:t>房屋及附属设备</w:t>
            </w:r>
          </w:p>
        </w:tc>
        <w:tc>
          <w:tcPr>
            <w:tcW w:w="2835" w:type="dxa"/>
          </w:tcPr>
          <w:p>
            <w:pPr>
              <w:jc w:val="right"/>
            </w:pPr>
            <w:r>
              <w:rPr>
                <w:rFonts w:hint="eastAsia"/>
              </w:rPr>
              <w:t>1</w:t>
            </w:r>
          </w:p>
        </w:tc>
        <w:tc>
          <w:tcPr>
            <w:tcW w:w="2835" w:type="dxa"/>
          </w:tcPr>
          <w:p>
            <w:pPr>
              <w:jc w:val="right"/>
            </w:pPr>
            <w:r>
              <w:rPr>
                <w:rFonts w:hint="eastAsi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通用设备</w:t>
            </w:r>
            <w:r>
              <w:t>(</w:t>
            </w:r>
            <w:r>
              <w:rPr>
                <w:rFonts w:hint="eastAsia" w:ascii="宋体" w:hAnsi="宋体" w:eastAsia="宋体" w:cs="宋体"/>
              </w:rPr>
              <w:t>个、台、辆等</w:t>
            </w:r>
            <w:r>
              <w:t>)</w:t>
            </w:r>
          </w:p>
        </w:tc>
        <w:tc>
          <w:tcPr>
            <w:tcW w:w="2835" w:type="dxa"/>
          </w:tcPr>
          <w:p>
            <w:pPr>
              <w:jc w:val="right"/>
            </w:pPr>
            <w:r>
              <w:t>368</w:t>
            </w:r>
          </w:p>
        </w:tc>
        <w:tc>
          <w:tcPr>
            <w:tcW w:w="2835" w:type="dxa"/>
          </w:tcPr>
          <w:p>
            <w:pPr>
              <w:jc w:val="right"/>
            </w:pPr>
            <w:r>
              <w:t xml:space="preserve">526.40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其中：车辆（辆）</w:t>
            </w:r>
          </w:p>
        </w:tc>
        <w:tc>
          <w:tcPr>
            <w:tcW w:w="2835" w:type="dxa"/>
          </w:tcPr>
          <w:p>
            <w:pPr>
              <w:jc w:val="right"/>
            </w:pPr>
            <w:r>
              <w:t>11</w:t>
            </w:r>
          </w:p>
        </w:tc>
        <w:tc>
          <w:tcPr>
            <w:tcW w:w="2835" w:type="dxa"/>
          </w:tcPr>
          <w:p>
            <w:pPr>
              <w:jc w:val="right"/>
            </w:pPr>
            <w:r>
              <w:t xml:space="preserve">208.48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专用设备</w:t>
            </w:r>
            <w:r>
              <w:t>(</w:t>
            </w:r>
            <w:r>
              <w:rPr>
                <w:rFonts w:hint="eastAsia" w:ascii="宋体" w:hAnsi="宋体" w:eastAsia="宋体" w:cs="宋体"/>
              </w:rPr>
              <w:t>个、台等</w:t>
            </w:r>
            <w:r>
              <w:t>)</w:t>
            </w:r>
          </w:p>
        </w:tc>
        <w:tc>
          <w:tcPr>
            <w:tcW w:w="2835" w:type="dxa"/>
          </w:tcPr>
          <w:p>
            <w:pPr>
              <w:jc w:val="right"/>
            </w:pPr>
            <w:r>
              <w:t>2</w:t>
            </w:r>
          </w:p>
        </w:tc>
        <w:tc>
          <w:tcPr>
            <w:tcW w:w="2835" w:type="dxa"/>
          </w:tcPr>
          <w:p>
            <w:pPr>
              <w:jc w:val="right"/>
            </w:pPr>
            <w:r>
              <w:t xml:space="preserve">1.30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图书、档案</w:t>
            </w:r>
            <w:r>
              <w:t>(</w:t>
            </w:r>
            <w:r>
              <w:rPr>
                <w:rFonts w:hint="eastAsia" w:ascii="宋体" w:hAnsi="宋体" w:eastAsia="宋体" w:cs="宋体"/>
              </w:rPr>
              <w:t>本、套等</w:t>
            </w:r>
            <w:r>
              <w:t>)</w:t>
            </w:r>
          </w:p>
        </w:tc>
        <w:tc>
          <w:tcPr>
            <w:tcW w:w="2835" w:type="dxa"/>
          </w:tcPr>
          <w:p>
            <w:pPr>
              <w:jc w:val="right"/>
            </w:pPr>
            <w:r>
              <w:t>66</w:t>
            </w:r>
          </w:p>
        </w:tc>
        <w:tc>
          <w:tcPr>
            <w:tcW w:w="2835" w:type="dxa"/>
          </w:tcPr>
          <w:p>
            <w:pPr>
              <w:jc w:val="right"/>
            </w:pPr>
            <w:r>
              <w:t xml:space="preserve">1.73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　　　　　家具用具装具及动植物</w:t>
            </w:r>
            <w:r>
              <w:t>(</w:t>
            </w:r>
            <w:r>
              <w:rPr>
                <w:rFonts w:hint="eastAsia" w:ascii="宋体" w:hAnsi="宋体" w:eastAsia="宋体" w:cs="宋体"/>
              </w:rPr>
              <w:t>个、套等</w:t>
            </w:r>
            <w:r>
              <w:t>)</w:t>
            </w:r>
          </w:p>
        </w:tc>
        <w:tc>
          <w:tcPr>
            <w:tcW w:w="2835" w:type="dxa"/>
          </w:tcPr>
          <w:p>
            <w:pPr>
              <w:jc w:val="right"/>
            </w:pPr>
            <w:r>
              <w:t>81</w:t>
            </w:r>
          </w:p>
        </w:tc>
        <w:tc>
          <w:tcPr>
            <w:tcW w:w="2835" w:type="dxa"/>
          </w:tcPr>
          <w:p>
            <w:pPr>
              <w:jc w:val="right"/>
            </w:pPr>
            <w:r>
              <w:t xml:space="preserve">8.39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r>
              <w:rPr>
                <w:rFonts w:hint="eastAsia" w:ascii="宋体" w:hAnsi="宋体" w:eastAsia="宋体" w:cs="宋体"/>
              </w:rPr>
              <w:t>无形资产</w:t>
            </w:r>
            <w:r>
              <w:t>(</w:t>
            </w:r>
            <w:r>
              <w:rPr>
                <w:rFonts w:hint="eastAsia" w:ascii="宋体" w:hAnsi="宋体" w:eastAsia="宋体" w:cs="宋体"/>
              </w:rPr>
              <w:t>含土地、土地使用权</w:t>
            </w:r>
            <w:r>
              <w:t>)</w:t>
            </w:r>
          </w:p>
        </w:tc>
        <w:tc>
          <w:tcPr>
            <w:tcW w:w="2835" w:type="dxa"/>
          </w:tcPr>
          <w:p>
            <w:pPr>
              <w:jc w:val="right"/>
            </w:pPr>
            <w:r>
              <w:t>——</w:t>
            </w:r>
          </w:p>
        </w:tc>
        <w:tc>
          <w:tcPr>
            <w:tcW w:w="2835" w:type="dxa"/>
          </w:tcPr>
          <w:p>
            <w:pPr>
              <w:jc w:val="right"/>
            </w:pPr>
            <w:r>
              <w:t xml:space="preserve">0.48 </w:t>
            </w:r>
          </w:p>
        </w:tc>
      </w:tr>
    </w:tbl>
    <w:p>
      <w:pPr>
        <w:ind w:firstLine="640"/>
      </w:pPr>
    </w:p>
    <w:p>
      <w:pPr>
        <w:spacing w:before="10" w:beforeAutospacing="0" w:after="10" w:afterAutospacing="0"/>
        <w:ind w:firstLine="640"/>
        <w:outlineLvl w:val="5"/>
      </w:pPr>
      <w:r>
        <w:rPr>
          <w:rFonts w:ascii="黑体" w:hAnsi="黑体" w:eastAsia="黑体" w:cs="黑体"/>
          <w:color w:val="000000"/>
          <w:sz w:val="32"/>
        </w:rPr>
        <w:t>八、名词解释</w:t>
      </w:r>
    </w:p>
    <w:p>
      <w:pPr>
        <w:spacing w:beforeAutospacing="0" w:afterAutospacing="0"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beforeAutospacing="0" w:afterAutospacing="0"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beforeAutospacing="0" w:afterAutospacing="0"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beforeAutospacing="0" w:afterAutospacing="0"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beforeAutospacing="0" w:afterAutospacing="0"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beforeAutospacing="0" w:afterAutospacing="0"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beforeAutospacing="0" w:afterAutospacing="0"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区级</w:t>
      </w:r>
      <w:r>
        <w:rPr>
          <w:rFonts w:eastAsia="方正仿宋_GBK"/>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Autospacing="0" w:afterAutospacing="0"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Autospacing="0" w:afterAutospacing="0"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beforeAutospacing="0" w:afterAutospacing="0"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beforeAutospacing="0" w:after="10" w:afterAutospacing="0"/>
        <w:ind w:firstLine="640"/>
        <w:outlineLvl w:val="5"/>
      </w:pPr>
      <w:r>
        <w:rPr>
          <w:rFonts w:ascii="黑体" w:hAnsi="黑体" w:eastAsia="黑体" w:cs="黑体"/>
          <w:color w:val="000000"/>
          <w:sz w:val="32"/>
        </w:rPr>
        <w:t>九、其他需要说明的事项</w:t>
      </w:r>
    </w:p>
    <w:p>
      <w:pPr>
        <w:spacing w:beforeAutospacing="0" w:afterAutospacing="0"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4F"/>
    <w:rsid w:val="00192DAD"/>
    <w:rsid w:val="003D7A4F"/>
    <w:rsid w:val="005756E8"/>
    <w:rsid w:val="005B0A0E"/>
    <w:rsid w:val="006E65F3"/>
    <w:rsid w:val="006F05CC"/>
    <w:rsid w:val="00824C44"/>
    <w:rsid w:val="00963372"/>
    <w:rsid w:val="009D5CC6"/>
    <w:rsid w:val="00B1191F"/>
    <w:rsid w:val="00D262BB"/>
    <w:rsid w:val="00E07E2D"/>
    <w:rsid w:val="00E665D0"/>
    <w:rsid w:val="18EB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beforeAutospacing="0" w:afterAutospacing="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Autospacing="0" w:afterAutospacing="0"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beforeAutospacing="0" w:afterAutospacing="0"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beforeAutospacing="0" w:afterAutospacing="0"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beforeAutospacing="0" w:afterAutospacing="0" w:line="500" w:lineRule="exact"/>
      <w:ind w:firstLine="560"/>
    </w:pPr>
    <w:rPr>
      <w:rFonts w:eastAsia="方正仿宋_GBK"/>
      <w:sz w:val="28"/>
    </w:rPr>
  </w:style>
  <w:style w:type="paragraph" w:customStyle="1" w:styleId="23">
    <w:name w:val="插入文本样式-插入总体目标文件"/>
    <w:basedOn w:val="1"/>
    <w:qFormat/>
    <w:uiPriority w:val="0"/>
    <w:pPr>
      <w:spacing w:beforeAutospacing="0" w:afterAutospacing="0"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beforeAutospacing="0" w:afterAutospacing="0"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beforeAutospacing="0" w:afterAutospacing="0"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beforeAutospacing="0" w:afterAutospacing="0"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beforeAutospacing="0" w:afterAutospacing="0"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beforeAutospacing="0" w:afterAutospacing="0"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beforeAutospacing="0" w:afterAutospacing="0" w:line="500" w:lineRule="exact"/>
      <w:ind w:firstLine="560"/>
    </w:pPr>
    <w:rPr>
      <w:rFonts w:eastAsia="方正仿宋_GBK"/>
      <w:sz w:val="28"/>
    </w:rPr>
  </w:style>
  <w:style w:type="paragraph" w:customStyle="1" w:styleId="31">
    <w:name w:val="单元格样式221"/>
    <w:qFormat/>
    <w:uiPriority w:val="0"/>
    <w:pPr>
      <w:jc w:val="right"/>
    </w:pPr>
    <w:rPr>
      <w:rFonts w:ascii="方正小标宋_GBK" w:hAnsi="方正小标宋_GBK" w:eastAsia="方正小标宋_GBK" w:cs="方正小标宋_GBK"/>
      <w:lang w:val="en-US" w:eastAsia="zh-CN" w:bidi="ar-SA"/>
    </w:rPr>
  </w:style>
  <w:style w:type="paragraph" w:customStyle="1" w:styleId="32">
    <w:name w:val="单元格样式211"/>
    <w:qFormat/>
    <w:uiPriority w:val="0"/>
    <w:pPr>
      <w:jc w:val="center"/>
    </w:pPr>
    <w:rPr>
      <w:rFonts w:ascii="方正小标宋_GBK" w:hAnsi="方正小标宋_GBK" w:eastAsia="方正小标宋_GBK" w:cs="方正小标宋_GBK"/>
      <w:lang w:val="en-US" w:eastAsia="zh-CN" w:bidi="ar-SA"/>
    </w:rPr>
  </w:style>
  <w:style w:type="paragraph" w:customStyle="1" w:styleId="33">
    <w:name w:val="单元格样式201"/>
    <w:qFormat/>
    <w:uiPriority w:val="0"/>
    <w:rPr>
      <w:rFonts w:ascii="方正小标宋_GBK" w:hAnsi="方正小标宋_GBK" w:eastAsia="方正小标宋_GBK" w:cs="方正小标宋_GBK"/>
      <w:lang w:val="en-US" w:eastAsia="zh-CN" w:bidi="ar-SA"/>
    </w:rPr>
  </w:style>
  <w:style w:type="paragraph" w:customStyle="1" w:styleId="34">
    <w:name w:val="单元格样式11"/>
    <w:qFormat/>
    <w:uiPriority w:val="0"/>
    <w:pPr>
      <w:jc w:val="center"/>
    </w:pPr>
    <w:rPr>
      <w:rFonts w:ascii="方正书宋_GBK" w:hAnsi="方正书宋_GBK" w:eastAsia="方正书宋_GBK" w:cs="方正书宋_GBK"/>
      <w:b/>
      <w:sz w:val="21"/>
      <w:lang w:val="en-US" w:eastAsia="zh-CN" w:bidi="ar-SA"/>
    </w:rPr>
  </w:style>
  <w:style w:type="paragraph" w:customStyle="1" w:styleId="35">
    <w:name w:val="单元格样式41"/>
    <w:qFormat/>
    <w:uiPriority w:val="0"/>
    <w:pPr>
      <w:jc w:val="right"/>
    </w:pPr>
    <w:rPr>
      <w:rFonts w:ascii="方正书宋_GBK" w:hAnsi="方正书宋_GBK" w:eastAsia="方正书宋_GBK" w:cs="方正书宋_GBK"/>
      <w:sz w:val="21"/>
      <w:lang w:val="en-US" w:eastAsia="zh-CN" w:bidi="ar-SA"/>
    </w:rPr>
  </w:style>
  <w:style w:type="paragraph" w:customStyle="1" w:styleId="36">
    <w:name w:val="单元格样式24"/>
    <w:qFormat/>
    <w:uiPriority w:val="0"/>
    <w:rPr>
      <w:rFonts w:ascii="方正书宋_GBK" w:hAnsi="方正书宋_GBK" w:eastAsia="方正书宋_GBK" w:cs="方正书宋_GBK"/>
      <w:sz w:val="21"/>
      <w:lang w:val="en-US" w:eastAsia="zh-CN" w:bidi="ar-SA"/>
    </w:rPr>
  </w:style>
  <w:style w:type="paragraph" w:customStyle="1" w:styleId="37">
    <w:name w:val="单元格样式31"/>
    <w:qFormat/>
    <w:uiPriority w:val="0"/>
    <w:pPr>
      <w:jc w:val="center"/>
    </w:pPr>
    <w:rPr>
      <w:rFonts w:ascii="方正书宋_GBK" w:hAnsi="方正书宋_GBK" w:eastAsia="方正书宋_GBK" w:cs="方正书宋_GBK"/>
      <w:sz w:val="21"/>
      <w:lang w:val="en-US" w:eastAsia="zh-CN" w:bidi="ar-SA"/>
    </w:rPr>
  </w:style>
  <w:style w:type="paragraph" w:customStyle="1" w:styleId="38">
    <w:name w:val="单元格样式61"/>
    <w:qFormat/>
    <w:uiPriority w:val="0"/>
    <w:pPr>
      <w:jc w:val="center"/>
    </w:pPr>
    <w:rPr>
      <w:rFonts w:ascii="方正书宋_GBK" w:hAnsi="方正书宋_GBK" w:eastAsia="方正书宋_GBK" w:cs="方正书宋_GBK"/>
      <w:b/>
      <w:sz w:val="21"/>
      <w:lang w:val="en-US" w:eastAsia="zh-CN" w:bidi="ar-SA"/>
    </w:rPr>
  </w:style>
  <w:style w:type="paragraph" w:customStyle="1" w:styleId="39">
    <w:name w:val="单元格样式71"/>
    <w:qFormat/>
    <w:uiPriority w:val="0"/>
    <w:pPr>
      <w:jc w:val="right"/>
    </w:pPr>
    <w:rPr>
      <w:rFonts w:ascii="方正书宋_GBK" w:hAnsi="方正书宋_GBK" w:eastAsia="方正书宋_GBK" w:cs="方正书宋_GBK"/>
      <w:b/>
      <w:sz w:val="21"/>
      <w:lang w:val="en-US" w:eastAsia="zh-CN" w:bidi="ar-SA"/>
    </w:rPr>
  </w:style>
  <w:style w:type="paragraph" w:customStyle="1" w:styleId="40">
    <w:name w:val="单元格样式51"/>
    <w:qFormat/>
    <w:uiPriority w:val="0"/>
    <w:rPr>
      <w:rFonts w:ascii="方正书宋_GBK" w:hAnsi="方正书宋_GBK" w:eastAsia="方正书宋_GBK" w:cs="方正书宋_GBK"/>
      <w:b/>
      <w:sz w:val="21"/>
      <w:lang w:val="en-US" w:eastAsia="zh-CN" w:bidi="ar-SA"/>
    </w:rPr>
  </w:style>
  <w:style w:type="paragraph" w:customStyle="1" w:styleId="41">
    <w:name w:val="插入文本样式-插入部门职责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2">
    <w:name w:val="插入文本样式-插入预算公开部门预算安排的总体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3">
    <w:name w:val="插入文本样式-插入预算公开部门机关运行经费安排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4">
    <w:name w:val="插入文本样式-插入预算公开部门财政拨款三公经费预算情况及增减变化原因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5">
    <w:name w:val="插入文本样式-插入总体目标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6">
    <w:name w:val="插入文本样式-插入职责分类绩效目标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7">
    <w:name w:val="插入文本样式-插入实现年度发展规划目标的保障措施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48">
    <w:name w:val="单元格样式231"/>
    <w:qFormat/>
    <w:uiPriority w:val="0"/>
    <w:pPr>
      <w:jc w:val="right"/>
    </w:pPr>
    <w:rPr>
      <w:rFonts w:ascii="方正书宋_GBK" w:hAnsi="方正书宋_GBK" w:eastAsia="方正书宋_GBK" w:cs="方正书宋_GBK"/>
      <w:lang w:val="en-US" w:eastAsia="zh-CN" w:bidi="ar-SA"/>
    </w:rPr>
  </w:style>
  <w:style w:type="paragraph" w:customStyle="1" w:styleId="49">
    <w:name w:val="插入文本样式-插入单位职责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50">
    <w:name w:val="插入文本样式-插入预算公开单位预算安排的总体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51">
    <w:name w:val="插入文本样式-插入预算公开单位机关运行经费安排情况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 w:type="paragraph" w:customStyle="1" w:styleId="52">
    <w:name w:val="插入文本样式-插入预算公开单位财政拨款三公经费预算情况及增减变化原因文件1"/>
    <w:qFormat/>
    <w:uiPriority w:val="0"/>
    <w:pPr>
      <w:spacing w:beforeAutospacing="0" w:afterAutospacing="0" w:line="500" w:lineRule="exact"/>
      <w:ind w:firstLine="560"/>
    </w:pPr>
    <w:rPr>
      <w:rFonts w:ascii="Times New Roman" w:hAnsi="Times New Roman" w:eastAsia="方正仿宋_GBK"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4553</Words>
  <Characters>25957</Characters>
  <Lines>216</Lines>
  <Paragraphs>60</Paragraphs>
  <TotalTime>24</TotalTime>
  <ScaleCrop>false</ScaleCrop>
  <LinksUpToDate>false</LinksUpToDate>
  <CharactersWithSpaces>30450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2023-03-30T02:15:00Z</dcterms:created>
  <dc:creator>caiwu</dc:creator>
  <cp:lastModifiedBy>Administrator</cp:lastModifiedBy>
  <dcterms:modified xsi:type="dcterms:W3CDTF">2023-09-04T07:04:28Z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