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bookmarkStart w:id="24" w:name="_GoBack"/>
      <w:bookmarkEnd w:id="24"/>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color w:val="auto"/>
          <w:sz w:val="44"/>
          <w:szCs w:val="44"/>
        </w:rPr>
      </w:pPr>
      <w:r>
        <w:rPr>
          <w:rFonts w:hint="eastAsia" w:ascii="黑体" w:hAnsi="黑体" w:eastAsia="黑体"/>
          <w:color w:val="auto"/>
          <w:sz w:val="44"/>
          <w:szCs w:val="44"/>
        </w:rPr>
        <w:t>中共秦皇岛市海港区委党校</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中共秦皇岛市海港区委党校</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中共秦皇岛市海港区委党校</w:t>
      </w:r>
      <w:r>
        <w:rPr>
          <w:rFonts w:eastAsia="黑体"/>
          <w:szCs w:val="32"/>
        </w:rPr>
        <w:t>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中共秦皇岛市海港区委党校</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6"/>
      <w:bookmarkStart w:id="3" w:name="OLE_LINK25"/>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中共秦皇岛市海港区委党校部门概况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ind w:firstLine="672" w:firstLineChars="210"/>
        <w:rPr>
          <w:rFonts w:hint="eastAsia" w:ascii="仿宋_GB2312" w:hAnsi="黑体"/>
          <w:szCs w:val="32"/>
        </w:rPr>
      </w:pPr>
      <w:bookmarkStart w:id="8" w:name="OLE_LINK14"/>
      <w:r>
        <w:rPr>
          <w:rFonts w:hint="eastAsia" w:ascii="仿宋_GB2312" w:hAnsi="黑体"/>
          <w:szCs w:val="32"/>
        </w:rPr>
        <w:t>一、部门职责</w:t>
      </w:r>
    </w:p>
    <w:p>
      <w:pPr>
        <w:spacing w:line="560" w:lineRule="exact"/>
        <w:ind w:firstLine="640"/>
        <w:rPr>
          <w:rFonts w:ascii="仿宋_GB2312" w:cs="宋体"/>
          <w:szCs w:val="32"/>
        </w:rPr>
      </w:pPr>
      <w:r>
        <w:rPr>
          <w:rFonts w:hint="eastAsia" w:ascii="仿宋_GB2312" w:hAnsi="宋体" w:cs="宋体"/>
          <w:szCs w:val="32"/>
        </w:rPr>
        <w:t>中共秦皇岛市海港区委党校概况和主要职能</w:t>
      </w:r>
    </w:p>
    <w:p>
      <w:pPr>
        <w:spacing w:line="560" w:lineRule="exact"/>
        <w:ind w:firstLine="640"/>
        <w:rPr>
          <w:rFonts w:ascii="仿宋_GB2312" w:cs="宋体"/>
          <w:szCs w:val="32"/>
        </w:rPr>
      </w:pPr>
      <w:r>
        <w:rPr>
          <w:rFonts w:hint="eastAsia" w:ascii="仿宋_GB2312" w:hAnsi="宋体" w:cs="宋体"/>
          <w:szCs w:val="32"/>
        </w:rPr>
        <w:t>中共秦皇岛市海港区委党校是区委直属的具有一定特殊性的事业单位，是区委培训干部和提升干部队伍整体素质的主阵地，是增强党员干部党性修养和党性教育的培训基地。</w:t>
      </w:r>
    </w:p>
    <w:p>
      <w:pPr>
        <w:ind w:firstLine="640"/>
        <w:rPr>
          <w:rFonts w:ascii="仿宋_GB2312" w:cs="宋体"/>
          <w:szCs w:val="32"/>
        </w:rPr>
      </w:pPr>
      <w:r>
        <w:rPr>
          <w:rFonts w:ascii="仿宋_GB2312" w:hAnsi="宋体" w:cs="宋体"/>
          <w:szCs w:val="32"/>
        </w:rPr>
        <w:t>1</w:t>
      </w:r>
      <w:r>
        <w:rPr>
          <w:rFonts w:hint="eastAsia" w:ascii="仿宋_GB2312" w:hAnsi="宋体" w:cs="宋体"/>
          <w:szCs w:val="32"/>
        </w:rPr>
        <w:t>、在区委、区政府直接领导下，有计划地针对全区科级领导干部、年轻后备干部、理论骨干、国家公务员、民主党派、党外人士、统战工作干部以及社会新阶层人员以及其他干部进行培训和轮训。</w:t>
      </w:r>
    </w:p>
    <w:p>
      <w:pPr>
        <w:ind w:firstLine="640"/>
        <w:rPr>
          <w:rFonts w:ascii="仿宋_GB2312" w:cs="宋体"/>
          <w:szCs w:val="32"/>
        </w:rPr>
      </w:pPr>
      <w:r>
        <w:rPr>
          <w:rFonts w:ascii="仿宋_GB2312" w:hAnsi="宋体" w:cs="宋体"/>
          <w:szCs w:val="32"/>
        </w:rPr>
        <w:t>2</w:t>
      </w:r>
      <w:r>
        <w:rPr>
          <w:rFonts w:hint="eastAsia" w:ascii="仿宋_GB2312" w:hAnsi="宋体" w:cs="宋体"/>
          <w:szCs w:val="32"/>
        </w:rPr>
        <w:t>、学习、研究和宣传马克思列宁主义、毛泽东思想、</w:t>
      </w:r>
      <w:r>
        <w:rPr>
          <w:rFonts w:hint="eastAsia" w:ascii="仿宋_GB2312" w:hAnsi="宋体" w:cs="宋体"/>
          <w:szCs w:val="32"/>
          <w:lang w:eastAsia="zh-CN"/>
        </w:rPr>
        <w:t>邓小平理论</w:t>
      </w:r>
      <w:r>
        <w:rPr>
          <w:rFonts w:hint="eastAsia" w:ascii="仿宋_GB2312" w:hAnsi="宋体" w:cs="宋体"/>
          <w:szCs w:val="32"/>
        </w:rPr>
        <w:t>、“三个代表”重要思想、科学发展观，深入贯彻习近平总书记系列重要讲话。</w:t>
      </w:r>
    </w:p>
    <w:p>
      <w:pPr>
        <w:ind w:firstLine="640"/>
        <w:rPr>
          <w:rFonts w:ascii="仿宋_GB2312" w:cs="宋体"/>
          <w:szCs w:val="32"/>
        </w:rPr>
      </w:pPr>
      <w:r>
        <w:rPr>
          <w:rFonts w:ascii="仿宋_GB2312" w:hAnsi="宋体" w:cs="宋体"/>
          <w:szCs w:val="32"/>
        </w:rPr>
        <w:t>3</w:t>
      </w:r>
      <w:r>
        <w:rPr>
          <w:rFonts w:hint="eastAsia" w:ascii="仿宋_GB2312" w:hAnsi="宋体" w:cs="宋体"/>
          <w:szCs w:val="32"/>
        </w:rPr>
        <w:t>、围绕区委区政府的中心任务、重大战略部署，对国内外、市内外重大现实问题开展理论研究，为教学和社会实践服务，并将重要科研成果提供给市委决策参考；开展区内、外各单位委托举办的专题培训班；负责对全区进行业务指导。</w:t>
      </w: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1650"/>
        <w:gridCol w:w="157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5"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1650"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1570"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5" w:type="dxa"/>
          </w:tcPr>
          <w:p>
            <w:pPr>
              <w:ind w:firstLine="0" w:firstLineChars="0"/>
              <w:rPr>
                <w:rFonts w:ascii="仿宋_GB2312" w:hAnsi="黑体"/>
                <w:sz w:val="24"/>
                <w:szCs w:val="24"/>
              </w:rPr>
            </w:pPr>
            <w:r>
              <w:rPr>
                <w:rFonts w:hint="eastAsia" w:ascii="仿宋_GB2312" w:hAnsi="黑体"/>
                <w:sz w:val="24"/>
                <w:szCs w:val="24"/>
              </w:rPr>
              <w:t>中共秦皇岛市海港区委党校</w:t>
            </w:r>
          </w:p>
        </w:tc>
        <w:tc>
          <w:tcPr>
            <w:tcW w:w="1650"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事业</w:t>
            </w:r>
            <w:r>
              <w:rPr>
                <w:rFonts w:hint="eastAsia" w:ascii="仿宋_GB2312" w:hAnsi="黑体"/>
                <w:sz w:val="28"/>
                <w:szCs w:val="28"/>
                <w:lang w:eastAsia="zh-CN"/>
              </w:rPr>
              <w:t>单位</w:t>
            </w:r>
          </w:p>
        </w:tc>
        <w:tc>
          <w:tcPr>
            <w:tcW w:w="1570" w:type="dxa"/>
          </w:tcPr>
          <w:p>
            <w:pPr>
              <w:ind w:firstLine="0" w:firstLineChars="0"/>
              <w:jc w:val="center"/>
              <w:rPr>
                <w:rFonts w:ascii="仿宋_GB2312" w:hAnsi="黑体"/>
                <w:sz w:val="28"/>
                <w:szCs w:val="28"/>
              </w:rPr>
            </w:pPr>
            <w:r>
              <w:rPr>
                <w:rFonts w:hint="eastAsia" w:ascii="仿宋_GB2312" w:hAnsi="黑体"/>
                <w:sz w:val="28"/>
                <w:szCs w:val="28"/>
                <w:lang w:eastAsia="zh-CN"/>
              </w:rPr>
              <w:t>正</w:t>
            </w:r>
            <w:r>
              <w:rPr>
                <w:rFonts w:hint="eastAsia" w:ascii="仿宋_GB2312" w:hAnsi="黑体"/>
                <w:sz w:val="28"/>
                <w:szCs w:val="28"/>
              </w:rPr>
              <w:t>科级</w:t>
            </w:r>
          </w:p>
        </w:tc>
        <w:tc>
          <w:tcPr>
            <w:tcW w:w="2209" w:type="dxa"/>
          </w:tcPr>
          <w:p>
            <w:pPr>
              <w:ind w:firstLine="0" w:firstLineChars="0"/>
              <w:jc w:val="center"/>
              <w:rPr>
                <w:rFonts w:hint="eastAsia" w:ascii="仿宋_GB2312" w:hAnsi="黑体" w:eastAsia="仿宋_GB2312"/>
                <w:sz w:val="28"/>
                <w:szCs w:val="28"/>
                <w:lang w:val="en-US" w:eastAsia="zh-CN"/>
              </w:rPr>
            </w:pPr>
            <w:r>
              <w:rPr>
                <w:rFonts w:hint="eastAsia" w:ascii="仿宋_GB2312" w:hAnsi="仿宋"/>
                <w:sz w:val="28"/>
                <w:szCs w:val="28"/>
                <w:lang w:eastAsia="zh-CN"/>
              </w:rPr>
              <w:t>财政拨款</w:t>
            </w:r>
          </w:p>
        </w:tc>
      </w:tr>
      <w:bookmarkEnd w:id="8"/>
    </w:tbl>
    <w:p>
      <w:pPr>
        <w:widowControl/>
        <w:spacing w:line="240" w:lineRule="auto"/>
        <w:ind w:firstLine="0" w:firstLineChars="0"/>
        <w:jc w:val="left"/>
        <w:rPr>
          <w:rFonts w:ascii="黑体" w:hAnsi="黑体" w:eastAsia="黑体"/>
          <w:szCs w:val="32"/>
        </w:rPr>
      </w:pPr>
      <w:r>
        <w:rPr>
          <w:rFonts w:ascii="黑体" w:hAnsi="黑体" w:eastAsia="黑体"/>
          <w:szCs w:val="32"/>
        </w:rPr>
        <w:br w:type="page"/>
      </w:r>
      <w:bookmarkStart w:id="9" w:name="OLE_LINK12"/>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中共秦皇岛市海港区委党校部门201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中共秦皇岛市海港区委党校部门201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0"/>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ascii="仿宋_GB2312"/>
          <w:szCs w:val="32"/>
        </w:rPr>
      </w:pPr>
      <w:bookmarkStart w:id="12" w:name="OLE_LINK23"/>
      <w:r>
        <w:rPr>
          <w:rFonts w:hint="eastAsia" w:ascii="仿宋_GB2312"/>
          <w:szCs w:val="32"/>
        </w:rPr>
        <w:t>2017年度决算收入合计 221.63万元，决算支出合计224.77万元，</w:t>
      </w:r>
      <w:bookmarkStart w:id="13" w:name="OLE_LINK37"/>
      <w:r>
        <w:rPr>
          <w:rFonts w:hint="eastAsia" w:ascii="仿宋_GB2312"/>
          <w:szCs w:val="32"/>
        </w:rPr>
        <w:t>年初结转和结余19.8万元，年末结转和结余16.66万元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年度收入与年初预算对比增加24.93万元，原因是：职工工资上调及取暖、养老保险比例上调；与2</w:t>
      </w:r>
      <w:r>
        <w:rPr>
          <w:rFonts w:ascii="仿宋_GB2312"/>
          <w:szCs w:val="32"/>
        </w:rPr>
        <w:t>016</w:t>
      </w:r>
      <w:r>
        <w:rPr>
          <w:rFonts w:hint="eastAsia" w:ascii="仿宋_GB2312"/>
          <w:szCs w:val="32"/>
        </w:rPr>
        <w:t>年度收入相比，减少3.73万元，原因是：减少中心组学习培训经费。</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年度支出与年初预算对比增加28.07万元，原因是：</w:t>
      </w:r>
      <w:r>
        <w:rPr>
          <w:rFonts w:hint="eastAsia" w:ascii="仿宋_GB2312" w:hAnsi="仿宋_GB2312" w:cs="仿宋_GB2312"/>
          <w:szCs w:val="32"/>
        </w:rPr>
        <w:t>职工工资上调、养老保险比例上调、支付年轻干部培训班学员赴正定县委党校培训费用</w:t>
      </w:r>
      <w:r>
        <w:rPr>
          <w:rFonts w:hint="eastAsia" w:ascii="仿宋_GB2312"/>
          <w:szCs w:val="32"/>
        </w:rPr>
        <w:t>；与2</w:t>
      </w:r>
      <w:r>
        <w:rPr>
          <w:rFonts w:ascii="仿宋_GB2312"/>
          <w:szCs w:val="32"/>
        </w:rPr>
        <w:t>016</w:t>
      </w:r>
      <w:r>
        <w:rPr>
          <w:rFonts w:hint="eastAsia" w:ascii="仿宋_GB2312"/>
          <w:szCs w:val="32"/>
        </w:rPr>
        <w:t>年度支出相比，增加13.65万元，原因是：</w:t>
      </w:r>
      <w:r>
        <w:rPr>
          <w:rFonts w:hint="eastAsia" w:ascii="仿宋_GB2312" w:hAnsi="仿宋_GB2312" w:cs="仿宋_GB2312"/>
          <w:szCs w:val="32"/>
        </w:rPr>
        <w:t>职工工资上调、支付年轻干部培训班学员赴正定县委党校培训费用</w:t>
      </w:r>
      <w:r>
        <w:rPr>
          <w:rFonts w:hint="eastAsia" w:ascii="仿宋_GB2312"/>
          <w:szCs w:val="32"/>
        </w:rPr>
        <w:t>。</w:t>
      </w:r>
    </w:p>
    <w:bookmarkEnd w:id="10"/>
    <w:bookmarkEnd w:id="11"/>
    <w:bookmarkEnd w:id="12"/>
    <w:p>
      <w:pPr>
        <w:ind w:firstLine="640"/>
        <w:rPr>
          <w:rFonts w:ascii="楷体" w:hAnsi="楷体" w:eastAsia="楷体"/>
          <w:b/>
          <w:szCs w:val="32"/>
        </w:rPr>
      </w:pPr>
      <w:bookmarkStart w:id="14" w:name="OLE_LINK3"/>
      <w:bookmarkStart w:id="15" w:name="OLE_LINK4"/>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 221.63万元，其中：财政拨款收入221.63万元，占总收入 100</w:t>
      </w:r>
      <w:r>
        <w:rPr>
          <w:rFonts w:ascii="仿宋" w:hAnsi="仿宋" w:eastAsia="仿宋"/>
          <w:szCs w:val="32"/>
        </w:rPr>
        <w:t>%</w:t>
      </w:r>
      <w:r>
        <w:rPr>
          <w:rFonts w:hint="eastAsia" w:ascii="仿宋" w:hAnsi="仿宋" w:eastAsia="仿宋"/>
          <w:szCs w:val="32"/>
        </w:rPr>
        <w:t>；</w:t>
      </w:r>
      <w:bookmarkStart w:id="16" w:name="OLE_LINK32"/>
      <w:bookmarkStart w:id="17" w:name="OLE_LINK33"/>
      <w:r>
        <w:rPr>
          <w:rFonts w:hint="eastAsia" w:ascii="仿宋" w:hAnsi="仿宋" w:eastAsia="仿宋"/>
          <w:szCs w:val="32"/>
        </w:rPr>
        <w:t>事业收入0万元，占总收入0%</w:t>
      </w:r>
      <w:bookmarkEnd w:id="16"/>
      <w:bookmarkEnd w:id="17"/>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0"/>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年度支出合计224.77万元，其中：</w:t>
      </w:r>
      <w:bookmarkStart w:id="18" w:name="OLE_LINK35"/>
      <w:r>
        <w:rPr>
          <w:rFonts w:hint="eastAsia" w:ascii="仿宋" w:hAnsi="仿宋" w:eastAsia="仿宋"/>
          <w:szCs w:val="32"/>
        </w:rPr>
        <w:t>基本支出 224.77万元，占总支出 100%；</w:t>
      </w:r>
      <w:bookmarkEnd w:id="18"/>
      <w:r>
        <w:rPr>
          <w:rFonts w:hint="eastAsia" w:ascii="仿宋" w:hAnsi="仿宋" w:eastAsia="仿宋"/>
          <w:szCs w:val="32"/>
        </w:rPr>
        <w:t>项目支出 0万元，占总支出 0%。</w:t>
      </w:r>
    </w:p>
    <w:p>
      <w:pPr>
        <w:widowControl/>
        <w:spacing w:line="580" w:lineRule="exact"/>
        <w:ind w:firstLine="640"/>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2017年度财政拨款收入决算合计</w:t>
      </w:r>
      <w:r>
        <w:rPr>
          <w:rFonts w:hint="eastAsia" w:ascii="仿宋" w:hAnsi="仿宋" w:eastAsia="仿宋"/>
          <w:szCs w:val="32"/>
        </w:rPr>
        <w:t>221.63</w:t>
      </w:r>
      <w:r>
        <w:rPr>
          <w:rFonts w:hint="eastAsia" w:ascii="仿宋_GB2312"/>
          <w:szCs w:val="32"/>
        </w:rPr>
        <w:t>万元，财政拨款支出决算合计</w:t>
      </w:r>
      <w:r>
        <w:rPr>
          <w:rFonts w:hint="eastAsia" w:ascii="仿宋" w:hAnsi="仿宋" w:eastAsia="仿宋"/>
          <w:szCs w:val="32"/>
        </w:rPr>
        <w:t>224.77</w:t>
      </w:r>
      <w:r>
        <w:rPr>
          <w:rFonts w:hint="eastAsia" w:ascii="仿宋_GB2312"/>
          <w:szCs w:val="32"/>
        </w:rPr>
        <w:t>万元，年初结转和结余19.8万元，年末结转和结余16.66万元。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年度财政拨款收入与年初预算对比增加24.93万元，原因是：</w:t>
      </w:r>
      <w:r>
        <w:rPr>
          <w:rFonts w:hint="eastAsia" w:ascii="仿宋_GB2312" w:hAnsi="仿宋" w:cs="FZFangSong-Z02"/>
          <w:szCs w:val="32"/>
        </w:rPr>
        <w:t>职工工资上调及取暖、养老保险比例上调</w:t>
      </w:r>
      <w:r>
        <w:rPr>
          <w:rFonts w:hint="eastAsia" w:ascii="仿宋_GB2312"/>
          <w:szCs w:val="32"/>
        </w:rPr>
        <w:t>；与2</w:t>
      </w:r>
      <w:r>
        <w:rPr>
          <w:rFonts w:ascii="仿宋_GB2312"/>
          <w:szCs w:val="32"/>
        </w:rPr>
        <w:t>016</w:t>
      </w:r>
      <w:r>
        <w:rPr>
          <w:rFonts w:hint="eastAsia" w:ascii="仿宋_GB2312"/>
          <w:szCs w:val="32"/>
        </w:rPr>
        <w:t>年度相比，减少3.73万元，原因是：减少中心组学习培训经费。</w:t>
      </w:r>
      <w:bookmarkEnd w:id="19"/>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年度财政拨款支出与年初预算对比增加28.07万元，原因是：</w:t>
      </w:r>
      <w:r>
        <w:rPr>
          <w:rFonts w:hint="eastAsia" w:ascii="仿宋_GB2312" w:hAnsi="仿宋_GB2312" w:cs="仿宋_GB2312"/>
          <w:szCs w:val="32"/>
        </w:rPr>
        <w:t>职工工资上调、养老保险比例上调、支付年轻干部培训班学员赴正定县委党校培训费用</w:t>
      </w:r>
      <w:r>
        <w:rPr>
          <w:rFonts w:hint="eastAsia" w:ascii="仿宋_GB2312"/>
          <w:szCs w:val="32"/>
        </w:rPr>
        <w:t>；与2</w:t>
      </w:r>
      <w:r>
        <w:rPr>
          <w:rFonts w:ascii="仿宋_GB2312"/>
          <w:szCs w:val="32"/>
        </w:rPr>
        <w:t>016</w:t>
      </w:r>
      <w:r>
        <w:rPr>
          <w:rFonts w:hint="eastAsia" w:ascii="仿宋_GB2312"/>
          <w:szCs w:val="32"/>
        </w:rPr>
        <w:t>年度支出相比，增加13.65万元，原因是：</w:t>
      </w:r>
      <w:r>
        <w:rPr>
          <w:rFonts w:hint="eastAsia" w:ascii="仿宋_GB2312" w:hAnsi="仿宋_GB2312" w:cs="仿宋_GB2312"/>
          <w:szCs w:val="32"/>
        </w:rPr>
        <w:t>职工工资上调、支付年轻干部培训班学员赴正定县委党校培训费用</w:t>
      </w:r>
      <w:r>
        <w:rPr>
          <w:rFonts w:hint="eastAsia" w:ascii="仿宋_GB2312"/>
          <w:szCs w:val="32"/>
        </w:rPr>
        <w:t>。</w:t>
      </w:r>
    </w:p>
    <w:p>
      <w:pPr>
        <w:ind w:firstLine="640"/>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0.23</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20"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0.23</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年度“三公经费”支出总额0万元，</w:t>
      </w:r>
      <w:r>
        <w:rPr>
          <w:rFonts w:hint="eastAsia" w:ascii="仿宋_GB2312"/>
          <w:szCs w:val="32"/>
          <w:lang w:eastAsia="zh-CN"/>
        </w:rPr>
        <w:t>年初预算安排</w:t>
      </w:r>
      <w:r>
        <w:rPr>
          <w:rFonts w:hint="eastAsia" w:ascii="仿宋_GB2312"/>
          <w:szCs w:val="32"/>
          <w:lang w:val="en-US" w:eastAsia="zh-CN"/>
        </w:rPr>
        <w:t>0.23万元，</w:t>
      </w:r>
      <w:r>
        <w:rPr>
          <w:rFonts w:hint="eastAsia" w:ascii="仿宋_GB2312"/>
          <w:szCs w:val="32"/>
        </w:rPr>
        <w:t>与年初预算相比减少0.23万元，降低100%，原因是：</w:t>
      </w:r>
      <w:r>
        <w:rPr>
          <w:rFonts w:ascii="仿宋_GB2312" w:cs="仿宋_GB2312"/>
        </w:rPr>
        <w:t>2017</w:t>
      </w:r>
      <w:r>
        <w:rPr>
          <w:rFonts w:hint="eastAsia" w:ascii="仿宋_GB2312" w:cs="仿宋_GB2312"/>
        </w:rPr>
        <w:t>年未发生</w:t>
      </w:r>
      <w:r>
        <w:rPr>
          <w:rFonts w:hint="eastAsia" w:ascii="仿宋_GB2312" w:cs="仿宋_GB2312"/>
          <w:lang w:eastAsia="zh-CN"/>
        </w:rPr>
        <w:t>“三公”经费支出</w:t>
      </w:r>
      <w:r>
        <w:rPr>
          <w:rFonts w:hint="eastAsia" w:ascii="仿宋_GB2312"/>
          <w:szCs w:val="32"/>
          <w:lang w:eastAsia="zh-CN"/>
        </w:rPr>
        <w:t>，</w:t>
      </w:r>
      <w:r>
        <w:rPr>
          <w:rFonts w:hint="eastAsia" w:ascii="仿宋_GB2312"/>
          <w:szCs w:val="32"/>
        </w:rPr>
        <w:t>2</w:t>
      </w:r>
      <w:r>
        <w:rPr>
          <w:rFonts w:ascii="仿宋_GB2312"/>
          <w:szCs w:val="32"/>
        </w:rPr>
        <w:t>016</w:t>
      </w:r>
      <w:r>
        <w:rPr>
          <w:rFonts w:hint="eastAsia" w:ascii="仿宋_GB2312"/>
          <w:szCs w:val="32"/>
        </w:rPr>
        <w:t>年度支出总额0万元，</w:t>
      </w:r>
      <w:r>
        <w:rPr>
          <w:rFonts w:ascii="仿宋_GB2312" w:cs="仿宋_GB2312"/>
        </w:rPr>
        <w:t>201</w:t>
      </w:r>
      <w:r>
        <w:rPr>
          <w:rFonts w:hint="eastAsia" w:ascii="仿宋_GB2312" w:cs="仿宋_GB2312"/>
          <w:lang w:val="en-US" w:eastAsia="zh-CN"/>
        </w:rPr>
        <w:t>6</w:t>
      </w:r>
      <w:r>
        <w:rPr>
          <w:rFonts w:hint="eastAsia" w:ascii="仿宋_GB2312" w:cs="仿宋_GB2312"/>
        </w:rPr>
        <w:t>年未发生</w:t>
      </w:r>
      <w:r>
        <w:rPr>
          <w:rFonts w:hint="eastAsia" w:ascii="仿宋_GB2312" w:cs="仿宋_GB2312"/>
          <w:lang w:eastAsia="zh-CN"/>
        </w:rPr>
        <w:t>“三公”经费支出</w:t>
      </w:r>
      <w:r>
        <w:rPr>
          <w:rFonts w:hint="eastAsia" w:ascii="仿宋_GB2312"/>
          <w:szCs w:val="32"/>
        </w:rPr>
        <w:t>。</w:t>
      </w:r>
    </w:p>
    <w:p>
      <w:pPr>
        <w:ind w:firstLine="643"/>
        <w:rPr>
          <w:rFonts w:ascii="仿宋_GB2312"/>
          <w:szCs w:val="32"/>
        </w:rPr>
      </w:pPr>
      <w:r>
        <w:rPr>
          <w:rFonts w:hint="eastAsia" w:ascii="仿宋_GB2312"/>
          <w:b/>
          <w:szCs w:val="32"/>
        </w:rPr>
        <w:t>2．</w:t>
      </w:r>
      <w:r>
        <w:rPr>
          <w:rFonts w:ascii="仿宋_GB2312" w:cs="仿宋_GB2312"/>
          <w:b/>
          <w:bCs/>
        </w:rPr>
        <w:t>2</w:t>
      </w:r>
      <w:r>
        <w:rPr>
          <w:rFonts w:hint="eastAsia" w:ascii="仿宋_GB2312" w:cs="仿宋_GB2312"/>
          <w:b/>
          <w:bCs/>
        </w:rPr>
        <w:t>．</w:t>
      </w:r>
      <w:r>
        <w:rPr>
          <w:rFonts w:ascii="仿宋_GB2312" w:cs="仿宋_GB2312"/>
        </w:rPr>
        <w:t>2017</w:t>
      </w:r>
      <w:r>
        <w:rPr>
          <w:rFonts w:hint="eastAsia" w:ascii="仿宋_GB2312" w:cs="仿宋_GB2312"/>
        </w:rPr>
        <w:t>年度因公出国（境）费</w:t>
      </w:r>
      <w:r>
        <w:rPr>
          <w:rFonts w:ascii="仿宋_GB2312" w:cs="仿宋_GB2312"/>
        </w:rPr>
        <w:t>0</w:t>
      </w:r>
      <w:r>
        <w:rPr>
          <w:rFonts w:hint="eastAsia" w:ascii="仿宋_GB2312" w:cs="仿宋_GB2312"/>
        </w:rPr>
        <w:t>万元，年初预算为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年未发生因公出国费用，年初预算未安排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年也未发生因公出国费用。</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年度公务用车购置及运行维护费0万元，年初预算</w:t>
      </w:r>
      <w:r>
        <w:rPr>
          <w:rFonts w:hint="eastAsia" w:ascii="仿宋_GB2312"/>
          <w:szCs w:val="32"/>
          <w:lang w:eastAsia="zh-CN"/>
        </w:rPr>
        <w:t>安排</w:t>
      </w:r>
      <w:r>
        <w:rPr>
          <w:rFonts w:hint="eastAsia" w:ascii="仿宋_GB2312"/>
          <w:szCs w:val="32"/>
        </w:rPr>
        <w:t>0万元，原因是：无公务用车，2</w:t>
      </w:r>
      <w:r>
        <w:rPr>
          <w:rFonts w:ascii="仿宋_GB2312"/>
          <w:szCs w:val="32"/>
        </w:rPr>
        <w:t>016</w:t>
      </w:r>
      <w:r>
        <w:rPr>
          <w:rFonts w:hint="eastAsia" w:ascii="仿宋_GB2312"/>
          <w:szCs w:val="32"/>
        </w:rPr>
        <w:t>年度决算数</w:t>
      </w:r>
      <w:r>
        <w:rPr>
          <w:rFonts w:hint="eastAsia" w:ascii="仿宋_GB2312"/>
          <w:szCs w:val="32"/>
          <w:lang w:eastAsia="zh-CN"/>
        </w:rPr>
        <w:t>支出</w:t>
      </w:r>
      <w:r>
        <w:rPr>
          <w:rFonts w:hint="eastAsia" w:ascii="仿宋_GB2312"/>
          <w:szCs w:val="32"/>
        </w:rPr>
        <w:t>0万元，原因是：无公务用车。</w:t>
      </w:r>
    </w:p>
    <w:p>
      <w:pPr>
        <w:ind w:firstLine="643"/>
        <w:rPr>
          <w:rFonts w:hint="eastAsia"/>
        </w:rPr>
      </w:pPr>
      <w:r>
        <w:rPr>
          <w:rFonts w:hint="eastAsia"/>
        </w:rPr>
        <w:t>其中：公务用车购置费</w:t>
      </w:r>
      <w:r>
        <w:t>,</w:t>
      </w:r>
      <w:r>
        <w:rPr>
          <w:rFonts w:hint="eastAsia"/>
        </w:rPr>
        <w:t xml:space="preserve"> 年初预算为</w:t>
      </w:r>
      <w:r>
        <w:t>0</w:t>
      </w:r>
      <w:r>
        <w:rPr>
          <w:rFonts w:hint="eastAsia"/>
        </w:rPr>
        <w:t>万元，2016年度决算数为“0”，原因是：</w:t>
      </w:r>
      <w:r>
        <w:t>2017</w:t>
      </w:r>
      <w:r>
        <w:rPr>
          <w:rFonts w:hint="eastAsia"/>
        </w:rPr>
        <w:t>年未发生公务用车购置费用，年初预算未安排</w:t>
      </w:r>
      <w:r>
        <w:t xml:space="preserve"> </w:t>
      </w:r>
      <w:r>
        <w:rPr>
          <w:rFonts w:hint="eastAsia"/>
        </w:rPr>
        <w:t>，</w:t>
      </w:r>
      <w:r>
        <w:t>2016</w:t>
      </w:r>
      <w:r>
        <w:rPr>
          <w:rFonts w:hint="eastAsia"/>
        </w:rPr>
        <w:t>年也未发生公务用车购置费用。</w:t>
      </w:r>
    </w:p>
    <w:p>
      <w:pPr>
        <w:ind w:firstLine="643"/>
        <w:rPr>
          <w:rFonts w:ascii="仿宋_GB2312"/>
          <w:szCs w:val="32"/>
        </w:rPr>
      </w:pPr>
      <w:r>
        <w:rPr>
          <w:rFonts w:hint="eastAsia" w:ascii="仿宋_GB2312"/>
          <w:color w:val="auto"/>
          <w:szCs w:val="32"/>
        </w:rPr>
        <w:t>其中：公务用车维护费</w:t>
      </w:r>
      <w:r>
        <w:rPr>
          <w:rFonts w:hint="eastAsia" w:ascii="仿宋_GB2312"/>
          <w:color w:val="auto"/>
          <w:szCs w:val="32"/>
          <w:lang w:eastAsia="zh-CN"/>
        </w:rPr>
        <w:t>支出</w:t>
      </w:r>
      <w:r>
        <w:rPr>
          <w:rFonts w:hint="eastAsia" w:ascii="仿宋_GB2312"/>
          <w:color w:val="auto"/>
          <w:szCs w:val="32"/>
          <w:lang w:val="en-US" w:eastAsia="zh-CN"/>
        </w:rPr>
        <w:t>0万元</w:t>
      </w:r>
      <w:r>
        <w:rPr>
          <w:rFonts w:hint="eastAsia" w:ascii="仿宋_GB2312"/>
          <w:color w:val="auto"/>
          <w:szCs w:val="32"/>
        </w:rPr>
        <w:t>,</w:t>
      </w:r>
      <w:r>
        <w:rPr>
          <w:rFonts w:hint="eastAsia" w:ascii="仿宋_GB2312"/>
          <w:szCs w:val="32"/>
        </w:rPr>
        <w:t>年初预算</w:t>
      </w:r>
      <w:r>
        <w:rPr>
          <w:rFonts w:hint="eastAsia" w:ascii="仿宋_GB2312"/>
          <w:szCs w:val="32"/>
          <w:lang w:eastAsia="zh-CN"/>
        </w:rPr>
        <w:t>为</w:t>
      </w:r>
      <w:r>
        <w:rPr>
          <w:rFonts w:hint="eastAsia" w:ascii="仿宋_GB2312"/>
          <w:szCs w:val="32"/>
        </w:rPr>
        <w:t>0万元，原因是：无公务用车，2</w:t>
      </w:r>
      <w:r>
        <w:rPr>
          <w:rFonts w:ascii="仿宋_GB2312"/>
          <w:szCs w:val="32"/>
        </w:rPr>
        <w:t>016</w:t>
      </w:r>
      <w:r>
        <w:rPr>
          <w:rFonts w:hint="eastAsia" w:ascii="仿宋_GB2312"/>
          <w:szCs w:val="32"/>
        </w:rPr>
        <w:t>年度决算数</w:t>
      </w:r>
      <w:r>
        <w:rPr>
          <w:rFonts w:hint="eastAsia" w:ascii="仿宋_GB2312"/>
          <w:szCs w:val="32"/>
          <w:lang w:eastAsia="zh-CN"/>
        </w:rPr>
        <w:t>支出</w:t>
      </w:r>
      <w:r>
        <w:rPr>
          <w:rFonts w:hint="eastAsia" w:ascii="仿宋_GB2312"/>
          <w:szCs w:val="32"/>
        </w:rPr>
        <w:t>0万元，原因是：无公务用车。</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年度公务接待费0万元，与年初预算相比减少0.23万元，降低100%，原因是：未列支招待费，与2</w:t>
      </w:r>
      <w:r>
        <w:rPr>
          <w:rFonts w:ascii="仿宋_GB2312"/>
          <w:szCs w:val="32"/>
        </w:rPr>
        <w:t>016</w:t>
      </w:r>
      <w:r>
        <w:rPr>
          <w:rFonts w:hint="eastAsia" w:ascii="仿宋_GB2312"/>
          <w:szCs w:val="32"/>
        </w:rPr>
        <w:t>年度决算数相比增加（减少）0万元，原因是：未列支招待费。</w:t>
      </w:r>
    </w:p>
    <w:p>
      <w:pPr>
        <w:ind w:firstLine="640"/>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1．公务用车购置数量为0辆，公务用车保有量0辆；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3．公务接待批次0批次，0人次。</w:t>
      </w:r>
    </w:p>
    <w:p>
      <w:pPr>
        <w:ind w:firstLine="640"/>
        <w:rPr>
          <w:rFonts w:ascii="楷体" w:hAnsi="楷体" w:eastAsia="楷体"/>
          <w:b/>
          <w:szCs w:val="32"/>
        </w:rPr>
      </w:pPr>
      <w:r>
        <w:rPr>
          <w:rFonts w:hint="eastAsia" w:ascii="楷体" w:hAnsi="楷体" w:eastAsia="楷体"/>
          <w:b/>
          <w:szCs w:val="32"/>
        </w:rPr>
        <w:t>六、绩效预算情况说明</w:t>
      </w:r>
    </w:p>
    <w:p>
      <w:pPr>
        <w:ind w:firstLine="640"/>
        <w:rPr>
          <w:rFonts w:ascii="仿宋_GB2312"/>
          <w:szCs w:val="32"/>
        </w:rPr>
      </w:pPr>
      <w:r>
        <w:rPr>
          <w:rFonts w:hint="eastAsia" w:ascii="仿宋_GB2312"/>
          <w:szCs w:val="32"/>
        </w:rPr>
        <w:t>我部门对绩效预算执行情况的自评结果进行公开。并对主要的项目和重点支出项目（如有）的绩效评价结果进行公开。</w:t>
      </w:r>
    </w:p>
    <w:p>
      <w:pPr>
        <w:ind w:firstLine="640"/>
        <w:rPr>
          <w:rFonts w:ascii="仿宋_GB2312"/>
          <w:szCs w:val="32"/>
        </w:rPr>
      </w:pPr>
      <w:r>
        <w:rPr>
          <w:rFonts w:hint="eastAsia" w:ascii="仿宋_GB2312"/>
          <w:szCs w:val="32"/>
        </w:rPr>
        <w:t>本部门有绩效评价项目的，可将评价情况进行说明。</w:t>
      </w:r>
    </w:p>
    <w:p>
      <w:pPr>
        <w:ind w:firstLine="640"/>
        <w:rPr>
          <w:rFonts w:hint="eastAsia" w:ascii="仿宋_GB2312"/>
          <w:szCs w:val="32"/>
        </w:rPr>
      </w:pPr>
      <w:r>
        <w:rPr>
          <w:rFonts w:hint="eastAsia" w:ascii="仿宋_GB2312"/>
          <w:szCs w:val="32"/>
        </w:rPr>
        <w:t>（一）预算绩效管理工作开展情况</w:t>
      </w:r>
    </w:p>
    <w:p>
      <w:pPr>
        <w:ind w:firstLine="640"/>
        <w:rPr>
          <w:rFonts w:ascii="仿宋_GB2312"/>
          <w:szCs w:val="32"/>
        </w:rPr>
      </w:pPr>
      <w:r>
        <w:rPr>
          <w:rFonts w:hint="eastAsia" w:ascii="仿宋_GB2312" w:hAnsi="仿宋"/>
          <w:szCs w:val="32"/>
        </w:rPr>
        <w:t>根据区财政预算绩效管理要求，我校以“部门职责—工作活动”为依据，确定部门预算项目和预算额度，清晰描述预算项目开支范围和内容，确定预算项目的绩效目标、绩效指标和评价标准，为预算绩效控制、绩效分析、绩效评价打下好的基础。</w:t>
      </w:r>
    </w:p>
    <w:p>
      <w:pPr>
        <w:ind w:firstLine="640"/>
        <w:rPr>
          <w:rFonts w:hint="eastAsia" w:ascii="仿宋_GB2312"/>
          <w:szCs w:val="32"/>
        </w:rPr>
      </w:pPr>
      <w:r>
        <w:rPr>
          <w:rFonts w:hint="eastAsia" w:ascii="仿宋_GB2312"/>
          <w:szCs w:val="32"/>
        </w:rPr>
        <w:t>（二）预算项目绩效评价开展情况</w:t>
      </w:r>
    </w:p>
    <w:p>
      <w:pPr>
        <w:ind w:firstLine="800" w:firstLineChars="250"/>
        <w:rPr>
          <w:rFonts w:ascii="仿宋_GB2312"/>
          <w:szCs w:val="32"/>
        </w:rPr>
      </w:pPr>
      <w:r>
        <w:rPr>
          <w:rFonts w:hint="eastAsia" w:ascii="仿宋_GB2312" w:hAnsi="仿宋"/>
          <w:szCs w:val="32"/>
        </w:rPr>
        <w:t>我部门始终坚持把预算绩效管理作为一项重点工作来抓，构建“部门职责—工作活动—预算项目”三个层级的绩效预算管理结构，建立预算项目全周期管理机制。通过实施以结果为导向、以绩效提高为目标的一系列管理措施，有效提高了财政资金使用效益。</w:t>
      </w:r>
    </w:p>
    <w:p>
      <w:pPr>
        <w:numPr>
          <w:ilvl w:val="0"/>
          <w:numId w:val="1"/>
        </w:numPr>
        <w:ind w:firstLine="640"/>
        <w:rPr>
          <w:rFonts w:hint="eastAsia" w:ascii="仿宋_GB2312"/>
          <w:szCs w:val="32"/>
        </w:rPr>
      </w:pPr>
      <w:r>
        <w:rPr>
          <w:rFonts w:hint="eastAsia" w:ascii="仿宋_GB2312"/>
          <w:szCs w:val="32"/>
        </w:rPr>
        <w:t>预算项目绩效自评选例</w:t>
      </w:r>
      <w:r>
        <w:rPr>
          <w:rFonts w:hint="eastAsia" w:ascii="仿宋_GB2312"/>
          <w:szCs w:val="32"/>
          <w:lang w:eastAsia="zh-CN"/>
        </w:rPr>
        <w:t>：无</w:t>
      </w:r>
    </w:p>
    <w:p>
      <w:pPr>
        <w:numPr>
          <w:ilvl w:val="0"/>
          <w:numId w:val="1"/>
        </w:numPr>
        <w:ind w:firstLine="640"/>
        <w:rPr>
          <w:rFonts w:hint="eastAsia" w:ascii="仿宋_GB2312"/>
          <w:szCs w:val="32"/>
        </w:rPr>
      </w:pPr>
      <w:r>
        <w:rPr>
          <w:rFonts w:hint="eastAsia" w:ascii="仿宋_GB2312"/>
          <w:szCs w:val="32"/>
        </w:rPr>
        <w:t>部门决算量化评价说明，将2017年度部门决算中《部门决算量化评价表》相关数据和信息进行说明。</w:t>
      </w:r>
    </w:p>
    <w:p>
      <w:pPr>
        <w:spacing w:line="360" w:lineRule="auto"/>
        <w:ind w:firstLine="640"/>
        <w:rPr>
          <w:rFonts w:ascii="仿宋" w:hAnsi="仿宋" w:eastAsia="仿宋"/>
          <w:bCs/>
          <w:szCs w:val="32"/>
        </w:rPr>
      </w:pPr>
      <w:r>
        <w:rPr>
          <w:rFonts w:hint="eastAsia" w:ascii="仿宋_GB2312" w:hAnsi="仿宋_GB2312" w:cs="仿宋_GB2312"/>
          <w:szCs w:val="32"/>
        </w:rPr>
        <w:t>我部门绩效预算执行情况通过部门决算软件进行测评后得分为</w:t>
      </w:r>
      <w:r>
        <w:rPr>
          <w:rFonts w:ascii="仿宋_GB2312" w:hAnsi="仿宋_GB2312" w:cs="仿宋_GB2312"/>
          <w:szCs w:val="32"/>
        </w:rPr>
        <w:t>80</w:t>
      </w:r>
      <w:r>
        <w:rPr>
          <w:rFonts w:hint="eastAsia" w:ascii="仿宋_GB2312" w:hAnsi="仿宋_GB2312" w:cs="仿宋_GB2312"/>
          <w:szCs w:val="32"/>
        </w:rPr>
        <w:t>分，主要扣分及原因为：</w:t>
      </w:r>
      <w:r>
        <w:rPr>
          <w:rFonts w:ascii="仿宋_GB2312" w:hAnsi="仿宋_GB2312" w:cs="仿宋_GB2312"/>
          <w:szCs w:val="32"/>
        </w:rPr>
        <w:t>1</w:t>
      </w:r>
      <w:r>
        <w:rPr>
          <w:rFonts w:hint="eastAsia" w:ascii="仿宋_GB2312" w:hAnsi="仿宋_GB2312" w:cs="仿宋_GB2312"/>
          <w:szCs w:val="32"/>
        </w:rPr>
        <w:t>、财政拨款收入预决算差异率扣</w:t>
      </w:r>
      <w:r>
        <w:rPr>
          <w:rFonts w:ascii="仿宋_GB2312" w:hAnsi="仿宋_GB2312" w:cs="仿宋_GB2312"/>
          <w:szCs w:val="32"/>
        </w:rPr>
        <w:t>2</w:t>
      </w:r>
      <w:r>
        <w:rPr>
          <w:rFonts w:hint="eastAsia" w:ascii="仿宋_GB2312" w:hAnsi="仿宋_GB2312" w:cs="仿宋_GB2312"/>
          <w:szCs w:val="32"/>
        </w:rPr>
        <w:t>分，原因为是当年基本工资标准进行调整人员性支出大幅增加等原因导致我部门本年实际收入大于年初预算。</w:t>
      </w:r>
      <w:r>
        <w:rPr>
          <w:rFonts w:ascii="仿宋_GB2312" w:hAnsi="仿宋_GB2312" w:cs="仿宋_GB2312"/>
          <w:szCs w:val="32"/>
        </w:rPr>
        <w:t>2</w:t>
      </w:r>
      <w:r>
        <w:rPr>
          <w:rFonts w:hint="eastAsia" w:ascii="仿宋_GB2312" w:hAnsi="仿宋_GB2312" w:cs="仿宋_GB2312"/>
          <w:szCs w:val="32"/>
        </w:rPr>
        <w:t>、基本支出预决算差异率扣</w:t>
      </w:r>
      <w:r>
        <w:rPr>
          <w:rFonts w:ascii="仿宋_GB2312" w:hAnsi="仿宋_GB2312" w:cs="仿宋_GB2312"/>
          <w:szCs w:val="32"/>
        </w:rPr>
        <w:t>2</w:t>
      </w:r>
      <w:r>
        <w:rPr>
          <w:rFonts w:hint="eastAsia" w:ascii="仿宋_GB2312" w:hAnsi="仿宋_GB2312" w:cs="仿宋_GB2312"/>
          <w:szCs w:val="32"/>
        </w:rPr>
        <w:t>分，原因为本年实际收入增加导致支出增加，同比年初支出预算差异率增大。</w:t>
      </w:r>
      <w:r>
        <w:rPr>
          <w:rFonts w:ascii="仿宋_GB2312" w:hAnsi="仿宋_GB2312" w:cs="仿宋_GB2312"/>
          <w:szCs w:val="32"/>
        </w:rPr>
        <w:t>3</w:t>
      </w:r>
      <w:r>
        <w:rPr>
          <w:rFonts w:hint="eastAsia" w:ascii="仿宋_GB2312" w:hAnsi="仿宋_GB2312" w:cs="仿宋_GB2312"/>
          <w:szCs w:val="32"/>
        </w:rPr>
        <w:t>、财政拨款结转和结余上下年变动率扣</w:t>
      </w:r>
      <w:r>
        <w:rPr>
          <w:rFonts w:ascii="仿宋_GB2312" w:hAnsi="仿宋_GB2312" w:cs="仿宋_GB2312"/>
          <w:szCs w:val="32"/>
        </w:rPr>
        <w:t>10</w:t>
      </w:r>
      <w:r>
        <w:rPr>
          <w:rFonts w:hint="eastAsia" w:ascii="仿宋_GB2312" w:hAnsi="仿宋_GB2312" w:cs="仿宋_GB2312"/>
          <w:szCs w:val="32"/>
        </w:rPr>
        <w:t>分，原因为本年财政拨款结转同比上年减少，由于单位带领年轻干部学员赴正定党校学习增加支出，以及部分职工工会会费及福利费已付。</w:t>
      </w:r>
      <w:r>
        <w:rPr>
          <w:rFonts w:ascii="仿宋_GB2312" w:hAnsi="仿宋_GB2312" w:cs="仿宋_GB2312"/>
          <w:szCs w:val="32"/>
        </w:rPr>
        <w:t>4</w:t>
      </w:r>
      <w:r>
        <w:rPr>
          <w:rFonts w:hint="eastAsia" w:ascii="仿宋_GB2312" w:hAnsi="仿宋_GB2312" w:cs="仿宋_GB2312"/>
          <w:szCs w:val="32"/>
        </w:rPr>
        <w:t>、负债类往来变动率扣</w:t>
      </w:r>
      <w:r>
        <w:rPr>
          <w:rFonts w:ascii="仿宋_GB2312" w:hAnsi="仿宋_GB2312" w:cs="仿宋_GB2312"/>
          <w:szCs w:val="32"/>
        </w:rPr>
        <w:t>6</w:t>
      </w:r>
      <w:r>
        <w:rPr>
          <w:rFonts w:hint="eastAsia" w:ascii="仿宋_GB2312" w:hAnsi="仿宋_GB2312" w:cs="仿宋_GB2312"/>
          <w:szCs w:val="32"/>
        </w:rPr>
        <w:t>分，原因同上。</w:t>
      </w:r>
    </w:p>
    <w:p>
      <w:pPr>
        <w:ind w:firstLine="640"/>
        <w:rPr>
          <w:rFonts w:ascii="仿宋_GB2312"/>
          <w:szCs w:val="32"/>
        </w:rPr>
      </w:pPr>
    </w:p>
    <w:p>
      <w:pPr>
        <w:ind w:firstLine="640"/>
        <w:rPr>
          <w:rFonts w:ascii="楷体" w:hAnsi="楷体" w:eastAsia="楷体"/>
          <w:b/>
          <w:szCs w:val="32"/>
        </w:rPr>
      </w:pPr>
      <w:r>
        <w:rPr>
          <w:rFonts w:hint="eastAsia" w:ascii="楷体" w:hAnsi="楷体" w:eastAsia="楷体"/>
          <w:b/>
          <w:szCs w:val="32"/>
        </w:rPr>
        <w:t>七、其他重要事项的情况说明。</w:t>
      </w:r>
    </w:p>
    <w:p>
      <w:pPr>
        <w:ind w:firstLine="640"/>
        <w:rPr>
          <w:rFonts w:hint="eastAsia"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年度本部门机关运行经费支出47.68万元，比201</w:t>
      </w:r>
      <w:r>
        <w:rPr>
          <w:rFonts w:ascii="仿宋_GB2312"/>
          <w:szCs w:val="32"/>
        </w:rPr>
        <w:t>6</w:t>
      </w:r>
      <w:r>
        <w:rPr>
          <w:rFonts w:hint="eastAsia" w:ascii="仿宋_GB2312"/>
          <w:szCs w:val="32"/>
        </w:rPr>
        <w:t>年度增加3.05万元，增长6.4%。主要原因是：增加公用取暖及设备维护费用。</w:t>
      </w:r>
    </w:p>
    <w:p>
      <w:pPr>
        <w:ind w:firstLine="640"/>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年度本部门政府采购支出总额15.71万元，其中：政府采购货物支出15.71万元、政府采购工程支出0万元、政府采购服务支出0万元。</w:t>
      </w:r>
    </w:p>
    <w:p>
      <w:pPr>
        <w:widowControl/>
        <w:spacing w:line="240" w:lineRule="auto"/>
        <w:ind w:firstLine="640"/>
        <w:jc w:val="left"/>
        <w:rPr>
          <w:rFonts w:ascii="仿宋" w:hAnsi="仿宋" w:eastAsia="仿宋"/>
          <w:b/>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4879" w:type="dxa"/>
        <w:jc w:val="center"/>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50.78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51.49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50.78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51.49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21"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bookmarkEnd w:id="21"/>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50.78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51.49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hint="eastAsia" w:ascii="仿宋_GB2312"/>
          <w:color w:val="auto"/>
          <w:szCs w:val="32"/>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年12月31日，固定资产51.49万元，与2016年相比增加0.71万元，主要原因是：增加通用办公设备一台电脑，价值0.71万元。</w:t>
      </w:r>
    </w:p>
    <w:p>
      <w:pPr>
        <w:ind w:firstLine="640"/>
        <w:rPr>
          <w:rFonts w:ascii="仿宋_GB2312"/>
          <w:szCs w:val="32"/>
        </w:rPr>
      </w:pPr>
      <w:r>
        <w:rPr>
          <w:rFonts w:hint="eastAsia" w:ascii="仿宋_GB2312"/>
          <w:szCs w:val="32"/>
        </w:rPr>
        <w:t>本部门共有车辆0辆，其中，一般公务用车0辆、一般执法执勤用车0辆、特种专业技术用车0辆、其他用车0辆，其他用车无；单位价值200万元以上大型设备0台（套）。</w:t>
      </w:r>
    </w:p>
    <w:p>
      <w:pPr>
        <w:ind w:firstLine="0" w:firstLineChars="0"/>
        <w:rPr>
          <w:rFonts w:ascii="仿宋_GB2312"/>
          <w:szCs w:val="32"/>
        </w:rPr>
      </w:pPr>
    </w:p>
    <w:p>
      <w:pPr>
        <w:widowControl/>
        <w:spacing w:line="580" w:lineRule="exact"/>
        <w:ind w:firstLine="640"/>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rPr>
      </w:pPr>
      <w:r>
        <w:rPr>
          <w:rFonts w:hint="eastAsia" w:ascii="仿宋" w:hAnsi="仿宋" w:eastAsia="仿宋"/>
          <w:szCs w:val="32"/>
        </w:rPr>
        <w:t>会议费支出情况。</w:t>
      </w:r>
      <w:bookmarkStart w:id="22" w:name="OLE_LINK46"/>
      <w:bookmarkStart w:id="23" w:name="OLE_LINK47"/>
      <w:r>
        <w:rPr>
          <w:rFonts w:hint="eastAsia" w:ascii="仿宋" w:hAnsi="仿宋" w:eastAsia="仿宋"/>
          <w:szCs w:val="32"/>
        </w:rPr>
        <w:t>2017年会议费总计</w:t>
      </w:r>
      <w:r>
        <w:rPr>
          <w:rFonts w:hint="eastAsia" w:ascii="仿宋" w:hAnsi="仿宋" w:eastAsia="仿宋"/>
          <w:szCs w:val="32"/>
          <w:lang w:val="en-US" w:eastAsia="zh-CN"/>
        </w:rPr>
        <w:t>0</w:t>
      </w:r>
      <w:r>
        <w:rPr>
          <w:rFonts w:hint="eastAsia" w:ascii="仿宋" w:hAnsi="仿宋" w:eastAsia="仿宋"/>
          <w:szCs w:val="32"/>
        </w:rPr>
        <w:t>万元，2016年支出为</w:t>
      </w:r>
      <w:r>
        <w:rPr>
          <w:rFonts w:hint="eastAsia" w:ascii="仿宋" w:hAnsi="仿宋" w:eastAsia="仿宋"/>
          <w:szCs w:val="32"/>
          <w:lang w:val="en-US" w:eastAsia="zh-CN"/>
        </w:rPr>
        <w:t>0</w:t>
      </w:r>
      <w:r>
        <w:rPr>
          <w:rFonts w:hint="eastAsia" w:ascii="仿宋" w:hAnsi="仿宋" w:eastAsia="仿宋"/>
          <w:szCs w:val="32"/>
        </w:rPr>
        <w:t>万元，原因是：2017年未发生培训费支出，2016年也未发生培训费支出。</w:t>
      </w:r>
    </w:p>
    <w:bookmarkEnd w:id="22"/>
    <w:bookmarkEnd w:id="23"/>
    <w:p>
      <w:pPr>
        <w:ind w:firstLine="640"/>
        <w:rPr>
          <w:rFonts w:ascii="仿宋" w:hAnsi="仿宋" w:eastAsia="仿宋"/>
        </w:rPr>
      </w:pPr>
      <w:r>
        <w:rPr>
          <w:rFonts w:hint="eastAsia" w:ascii="仿宋" w:hAnsi="仿宋" w:eastAsia="仿宋"/>
          <w:szCs w:val="32"/>
        </w:rPr>
        <w:t>培训费支出情况。2017年培训费总计</w:t>
      </w:r>
      <w:r>
        <w:rPr>
          <w:rFonts w:hint="eastAsia" w:ascii="仿宋" w:hAnsi="仿宋" w:eastAsia="仿宋"/>
          <w:szCs w:val="32"/>
          <w:lang w:val="en-US" w:eastAsia="zh-CN"/>
        </w:rPr>
        <w:t>0</w:t>
      </w:r>
      <w:r>
        <w:rPr>
          <w:rFonts w:hint="eastAsia" w:ascii="仿宋" w:hAnsi="仿宋" w:eastAsia="仿宋"/>
          <w:szCs w:val="32"/>
        </w:rPr>
        <w:t>万元，2016年支出为</w:t>
      </w:r>
      <w:r>
        <w:rPr>
          <w:rFonts w:hint="eastAsia" w:ascii="仿宋" w:hAnsi="仿宋" w:eastAsia="仿宋"/>
          <w:szCs w:val="32"/>
          <w:lang w:val="en-US" w:eastAsia="zh-CN"/>
        </w:rPr>
        <w:t>0</w:t>
      </w:r>
      <w:r>
        <w:rPr>
          <w:rFonts w:hint="eastAsia" w:ascii="仿宋" w:hAnsi="仿宋" w:eastAsia="仿宋"/>
          <w:szCs w:val="32"/>
        </w:rPr>
        <w:t>万元，原因是：2017年未发生培训费支出，2016年也未发生培训费支出。</w:t>
      </w:r>
    </w:p>
    <w:p>
      <w:pPr>
        <w:widowControl/>
        <w:spacing w:line="580" w:lineRule="exact"/>
        <w:ind w:firstLine="643"/>
        <w:rPr>
          <w:rFonts w:ascii="仿宋_GB2312"/>
          <w:b/>
          <w:szCs w:val="32"/>
        </w:rPr>
      </w:pP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ZFangSong-Z02">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8</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17</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6F7ED"/>
    <w:multiLevelType w:val="singleLevel"/>
    <w:tmpl w:val="EAE6F7E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RhNmViOTZiYTU3ZDg3N2VjMGM0MDNlYjA0NzQifQ=="/>
  </w:docVars>
  <w:rsids>
    <w:rsidRoot w:val="00562ED9"/>
    <w:rsid w:val="00005A31"/>
    <w:rsid w:val="000244B1"/>
    <w:rsid w:val="00054C53"/>
    <w:rsid w:val="0007561C"/>
    <w:rsid w:val="00091210"/>
    <w:rsid w:val="000F00FD"/>
    <w:rsid w:val="00103253"/>
    <w:rsid w:val="0011224D"/>
    <w:rsid w:val="00127C8F"/>
    <w:rsid w:val="00155A0C"/>
    <w:rsid w:val="00172A9E"/>
    <w:rsid w:val="00175A3A"/>
    <w:rsid w:val="0017741E"/>
    <w:rsid w:val="0019263B"/>
    <w:rsid w:val="001943B8"/>
    <w:rsid w:val="001F41FA"/>
    <w:rsid w:val="001F78B4"/>
    <w:rsid w:val="00204503"/>
    <w:rsid w:val="00231700"/>
    <w:rsid w:val="00271D6D"/>
    <w:rsid w:val="0027309A"/>
    <w:rsid w:val="00273E03"/>
    <w:rsid w:val="0029596B"/>
    <w:rsid w:val="002A3356"/>
    <w:rsid w:val="002B44F3"/>
    <w:rsid w:val="002D1C92"/>
    <w:rsid w:val="002F07EA"/>
    <w:rsid w:val="00305FCB"/>
    <w:rsid w:val="00310A7C"/>
    <w:rsid w:val="00312F9F"/>
    <w:rsid w:val="003155B1"/>
    <w:rsid w:val="003209A7"/>
    <w:rsid w:val="0033213A"/>
    <w:rsid w:val="00394DBA"/>
    <w:rsid w:val="003D144F"/>
    <w:rsid w:val="003F6043"/>
    <w:rsid w:val="00404BA5"/>
    <w:rsid w:val="00405DD5"/>
    <w:rsid w:val="00443128"/>
    <w:rsid w:val="00450D4D"/>
    <w:rsid w:val="004B62B0"/>
    <w:rsid w:val="004B6A93"/>
    <w:rsid w:val="004C0AD0"/>
    <w:rsid w:val="004C5230"/>
    <w:rsid w:val="004E7B5F"/>
    <w:rsid w:val="004F1F8E"/>
    <w:rsid w:val="00502034"/>
    <w:rsid w:val="005046AD"/>
    <w:rsid w:val="005462E5"/>
    <w:rsid w:val="00562ED9"/>
    <w:rsid w:val="00593550"/>
    <w:rsid w:val="00594763"/>
    <w:rsid w:val="005B676C"/>
    <w:rsid w:val="005C39CD"/>
    <w:rsid w:val="005C5A21"/>
    <w:rsid w:val="005C7CFB"/>
    <w:rsid w:val="005E2EB4"/>
    <w:rsid w:val="005E382E"/>
    <w:rsid w:val="006216C9"/>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617B5"/>
    <w:rsid w:val="0076582D"/>
    <w:rsid w:val="007753B0"/>
    <w:rsid w:val="0079708C"/>
    <w:rsid w:val="007C3426"/>
    <w:rsid w:val="007C4984"/>
    <w:rsid w:val="007D592B"/>
    <w:rsid w:val="007F02C0"/>
    <w:rsid w:val="007F1632"/>
    <w:rsid w:val="0080381A"/>
    <w:rsid w:val="00810D21"/>
    <w:rsid w:val="008248C5"/>
    <w:rsid w:val="00830C9C"/>
    <w:rsid w:val="008529DA"/>
    <w:rsid w:val="008716D0"/>
    <w:rsid w:val="008846F6"/>
    <w:rsid w:val="008951B5"/>
    <w:rsid w:val="008A092F"/>
    <w:rsid w:val="008C78C5"/>
    <w:rsid w:val="008F3A14"/>
    <w:rsid w:val="008F79A7"/>
    <w:rsid w:val="0092275C"/>
    <w:rsid w:val="00937A08"/>
    <w:rsid w:val="00945029"/>
    <w:rsid w:val="00952574"/>
    <w:rsid w:val="0096428A"/>
    <w:rsid w:val="00965AC4"/>
    <w:rsid w:val="009A2241"/>
    <w:rsid w:val="009D3E47"/>
    <w:rsid w:val="009E2E05"/>
    <w:rsid w:val="009F4499"/>
    <w:rsid w:val="00A05198"/>
    <w:rsid w:val="00A13A55"/>
    <w:rsid w:val="00A266EB"/>
    <w:rsid w:val="00A4272B"/>
    <w:rsid w:val="00A513A6"/>
    <w:rsid w:val="00A93803"/>
    <w:rsid w:val="00A96284"/>
    <w:rsid w:val="00AA33A5"/>
    <w:rsid w:val="00AB34E3"/>
    <w:rsid w:val="00AC76D6"/>
    <w:rsid w:val="00AF2C1C"/>
    <w:rsid w:val="00AF4574"/>
    <w:rsid w:val="00B42B02"/>
    <w:rsid w:val="00B701EF"/>
    <w:rsid w:val="00B72BF5"/>
    <w:rsid w:val="00B86180"/>
    <w:rsid w:val="00B96A7F"/>
    <w:rsid w:val="00BA26B2"/>
    <w:rsid w:val="00BB55D2"/>
    <w:rsid w:val="00BC4069"/>
    <w:rsid w:val="00BC625F"/>
    <w:rsid w:val="00BD1171"/>
    <w:rsid w:val="00BD3AEF"/>
    <w:rsid w:val="00BF1C0F"/>
    <w:rsid w:val="00C1524A"/>
    <w:rsid w:val="00C36EFE"/>
    <w:rsid w:val="00C43FB4"/>
    <w:rsid w:val="00C7034F"/>
    <w:rsid w:val="00C718F3"/>
    <w:rsid w:val="00C72D7D"/>
    <w:rsid w:val="00CE7AA1"/>
    <w:rsid w:val="00CF1175"/>
    <w:rsid w:val="00CF7D21"/>
    <w:rsid w:val="00D2211A"/>
    <w:rsid w:val="00D2301D"/>
    <w:rsid w:val="00D34D1F"/>
    <w:rsid w:val="00D4698B"/>
    <w:rsid w:val="00D51081"/>
    <w:rsid w:val="00D82AF5"/>
    <w:rsid w:val="00D87BD4"/>
    <w:rsid w:val="00DE515A"/>
    <w:rsid w:val="00E03175"/>
    <w:rsid w:val="00E07C9C"/>
    <w:rsid w:val="00E3557D"/>
    <w:rsid w:val="00E5216F"/>
    <w:rsid w:val="00E7487B"/>
    <w:rsid w:val="00EA5972"/>
    <w:rsid w:val="00EB30EF"/>
    <w:rsid w:val="00EB45A9"/>
    <w:rsid w:val="00EB63A9"/>
    <w:rsid w:val="00EC62AA"/>
    <w:rsid w:val="00ED09E5"/>
    <w:rsid w:val="00ED6876"/>
    <w:rsid w:val="00ED6B4C"/>
    <w:rsid w:val="00EF493B"/>
    <w:rsid w:val="00F0518B"/>
    <w:rsid w:val="00F05F78"/>
    <w:rsid w:val="00F06F8D"/>
    <w:rsid w:val="00F43EDE"/>
    <w:rsid w:val="00F4554A"/>
    <w:rsid w:val="00F7462B"/>
    <w:rsid w:val="00F9758A"/>
    <w:rsid w:val="00FB3986"/>
    <w:rsid w:val="00FB7635"/>
    <w:rsid w:val="00FC3BAC"/>
    <w:rsid w:val="00FD5BCA"/>
    <w:rsid w:val="00FF5676"/>
    <w:rsid w:val="00FF65FE"/>
    <w:rsid w:val="47362C82"/>
    <w:rsid w:val="55866A20"/>
    <w:rsid w:val="5E4C39B4"/>
    <w:rsid w:val="633E1A66"/>
    <w:rsid w:val="66695E58"/>
    <w:rsid w:val="6A9A63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Calibri" w:hAnsi="Calibri" w:eastAsia="宋体" w:cs="Times New Roman"/>
      <w:kern w:val="0"/>
      <w:sz w:val="18"/>
      <w:szCs w:val="18"/>
    </w:rPr>
  </w:style>
  <w:style w:type="character" w:customStyle="1" w:styleId="8">
    <w:name w:val="页脚 Char"/>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20</Pages>
  <Words>932</Words>
  <Characters>5316</Characters>
  <Lines>44</Lines>
  <Paragraphs>12</Paragraphs>
  <TotalTime>1</TotalTime>
  <ScaleCrop>false</ScaleCrop>
  <LinksUpToDate>false</LinksUpToDate>
  <CharactersWithSpaces>6236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2019-03-11T08:20:00Z</dcterms:created>
  <dc:creator>jia</dc:creator>
  <cp:lastModifiedBy>home</cp:lastModifiedBy>
  <dcterms:modified xsi:type="dcterms:W3CDTF">2023-09-19T07:04:47Z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A83EDBEBD12E447286483F4F8D620034_12</vt:lpwstr>
  </property>
</Properties>
</file>