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hint="eastAsia" w:asciiTheme="minorEastAsia" w:hAnsiTheme="minorEastAsia" w:eastAsiaTheme="minorEastAsia"/>
          <w:sz w:val="44"/>
          <w:szCs w:val="44"/>
          <w:lang w:eastAsia="zh-CN"/>
        </w:rPr>
      </w:pPr>
      <w:bookmarkStart w:id="0" w:name="_GoBack"/>
      <w:bookmarkEnd w:id="0"/>
      <w:r>
        <w:rPr>
          <w:rFonts w:hint="eastAsia" w:asciiTheme="minorEastAsia" w:hAnsiTheme="minorEastAsia" w:eastAsiaTheme="minorEastAsia"/>
          <w:sz w:val="44"/>
          <w:szCs w:val="44"/>
        </w:rPr>
        <w:t>海港区</w:t>
      </w:r>
      <w:r>
        <w:rPr>
          <w:rFonts w:hint="eastAsia" w:asciiTheme="minorEastAsia" w:hAnsiTheme="minorEastAsia" w:eastAsiaTheme="minorEastAsia"/>
          <w:sz w:val="44"/>
          <w:szCs w:val="44"/>
          <w:lang w:eastAsia="zh-CN"/>
        </w:rPr>
        <w:t>机关事务管理局</w:t>
      </w:r>
    </w:p>
    <w:p>
      <w:pPr>
        <w:ind w:firstLine="880"/>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2016年度部门决算公开说明</w:t>
      </w:r>
    </w:p>
    <w:p>
      <w:pPr>
        <w:ind w:firstLine="880"/>
        <w:rPr>
          <w:rFonts w:ascii="黑体" w:hAnsi="黑体" w:eastAsia="黑体"/>
          <w:szCs w:val="32"/>
        </w:rPr>
      </w:pPr>
      <w:r>
        <w:rPr>
          <w:rFonts w:ascii="方正小标宋_GBK" w:eastAsia="方正小标宋_GBK"/>
          <w:sz w:val="44"/>
          <w:szCs w:val="44"/>
        </w:rPr>
        <w:pict>
          <v:shape id="Text Box 2" o:spid="_x0000_s1026" o:spt="202" type="#_x0000_t202" style="position:absolute;left:0pt;margin-left:-35.4pt;margin-top:-81.05pt;height:37.2pt;width:79.4pt;z-index:251659264;mso-width-relative:margin;mso-height-relative:margin;mso-height-percent:200;"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">
            <v:path/>
            <v:fill focussize="0,0"/>
            <v:stroke on="f" joinstyle="miter"/>
            <v:imagedata o:title=""/>
            <o:lock v:ext="edit"/>
            <v:textbox style="mso-fit-shape-to-text:t;">
              <w:txbxContent>
                <w:p>
                  <w:pPr>
                    <w:ind w:firstLine="640"/>
                  </w:pPr>
                </w:p>
              </w:txbxContent>
            </v:textbox>
          </v:shape>
        </w:pict>
      </w:r>
    </w:p>
    <w:p>
      <w:pPr>
        <w:spacing w:line="240" w:lineRule="atLeast"/>
        <w:ind w:firstLine="640"/>
        <w:jc w:val="center"/>
        <w:rPr>
          <w:rFonts w:ascii="仿宋_GB2312" w:hAnsi="黑体"/>
          <w:sz w:val="24"/>
          <w:szCs w:val="32"/>
        </w:rPr>
      </w:pPr>
      <w:r>
        <w:rPr>
          <w:rFonts w:hint="eastAsia" w:ascii="黑体" w:hAnsi="黑体" w:eastAsia="黑体"/>
          <w:szCs w:val="32"/>
        </w:rPr>
        <w:t>第一部分   海港区机关事务管理局部门概况</w:t>
      </w:r>
    </w:p>
    <w:p>
      <w:pPr>
        <w:spacing w:line="240" w:lineRule="atLeast"/>
        <w:ind w:firstLine="640"/>
        <w:rPr>
          <w:rFonts w:ascii="黑体" w:hAnsi="黑体" w:eastAsia="黑体"/>
          <w:szCs w:val="32"/>
        </w:rPr>
      </w:pPr>
      <w:r>
        <w:rPr>
          <w:rFonts w:hint="eastAsia" w:ascii="黑体" w:hAnsi="黑体" w:eastAsia="黑体"/>
          <w:szCs w:val="32"/>
        </w:rPr>
        <w:t>一、部门职责</w:t>
      </w:r>
    </w:p>
    <w:p>
      <w:pPr>
        <w:spacing w:line="240" w:lineRule="atLeast"/>
        <w:ind w:firstLine="643"/>
        <w:rPr>
          <w:rFonts w:ascii="仿宋" w:hAnsi="仿宋" w:eastAsia="仿宋"/>
          <w:szCs w:val="32"/>
        </w:rPr>
      </w:pPr>
      <w:r>
        <w:rPr>
          <w:rFonts w:hint="eastAsia" w:ascii="仿宋" w:hAnsi="仿宋" w:eastAsia="仿宋"/>
          <w:b/>
          <w:szCs w:val="32"/>
        </w:rPr>
        <w:t>1、</w:t>
      </w:r>
      <w:r>
        <w:rPr>
          <w:rFonts w:hint="eastAsia" w:ascii="仿宋" w:hAnsi="仿宋" w:eastAsia="仿宋"/>
          <w:szCs w:val="32"/>
        </w:rPr>
        <w:t>编制部门费用预算，严格控制部门费用的使用，拟定、落实部门年度工作计划，制定、修订、落实本部门主责范围内各项规章制度与流程，</w:t>
      </w:r>
    </w:p>
    <w:p>
      <w:pPr>
        <w:spacing w:line="240" w:lineRule="atLeast"/>
        <w:ind w:firstLine="643"/>
        <w:rPr>
          <w:rFonts w:ascii="仿宋" w:hAnsi="仿宋" w:eastAsia="仿宋"/>
          <w:szCs w:val="32"/>
        </w:rPr>
      </w:pPr>
      <w:r>
        <w:rPr>
          <w:rFonts w:hint="eastAsia" w:ascii="仿宋" w:hAnsi="仿宋" w:eastAsia="仿宋"/>
          <w:b/>
          <w:szCs w:val="32"/>
        </w:rPr>
        <w:t>2、</w:t>
      </w:r>
      <w:r>
        <w:rPr>
          <w:rFonts w:hint="eastAsia" w:ascii="仿宋" w:hAnsi="仿宋" w:eastAsia="仿宋"/>
          <w:szCs w:val="32"/>
        </w:rPr>
        <w:t>负责组织协调工作，纪律监督工作，公文办理工作，后勤保障工作，档案管理工作，完成领导交办的其他工作。</w:t>
      </w:r>
    </w:p>
    <w:p>
      <w:pPr>
        <w:spacing w:line="240" w:lineRule="atLeast"/>
        <w:ind w:firstLine="643"/>
        <w:rPr>
          <w:rFonts w:ascii="仿宋" w:hAnsi="仿宋" w:eastAsia="仿宋"/>
          <w:szCs w:val="32"/>
        </w:rPr>
      </w:pPr>
      <w:r>
        <w:rPr>
          <w:rFonts w:hint="eastAsia" w:ascii="仿宋" w:hAnsi="仿宋" w:eastAsia="仿宋"/>
          <w:b/>
          <w:szCs w:val="32"/>
        </w:rPr>
        <w:t>3、</w:t>
      </w:r>
      <w:r>
        <w:rPr>
          <w:rFonts w:hint="eastAsia" w:ascii="仿宋" w:hAnsi="仿宋" w:eastAsia="仿宋"/>
          <w:szCs w:val="32"/>
        </w:rPr>
        <w:t>登记和管理区市民中心安保工作及车卡和车证的发放和管理。负责职工浴池、健身房和医务室的卫生和设备设施的维修保养及管理。</w:t>
      </w:r>
    </w:p>
    <w:p>
      <w:pPr>
        <w:spacing w:line="240" w:lineRule="atLeast"/>
        <w:ind w:firstLine="643"/>
        <w:rPr>
          <w:rFonts w:ascii="仿宋" w:hAnsi="仿宋" w:eastAsia="仿宋"/>
          <w:szCs w:val="32"/>
        </w:rPr>
      </w:pPr>
      <w:r>
        <w:rPr>
          <w:rFonts w:hint="eastAsia" w:ascii="仿宋" w:hAnsi="仿宋" w:eastAsia="仿宋"/>
          <w:b/>
          <w:szCs w:val="32"/>
        </w:rPr>
        <w:t>4、</w:t>
      </w:r>
      <w:r>
        <w:rPr>
          <w:rFonts w:hint="eastAsia" w:ascii="仿宋" w:hAnsi="仿宋" w:eastAsia="仿宋"/>
          <w:szCs w:val="32"/>
        </w:rPr>
        <w:t>区市民中心公共区域、区文化馆和室外区域的保洁工作。</w:t>
      </w:r>
    </w:p>
    <w:p>
      <w:pPr>
        <w:spacing w:line="240" w:lineRule="atLeast"/>
        <w:ind w:firstLine="643"/>
        <w:rPr>
          <w:rFonts w:ascii="仿宋" w:hAnsi="仿宋" w:eastAsia="仿宋"/>
          <w:szCs w:val="32"/>
        </w:rPr>
      </w:pPr>
      <w:r>
        <w:rPr>
          <w:rFonts w:hint="eastAsia" w:ascii="仿宋" w:hAnsi="仿宋" w:eastAsia="仿宋"/>
          <w:b/>
          <w:szCs w:val="32"/>
        </w:rPr>
        <w:t>5、</w:t>
      </w:r>
      <w:r>
        <w:rPr>
          <w:rFonts w:hint="eastAsia" w:ascii="仿宋" w:hAnsi="仿宋" w:eastAsia="仿宋"/>
          <w:szCs w:val="32"/>
        </w:rPr>
        <w:t>负责供电系统、消防监控系统、中央空调系统、门禁系统等配套设施的巡视，维修和保养。负责公共照明、智能化系统的维护及房屋、洁具等报修项目的处理。</w:t>
      </w:r>
    </w:p>
    <w:p>
      <w:pPr>
        <w:spacing w:line="240" w:lineRule="atLeast"/>
        <w:ind w:firstLine="643"/>
        <w:rPr>
          <w:rFonts w:ascii="仿宋" w:hAnsi="仿宋" w:eastAsia="仿宋"/>
          <w:szCs w:val="32"/>
        </w:rPr>
      </w:pPr>
      <w:r>
        <w:rPr>
          <w:rFonts w:hint="eastAsia" w:ascii="仿宋" w:hAnsi="仿宋" w:eastAsia="仿宋"/>
          <w:b/>
          <w:szCs w:val="32"/>
        </w:rPr>
        <w:t>6、</w:t>
      </w:r>
      <w:r>
        <w:rPr>
          <w:rFonts w:hint="eastAsia" w:ascii="仿宋" w:hAnsi="仿宋" w:eastAsia="仿宋"/>
          <w:szCs w:val="32"/>
        </w:rPr>
        <w:t>负责中央空调、电梯、弱电、消防等主要设备设施的技术支持，协调安装单位进行维保服务。</w:t>
      </w:r>
    </w:p>
    <w:p>
      <w:pPr>
        <w:spacing w:line="240" w:lineRule="atLeast"/>
        <w:ind w:firstLine="643"/>
        <w:rPr>
          <w:rFonts w:ascii="仿宋" w:hAnsi="仿宋" w:eastAsia="仿宋"/>
          <w:szCs w:val="32"/>
        </w:rPr>
      </w:pPr>
      <w:r>
        <w:rPr>
          <w:rFonts w:hint="eastAsia" w:ascii="仿宋" w:hAnsi="仿宋" w:eastAsia="仿宋"/>
          <w:b/>
          <w:szCs w:val="32"/>
        </w:rPr>
        <w:t>7、</w:t>
      </w:r>
      <w:r>
        <w:rPr>
          <w:rFonts w:hint="eastAsia" w:ascii="仿宋" w:hAnsi="仿宋" w:eastAsia="仿宋"/>
          <w:szCs w:val="32"/>
        </w:rPr>
        <w:t>负责数量较大的公文会议材料、宣传材料的印制。</w:t>
      </w:r>
    </w:p>
    <w:p>
      <w:pPr>
        <w:spacing w:line="240" w:lineRule="atLeast"/>
        <w:ind w:firstLine="643"/>
        <w:rPr>
          <w:rFonts w:ascii="仿宋" w:hAnsi="仿宋" w:eastAsia="仿宋"/>
          <w:szCs w:val="32"/>
        </w:rPr>
      </w:pPr>
      <w:r>
        <w:rPr>
          <w:rFonts w:hint="eastAsia" w:ascii="仿宋" w:hAnsi="仿宋" w:eastAsia="仿宋"/>
          <w:b/>
          <w:szCs w:val="32"/>
        </w:rPr>
        <w:t>8、</w:t>
      </w:r>
      <w:r>
        <w:rPr>
          <w:rFonts w:hint="eastAsia" w:ascii="仿宋" w:hAnsi="仿宋" w:eastAsia="仿宋"/>
          <w:szCs w:val="32"/>
        </w:rPr>
        <w:t>负责维护，管理和调试音响设备及会议服务。</w:t>
      </w:r>
    </w:p>
    <w:p>
      <w:pPr>
        <w:spacing w:line="240" w:lineRule="atLeast"/>
        <w:ind w:firstLine="643"/>
        <w:rPr>
          <w:rFonts w:ascii="仿宋" w:hAnsi="仿宋" w:eastAsia="仿宋"/>
          <w:szCs w:val="32"/>
        </w:rPr>
      </w:pPr>
      <w:r>
        <w:rPr>
          <w:rFonts w:hint="eastAsia" w:ascii="仿宋" w:hAnsi="仿宋" w:eastAsia="仿宋"/>
          <w:b/>
          <w:szCs w:val="32"/>
        </w:rPr>
        <w:t>9、</w:t>
      </w:r>
      <w:r>
        <w:rPr>
          <w:rFonts w:hint="eastAsia" w:ascii="仿宋" w:hAnsi="仿宋" w:eastAsia="仿宋"/>
          <w:szCs w:val="32"/>
        </w:rPr>
        <w:t>管理和协调区大型车辆车队的使用，用于满足会务、调研、大型活动的需要。</w:t>
      </w:r>
    </w:p>
    <w:p>
      <w:pPr>
        <w:spacing w:line="240" w:lineRule="atLeast"/>
        <w:ind w:firstLine="482" w:firstLineChars="150"/>
        <w:rPr>
          <w:rFonts w:ascii="仿宋" w:hAnsi="仿宋" w:eastAsia="仿宋"/>
          <w:szCs w:val="32"/>
        </w:rPr>
      </w:pPr>
      <w:r>
        <w:rPr>
          <w:rFonts w:hint="eastAsia" w:ascii="仿宋" w:hAnsi="仿宋" w:eastAsia="仿宋"/>
          <w:b/>
          <w:szCs w:val="32"/>
        </w:rPr>
        <w:t>10、</w:t>
      </w:r>
      <w:r>
        <w:rPr>
          <w:rFonts w:hint="eastAsia" w:ascii="仿宋" w:hAnsi="仿宋" w:eastAsia="仿宋"/>
          <w:szCs w:val="32"/>
        </w:rPr>
        <w:t>公务用车平台的建立及管理。</w:t>
      </w:r>
    </w:p>
    <w:p>
      <w:pPr>
        <w:spacing w:line="240" w:lineRule="atLeast"/>
        <w:ind w:firstLine="482" w:firstLineChars="150"/>
        <w:rPr>
          <w:rFonts w:ascii="仿宋" w:hAnsi="仿宋" w:eastAsia="仿宋"/>
          <w:szCs w:val="32"/>
        </w:rPr>
      </w:pPr>
      <w:r>
        <w:rPr>
          <w:rFonts w:hint="eastAsia" w:ascii="仿宋" w:hAnsi="仿宋" w:eastAsia="仿宋"/>
          <w:b/>
          <w:szCs w:val="32"/>
        </w:rPr>
        <w:t>11、</w:t>
      </w:r>
      <w:r>
        <w:rPr>
          <w:rFonts w:hint="eastAsia" w:ascii="仿宋" w:hAnsi="仿宋" w:eastAsia="仿宋"/>
          <w:szCs w:val="32"/>
        </w:rPr>
        <w:t>对外联络办公室负责承接国内正县级以上领导考察团的接待工作等，以及区委区政府交办的其他事项。</w:t>
      </w:r>
    </w:p>
    <w:p>
      <w:pPr>
        <w:spacing w:line="240" w:lineRule="atLeast"/>
        <w:ind w:firstLine="482" w:firstLineChars="150"/>
        <w:rPr>
          <w:rFonts w:ascii="仿宋" w:hAnsi="仿宋" w:eastAsia="仿宋"/>
          <w:szCs w:val="32"/>
        </w:rPr>
      </w:pPr>
      <w:r>
        <w:rPr>
          <w:rFonts w:hint="eastAsia" w:ascii="仿宋" w:hAnsi="仿宋" w:eastAsia="仿宋"/>
          <w:b/>
          <w:szCs w:val="32"/>
        </w:rPr>
        <w:t>12、</w:t>
      </w:r>
      <w:r>
        <w:rPr>
          <w:rFonts w:hint="eastAsia" w:ascii="仿宋" w:hAnsi="仿宋" w:eastAsia="仿宋"/>
          <w:szCs w:val="32"/>
        </w:rPr>
        <w:t>承办区政府交办的其他事项。</w:t>
      </w:r>
    </w:p>
    <w:p>
      <w:pPr>
        <w:spacing w:line="240" w:lineRule="atLeast"/>
        <w:ind w:firstLineChars="0"/>
        <w:rPr>
          <w:rFonts w:ascii="黑体" w:hAnsi="黑体" w:eastAsia="黑体"/>
          <w:szCs w:val="32"/>
        </w:rPr>
      </w:pPr>
      <w:r>
        <w:rPr>
          <w:rFonts w:hint="eastAsia" w:ascii="黑体" w:hAnsi="黑体" w:eastAsia="黑体"/>
          <w:szCs w:val="32"/>
        </w:rPr>
        <w:t xml:space="preserve">  二、部门决算单位构成</w:t>
      </w:r>
    </w:p>
    <w:p>
      <w:pPr>
        <w:spacing w:line="240" w:lineRule="atLeast"/>
        <w:ind w:firstLineChars="0"/>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海港区</w:t>
      </w:r>
      <w:r>
        <w:rPr>
          <w:rFonts w:hint="eastAsia" w:ascii="黑体" w:hAnsi="黑体" w:eastAsia="黑体"/>
          <w:szCs w:val="32"/>
          <w:lang w:eastAsia="zh-CN"/>
        </w:rPr>
        <w:t>机关事务管理局</w:t>
      </w:r>
      <w:r>
        <w:rPr>
          <w:rFonts w:hint="eastAsia" w:ascii="黑体" w:hAnsi="黑体" w:eastAsia="黑体"/>
          <w:szCs w:val="32"/>
        </w:rPr>
        <w:t>仅有一个部门决算单位</w:t>
      </w:r>
    </w:p>
    <w:p>
      <w:pPr>
        <w:spacing w:line="240" w:lineRule="atLeast"/>
        <w:ind w:firstLineChars="0"/>
        <w:rPr>
          <w:rFonts w:ascii="黑体" w:hAnsi="黑体" w:eastAsia="黑体"/>
          <w:szCs w:val="32"/>
        </w:rPr>
      </w:pPr>
    </w:p>
    <w:p>
      <w:pPr>
        <w:spacing w:line="240" w:lineRule="atLeast"/>
        <w:ind w:firstLineChars="0"/>
        <w:rPr>
          <w:rFonts w:ascii="仿宋_GB2312" w:hAnsi="黑体"/>
          <w:sz w:val="20"/>
          <w:szCs w:val="32"/>
        </w:rPr>
      </w:pPr>
      <w:r>
        <w:rPr>
          <w:rFonts w:hint="eastAsia" w:ascii="黑体" w:hAnsi="黑体" w:eastAsia="黑体"/>
          <w:szCs w:val="32"/>
        </w:rPr>
        <w:t>第二部分   海港区机关事务管理局2016年度部门决算报表</w:t>
      </w:r>
    </w:p>
    <w:p>
      <w:pPr>
        <w:spacing w:line="240" w:lineRule="atLeast"/>
        <w:ind w:left="640" w:firstLine="640"/>
        <w:rPr>
          <w:rFonts w:ascii="仿宋" w:hAnsi="仿宋" w:eastAsia="仿宋"/>
          <w:szCs w:val="32"/>
        </w:rPr>
      </w:pPr>
      <w:r>
        <w:rPr>
          <w:rFonts w:hint="eastAsia" w:ascii="仿宋" w:hAnsi="仿宋" w:eastAsia="仿宋"/>
          <w:szCs w:val="32"/>
        </w:rPr>
        <w:t>一、收入支出决算总表</w:t>
      </w:r>
    </w:p>
    <w:p>
      <w:pPr>
        <w:spacing w:line="240" w:lineRule="atLeast"/>
        <w:ind w:left="640" w:firstLine="640"/>
        <w:rPr>
          <w:rFonts w:ascii="仿宋" w:hAnsi="仿宋" w:eastAsia="仿宋"/>
          <w:szCs w:val="32"/>
        </w:rPr>
      </w:pPr>
      <w:r>
        <w:rPr>
          <w:rFonts w:hint="eastAsia" w:ascii="仿宋" w:hAnsi="仿宋" w:eastAsia="仿宋"/>
          <w:szCs w:val="32"/>
        </w:rPr>
        <w:t>二、收入决算表</w:t>
      </w:r>
    </w:p>
    <w:p>
      <w:pPr>
        <w:spacing w:line="240" w:lineRule="atLeast"/>
        <w:ind w:left="640" w:firstLine="640"/>
        <w:rPr>
          <w:rFonts w:ascii="仿宋" w:hAnsi="仿宋" w:eastAsia="仿宋"/>
          <w:szCs w:val="32"/>
        </w:rPr>
      </w:pPr>
      <w:r>
        <w:rPr>
          <w:rFonts w:hint="eastAsia" w:ascii="仿宋" w:hAnsi="仿宋" w:eastAsia="仿宋"/>
          <w:szCs w:val="32"/>
        </w:rPr>
        <w:t>三、支出决算表</w:t>
      </w:r>
    </w:p>
    <w:p>
      <w:pPr>
        <w:spacing w:line="240" w:lineRule="atLeast"/>
        <w:ind w:left="640" w:firstLine="640"/>
        <w:rPr>
          <w:rFonts w:ascii="仿宋" w:hAnsi="仿宋" w:eastAsia="仿宋"/>
          <w:szCs w:val="32"/>
        </w:rPr>
      </w:pPr>
      <w:r>
        <w:rPr>
          <w:rFonts w:hint="eastAsia" w:ascii="仿宋" w:hAnsi="仿宋" w:eastAsia="仿宋"/>
          <w:szCs w:val="32"/>
        </w:rPr>
        <w:t>四、财政拨款收入支出决算总表</w:t>
      </w:r>
    </w:p>
    <w:p>
      <w:pPr>
        <w:spacing w:line="240" w:lineRule="atLeast"/>
        <w:ind w:left="640" w:firstLine="640"/>
        <w:rPr>
          <w:rFonts w:ascii="仿宋" w:hAnsi="仿宋" w:eastAsia="仿宋"/>
          <w:szCs w:val="32"/>
        </w:rPr>
      </w:pPr>
      <w:r>
        <w:rPr>
          <w:rFonts w:hint="eastAsia" w:ascii="仿宋" w:hAnsi="仿宋" w:eastAsia="仿宋"/>
          <w:szCs w:val="32"/>
        </w:rPr>
        <w:t>五、一般公共预算财政拨款支出决算表</w:t>
      </w:r>
    </w:p>
    <w:p>
      <w:pPr>
        <w:spacing w:line="240" w:lineRule="atLeast"/>
        <w:ind w:left="640" w:firstLine="640"/>
        <w:rPr>
          <w:rFonts w:ascii="仿宋" w:hAnsi="仿宋" w:eastAsia="仿宋"/>
          <w:szCs w:val="32"/>
        </w:rPr>
      </w:pPr>
      <w:r>
        <w:rPr>
          <w:rFonts w:hint="eastAsia" w:ascii="仿宋" w:hAnsi="仿宋" w:eastAsia="仿宋"/>
          <w:szCs w:val="32"/>
        </w:rPr>
        <w:t>六、一般公共预算财政拨款基本支出决算表</w:t>
      </w:r>
    </w:p>
    <w:p>
      <w:pPr>
        <w:spacing w:line="240" w:lineRule="atLeast"/>
        <w:ind w:left="640" w:firstLine="640"/>
        <w:rPr>
          <w:rFonts w:ascii="仿宋" w:hAnsi="仿宋" w:eastAsia="仿宋"/>
          <w:szCs w:val="32"/>
        </w:rPr>
      </w:pPr>
      <w:r>
        <w:rPr>
          <w:rFonts w:hint="eastAsia" w:ascii="仿宋" w:hAnsi="仿宋" w:eastAsia="仿宋"/>
          <w:szCs w:val="32"/>
        </w:rPr>
        <w:t>七、政府性基金预算财政拨款收入支出决算表</w:t>
      </w:r>
    </w:p>
    <w:p>
      <w:pPr>
        <w:spacing w:line="240" w:lineRule="atLeast"/>
        <w:ind w:left="640" w:firstLine="640"/>
        <w:rPr>
          <w:rFonts w:ascii="仿宋" w:hAnsi="仿宋" w:eastAsia="仿宋"/>
          <w:szCs w:val="32"/>
        </w:rPr>
      </w:pPr>
      <w:r>
        <w:rPr>
          <w:rFonts w:hint="eastAsia" w:ascii="仿宋" w:hAnsi="仿宋" w:eastAsia="仿宋"/>
          <w:szCs w:val="32"/>
        </w:rPr>
        <w:t>八、国有资本经营预算财政拨款支出决算表</w:t>
      </w:r>
    </w:p>
    <w:p>
      <w:pPr>
        <w:spacing w:line="240" w:lineRule="atLeast"/>
        <w:ind w:left="640" w:firstLine="640"/>
        <w:rPr>
          <w:rFonts w:ascii="仿宋" w:hAnsi="仿宋" w:eastAsia="仿宋"/>
          <w:szCs w:val="32"/>
        </w:rPr>
      </w:pPr>
      <w:r>
        <w:rPr>
          <w:rFonts w:hint="eastAsia" w:ascii="仿宋" w:hAnsi="仿宋" w:eastAsia="仿宋"/>
          <w:szCs w:val="32"/>
        </w:rPr>
        <w:t>九、“三公”经费及相关信息统计表</w:t>
      </w:r>
    </w:p>
    <w:p>
      <w:pPr>
        <w:spacing w:line="240" w:lineRule="atLeast"/>
        <w:ind w:left="640" w:firstLine="640"/>
        <w:rPr>
          <w:rFonts w:ascii="仿宋" w:hAnsi="仿宋" w:eastAsia="仿宋"/>
          <w:szCs w:val="32"/>
        </w:rPr>
      </w:pPr>
      <w:r>
        <w:rPr>
          <w:rFonts w:hint="eastAsia" w:ascii="仿宋" w:hAnsi="仿宋" w:eastAsia="仿宋"/>
          <w:szCs w:val="32"/>
        </w:rPr>
        <w:t>十、政府采购情况表</w:t>
      </w:r>
    </w:p>
    <w:p>
      <w:pPr>
        <w:spacing w:line="240" w:lineRule="atLeast"/>
        <w:ind w:firstLineChars="0"/>
        <w:rPr>
          <w:rFonts w:ascii="黑体" w:hAnsi="黑体" w:eastAsia="黑体"/>
          <w:szCs w:val="32"/>
        </w:rPr>
      </w:pPr>
    </w:p>
    <w:p>
      <w:pPr>
        <w:spacing w:line="240" w:lineRule="atLeast"/>
        <w:ind w:firstLineChars="0"/>
        <w:rPr>
          <w:rFonts w:ascii="黑体" w:hAnsi="黑体" w:eastAsia="黑体"/>
          <w:szCs w:val="32"/>
        </w:rPr>
      </w:pPr>
      <w:r>
        <w:rPr>
          <w:rFonts w:hint="eastAsia" w:ascii="黑体" w:hAnsi="黑体" w:eastAsia="黑体"/>
          <w:szCs w:val="32"/>
        </w:rPr>
        <w:t>第三部分  海港区机关事务管理局2016年部门决算情况说明</w:t>
      </w:r>
    </w:p>
    <w:p>
      <w:pPr>
        <w:pStyle w:val="9"/>
        <w:spacing w:line="240" w:lineRule="atLeast"/>
        <w:ind w:firstLine="200"/>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一、预算执行情况分析。</w:t>
      </w:r>
    </w:p>
    <w:p>
      <w:pPr>
        <w:pStyle w:val="9"/>
        <w:spacing w:line="240" w:lineRule="atLeast"/>
        <w:ind w:firstLine="640" w:firstLineChars="200"/>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1、收入支出决算总体情况说明</w:t>
      </w:r>
    </w:p>
    <w:p>
      <w:pPr>
        <w:pStyle w:val="9"/>
        <w:spacing w:line="240" w:lineRule="atLeast"/>
        <w:ind w:firstLine="640" w:firstLineChars="200"/>
        <w:rPr>
          <w:rFonts w:ascii="仿宋" w:hAnsi="仿宋" w:eastAsia="仿宋" w:cs="FZFangSong-Z02"/>
          <w:sz w:val="32"/>
          <w:szCs w:val="32"/>
        </w:rPr>
      </w:pPr>
      <w:r>
        <w:rPr>
          <w:rFonts w:hint="eastAsia" w:ascii="仿宋" w:hAnsi="仿宋" w:eastAsia="仿宋" w:cs="Times New Roman"/>
          <w:color w:val="auto"/>
          <w:kern w:val="2"/>
          <w:sz w:val="32"/>
          <w:szCs w:val="32"/>
        </w:rPr>
        <w:t>2016年度上年结转和结余549.88万元，本年决算收入1460.87万</w:t>
      </w:r>
      <w:r>
        <w:rPr>
          <w:rFonts w:hint="eastAsia" w:ascii="仿宋" w:hAnsi="仿宋" w:eastAsia="仿宋" w:cs="FZFangSong-Z02"/>
          <w:sz w:val="32"/>
          <w:szCs w:val="32"/>
        </w:rPr>
        <w:t>元。2016年收入均为财政拨款收入。2016年收入与支出决算均比2015年决算有所减少。</w:t>
      </w:r>
    </w:p>
    <w:p>
      <w:pPr>
        <w:pStyle w:val="9"/>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2、收入决算情况说明</w:t>
      </w:r>
    </w:p>
    <w:p>
      <w:pPr>
        <w:pStyle w:val="9"/>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2016年共计收入1460.87万元，较2015年收入</w:t>
      </w:r>
      <w:r>
        <w:rPr>
          <w:rFonts w:hint="eastAsia" w:ascii="仿宋" w:hAnsi="仿宋" w:eastAsia="仿宋" w:cs="FZFangSong-Z02"/>
          <w:sz w:val="32"/>
          <w:szCs w:val="32"/>
        </w:rPr>
        <w:t>1898.61</w:t>
      </w:r>
      <w:r>
        <w:rPr>
          <w:rFonts w:hint="eastAsia" w:ascii="仿宋" w:hAnsi="仿宋" w:eastAsia="仿宋" w:cs="仿宋_GB2312"/>
          <w:sz w:val="32"/>
          <w:szCs w:val="32"/>
        </w:rPr>
        <w:t>万元减少437.74万元。</w:t>
      </w:r>
    </w:p>
    <w:p>
      <w:pPr>
        <w:pStyle w:val="9"/>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3、支出决算情况说明</w:t>
      </w:r>
    </w:p>
    <w:p>
      <w:pPr>
        <w:pStyle w:val="9"/>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2016年共计支出</w:t>
      </w:r>
      <w:r>
        <w:rPr>
          <w:rFonts w:hint="eastAsia" w:ascii="仿宋" w:hAnsi="仿宋" w:eastAsia="仿宋" w:cs="FZFangSong-Z02"/>
          <w:sz w:val="32"/>
          <w:szCs w:val="32"/>
        </w:rPr>
        <w:t>1936.11</w:t>
      </w:r>
      <w:r>
        <w:rPr>
          <w:rFonts w:hint="eastAsia" w:ascii="仿宋" w:hAnsi="仿宋" w:eastAsia="仿宋" w:cs="仿宋_GB2312"/>
          <w:sz w:val="32"/>
          <w:szCs w:val="32"/>
        </w:rPr>
        <w:t>万元，较2015年支出</w:t>
      </w:r>
      <w:r>
        <w:rPr>
          <w:rFonts w:hint="eastAsia" w:ascii="仿宋" w:hAnsi="仿宋" w:eastAsia="仿宋" w:cs="FZFangSong-Z02"/>
          <w:sz w:val="32"/>
          <w:szCs w:val="32"/>
        </w:rPr>
        <w:t>1458.95</w:t>
      </w:r>
      <w:r>
        <w:rPr>
          <w:rFonts w:hint="eastAsia" w:ascii="仿宋" w:hAnsi="仿宋" w:eastAsia="仿宋" w:cs="仿宋_GB2312"/>
          <w:sz w:val="32"/>
          <w:szCs w:val="32"/>
        </w:rPr>
        <w:t>万元增加477.16万元。477.16万元全为基本支出。</w:t>
      </w:r>
    </w:p>
    <w:p>
      <w:pPr>
        <w:pStyle w:val="9"/>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4、财政拨款收入支出决算总体情况说明</w:t>
      </w:r>
    </w:p>
    <w:p>
      <w:pPr>
        <w:pStyle w:val="9"/>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2016年共计收入1460.87万元，2016年财政拨款共支出1936.11万元，较2015年支出增加477.16万元。477.16万元全为基本支出，增加部分主要为人员经费支出。造成差异的主要原因是财政调整的人员经费支出，2016年调整增加人员工资，以及机关节约开支。我局没有政府性基金收入支出。</w:t>
      </w:r>
    </w:p>
    <w:p>
      <w:pPr>
        <w:pStyle w:val="9"/>
        <w:spacing w:line="240" w:lineRule="atLeas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、财政拨款支出与年初预算数情况说明</w:t>
      </w:r>
    </w:p>
    <w:p>
      <w:pPr>
        <w:pStyle w:val="9"/>
        <w:spacing w:line="240" w:lineRule="atLeas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2016年共计支出</w:t>
      </w:r>
      <w:r>
        <w:rPr>
          <w:rFonts w:hint="eastAsia" w:ascii="仿宋" w:hAnsi="仿宋" w:eastAsia="仿宋" w:cs="FZFangSong-Z02"/>
          <w:sz w:val="32"/>
          <w:szCs w:val="32"/>
        </w:rPr>
        <w:t>1936.11</w:t>
      </w:r>
      <w:r>
        <w:rPr>
          <w:rFonts w:hint="eastAsia" w:ascii="仿宋" w:hAnsi="仿宋" w:eastAsia="仿宋" w:cs="仿宋_GB2312"/>
          <w:sz w:val="32"/>
          <w:szCs w:val="32"/>
        </w:rPr>
        <w:t>万元，年初预算安排2190.88万元，差额为254.77万元，减支主要原因为</w:t>
      </w:r>
      <w:r>
        <w:rPr>
          <w:rFonts w:hint="eastAsia" w:ascii="仿宋" w:hAnsi="仿宋" w:eastAsia="仿宋" w:cs="仿宋_GB2312"/>
          <w:sz w:val="32"/>
          <w:szCs w:val="32"/>
          <w:lang w:bidi="ar"/>
        </w:rPr>
        <w:t>机关节约开支。</w:t>
      </w:r>
    </w:p>
    <w:p>
      <w:pPr>
        <w:pStyle w:val="9"/>
        <w:spacing w:line="240" w:lineRule="atLeast"/>
        <w:rPr>
          <w:rFonts w:ascii="黑体" w:hAnsi="黑体" w:eastAsia="黑体" w:cs="Times New Roman"/>
          <w:color w:val="auto"/>
          <w:kern w:val="2"/>
          <w:sz w:val="32"/>
          <w:szCs w:val="32"/>
        </w:rPr>
      </w:pPr>
      <w:r>
        <w:rPr>
          <w:rFonts w:hint="eastAsia" w:ascii="黑体" w:hAnsi="黑体" w:eastAsia="黑体" w:cs="Times New Roman"/>
          <w:color w:val="auto"/>
          <w:kern w:val="2"/>
          <w:sz w:val="32"/>
          <w:szCs w:val="32"/>
        </w:rPr>
        <w:t>二、一般公共预算财政拨款“三公”经费支出决算情况说明。</w:t>
      </w:r>
    </w:p>
    <w:p>
      <w:pPr>
        <w:pStyle w:val="9"/>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2016年财政年初预算批复我办“三公”经费预算28.61万元，实际支出8.5万元。其中，因公出国（境）0万元（团组数0组0人）；公务用车运行维护费预算安排8.5万元，实际支出为8.5万元，主要原因为开始公务用车改革，我局公务用车取消，造成经费支出减少；公务接待费0万元（共接待0批次0人）。我局全年无因公出国（境）、公务接待费等费用发生。</w:t>
      </w:r>
    </w:p>
    <w:p>
      <w:pPr>
        <w:spacing w:line="240" w:lineRule="atLeast"/>
        <w:ind w:firstLine="198" w:firstLineChars="62"/>
        <w:rPr>
          <w:rFonts w:ascii="黑体" w:hAnsi="黑体" w:eastAsia="黑体"/>
          <w:szCs w:val="32"/>
        </w:rPr>
      </w:pPr>
      <w:r>
        <w:rPr>
          <w:rFonts w:hint="eastAsia" w:ascii="黑体" w:hAnsi="黑体" w:eastAsia="黑体"/>
          <w:szCs w:val="32"/>
        </w:rPr>
        <w:t>三、机关运行经费支出情况的说明。</w:t>
      </w:r>
    </w:p>
    <w:p>
      <w:pPr>
        <w:spacing w:line="240" w:lineRule="atLeast"/>
        <w:ind w:firstLine="838" w:firstLineChars="262"/>
        <w:rPr>
          <w:rFonts w:ascii="仿宋" w:hAnsi="仿宋" w:eastAsia="仿宋"/>
          <w:szCs w:val="32"/>
        </w:rPr>
      </w:pPr>
      <w:r>
        <w:rPr>
          <w:rFonts w:hint="eastAsia" w:ascii="仿宋" w:hAnsi="仿宋" w:eastAsia="仿宋"/>
          <w:szCs w:val="32"/>
        </w:rPr>
        <w:t>2016年本部门机关运行经费支出0万元。</w:t>
      </w:r>
    </w:p>
    <w:p>
      <w:pPr>
        <w:pStyle w:val="9"/>
        <w:spacing w:line="240" w:lineRule="atLeast"/>
        <w:ind w:firstLine="200"/>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四、政府采购情况的说明。</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2016年本部门报送政府采购支出预算1.9万元，全年发生政府采购支出总额1.9万元。其中：购买货物支出1.9万元；工程支出0万元；购买服务支出0万元。采购资金来源全部为财政性资金。</w:t>
      </w:r>
    </w:p>
    <w:p>
      <w:pPr>
        <w:pStyle w:val="9"/>
        <w:spacing w:line="240" w:lineRule="atLeast"/>
        <w:ind w:firstLine="200"/>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五、国有资产占用情况。</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截至2016年12月31日，本部门车辆3辆，均为一般公务用车；其他固定资产全部为通用类资产和家具类资产。</w:t>
      </w:r>
    </w:p>
    <w:p>
      <w:pPr>
        <w:spacing w:line="240" w:lineRule="atLeast"/>
        <w:ind w:firstLine="199" w:firstLineChars="62"/>
        <w:rPr>
          <w:rFonts w:ascii="黑体" w:hAnsi="黑体" w:eastAsia="黑体"/>
          <w:b/>
          <w:szCs w:val="32"/>
        </w:rPr>
      </w:pPr>
      <w:r>
        <w:rPr>
          <w:rFonts w:hint="eastAsia" w:ascii="黑体" w:hAnsi="黑体" w:eastAsia="黑体"/>
          <w:b/>
          <w:szCs w:val="32"/>
        </w:rPr>
        <w:t>六、绩效预算情况说明</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我部门绩效预算执行情况通过部门决算软件进行测评后得分为86分，主要减分情况和原因：</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1、财政拨款收入预决算差异率扣减3.5分，原因为当年基本工资标准进行调整人员性支出大幅增加，导致我部门本年实际收入大于年初预算；</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2、基本支出预决算差异率扣减1.5分。</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3、财政拨款结转和结余率扣减0.5分，原因资金用于相关费用支出导致结转数额较大。</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4、财政收回存量资金占上年财政拨款结转和结余比重扣减0.5分，结余资金较大。</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5、在职人员控制率扣减3分，编制10人，实有在职人员53人。</w:t>
      </w:r>
    </w:p>
    <w:p>
      <w:pPr>
        <w:pStyle w:val="9"/>
        <w:spacing w:line="240" w:lineRule="atLeast"/>
        <w:ind w:firstLine="640" w:firstLineChars="200"/>
        <w:rPr>
          <w:rFonts w:ascii="仿宋" w:hAnsi="仿宋" w:eastAsia="仿宋" w:cs="仿宋"/>
          <w:sz w:val="32"/>
          <w:szCs w:val="32"/>
        </w:rPr>
      </w:pPr>
      <w:r>
        <w:rPr>
          <w:rFonts w:hint="eastAsia" w:ascii="仿宋" w:hAnsi="仿宋" w:eastAsia="仿宋" w:cs="仿宋"/>
          <w:sz w:val="32"/>
          <w:szCs w:val="32"/>
        </w:rPr>
        <w:t>6、年初结转和结余预决算差异率扣减5分，因上年度有结余资金，此款不列入本年度预算中；</w:t>
      </w:r>
    </w:p>
    <w:p>
      <w:pPr>
        <w:spacing w:line="240" w:lineRule="atLeast"/>
        <w:ind w:left="640" w:firstLineChars="0"/>
        <w:rPr>
          <w:rFonts w:ascii="黑体" w:hAnsi="黑体" w:eastAsia="黑体"/>
          <w:b/>
          <w:szCs w:val="32"/>
        </w:rPr>
      </w:pPr>
      <w:r>
        <w:rPr>
          <w:rFonts w:hint="eastAsia" w:ascii="黑体" w:hAnsi="黑体" w:eastAsia="黑体"/>
          <w:b/>
          <w:szCs w:val="32"/>
        </w:rPr>
        <w:t>七、其他重要事项的情况说明。</w:t>
      </w:r>
    </w:p>
    <w:p>
      <w:pPr>
        <w:pStyle w:val="9"/>
        <w:spacing w:line="240" w:lineRule="atLeast"/>
        <w:ind w:firstLine="640" w:firstLineChars="200"/>
        <w:rPr>
          <w:rFonts w:ascii="仿宋" w:hAnsi="仿宋" w:eastAsia="仿宋"/>
          <w:sz w:val="32"/>
          <w:szCs w:val="32"/>
        </w:rPr>
      </w:pPr>
      <w:r>
        <w:rPr>
          <w:rFonts w:hint="eastAsia" w:ascii="仿宋" w:hAnsi="仿宋" w:eastAsia="仿宋" w:cs="Tahoma"/>
          <w:sz w:val="32"/>
          <w:szCs w:val="32"/>
        </w:rPr>
        <w:t>1、我局无政府性基金安排的各类资金，《</w:t>
      </w:r>
      <w:r>
        <w:rPr>
          <w:rFonts w:hint="eastAsia" w:ascii="仿宋" w:hAnsi="仿宋" w:eastAsia="仿宋"/>
          <w:sz w:val="32"/>
          <w:szCs w:val="32"/>
        </w:rPr>
        <w:t>部门政府性基金预算财政拨款收支决算表》为空。</w:t>
      </w:r>
    </w:p>
    <w:p>
      <w:pPr>
        <w:pStyle w:val="9"/>
        <w:spacing w:line="240" w:lineRule="atLeast"/>
        <w:ind w:firstLine="640" w:firstLineChars="200"/>
        <w:rPr>
          <w:rFonts w:ascii="仿宋" w:hAnsi="仿宋" w:eastAsia="仿宋"/>
          <w:sz w:val="32"/>
          <w:szCs w:val="32"/>
        </w:rPr>
      </w:pPr>
      <w:r>
        <w:rPr>
          <w:rFonts w:hint="eastAsia" w:ascii="仿宋" w:hAnsi="仿宋" w:eastAsia="仿宋" w:cs="黑体"/>
          <w:sz w:val="32"/>
          <w:szCs w:val="32"/>
        </w:rPr>
        <w:t>2、</w:t>
      </w:r>
      <w:r>
        <w:rPr>
          <w:rFonts w:hint="eastAsia" w:ascii="仿宋" w:hAnsi="仿宋" w:eastAsia="仿宋" w:cs="Tahoma"/>
          <w:sz w:val="32"/>
          <w:szCs w:val="32"/>
        </w:rPr>
        <w:t>我局无国有资本经营预、决算，《</w:t>
      </w:r>
      <w:r>
        <w:rPr>
          <w:rFonts w:hint="eastAsia" w:ascii="仿宋" w:hAnsi="仿宋" w:eastAsia="仿宋"/>
          <w:sz w:val="32"/>
          <w:szCs w:val="32"/>
        </w:rPr>
        <w:t>部门国有资本经营预算财政拨款支出决算表》为空。</w:t>
      </w:r>
    </w:p>
    <w:p>
      <w:pPr>
        <w:spacing w:line="240" w:lineRule="atLeast"/>
        <w:ind w:firstLine="640"/>
        <w:rPr>
          <w:rFonts w:ascii="黑体" w:hAnsi="黑体" w:eastAsia="黑体"/>
          <w:szCs w:val="32"/>
        </w:rPr>
      </w:pPr>
    </w:p>
    <w:p>
      <w:pPr>
        <w:spacing w:line="240" w:lineRule="atLeast"/>
        <w:ind w:firstLine="640"/>
        <w:jc w:val="center"/>
        <w:rPr>
          <w:rFonts w:ascii="黑体" w:hAnsi="黑体" w:eastAsia="黑体"/>
          <w:szCs w:val="32"/>
        </w:rPr>
      </w:pPr>
      <w:r>
        <w:rPr>
          <w:rFonts w:hint="eastAsia" w:ascii="黑体" w:hAnsi="黑体" w:eastAsia="黑体"/>
          <w:szCs w:val="32"/>
        </w:rPr>
        <w:t>第四部分  名词解释</w:t>
      </w:r>
    </w:p>
    <w:p>
      <w:pPr>
        <w:pStyle w:val="9"/>
        <w:spacing w:line="240" w:lineRule="atLeast"/>
        <w:ind w:firstLine="200"/>
        <w:rPr>
          <w:rFonts w:ascii="楷体" w:hAnsi="楷体" w:eastAsia="楷体" w:cs="Tahoma"/>
          <w:sz w:val="32"/>
          <w:szCs w:val="32"/>
        </w:rPr>
      </w:pPr>
      <w:r>
        <w:rPr>
          <w:rFonts w:hint="eastAsia" w:ascii="楷体" w:hAnsi="楷体" w:eastAsia="楷体" w:cs="Tahoma"/>
          <w:sz w:val="32"/>
          <w:szCs w:val="32"/>
        </w:rPr>
        <w:t>一、一般公共预算财政拨款</w:t>
      </w:r>
    </w:p>
    <w:p>
      <w:pPr>
        <w:pStyle w:val="9"/>
        <w:spacing w:line="240" w:lineRule="atLeast"/>
        <w:ind w:firstLine="640" w:firstLineChars="200"/>
        <w:rPr>
          <w:rFonts w:ascii="仿宋" w:hAnsi="仿宋" w:eastAsia="仿宋" w:cs="Tahoma"/>
          <w:sz w:val="32"/>
          <w:szCs w:val="32"/>
        </w:rPr>
      </w:pPr>
      <w:r>
        <w:rPr>
          <w:rFonts w:hint="eastAsia" w:ascii="仿宋" w:hAnsi="仿宋" w:eastAsia="仿宋" w:cs="Tahoma"/>
          <w:sz w:val="32"/>
          <w:szCs w:val="32"/>
        </w:rPr>
        <w:t>一般公共预算财政拨款是对以税收为主体的财政收入，安排用于保障和改善民生、推动经济社会发展、维护国家安全、维持国家机构正常运转等方面的收入和支出。</w:t>
      </w:r>
    </w:p>
    <w:p>
      <w:pPr>
        <w:pStyle w:val="9"/>
        <w:spacing w:line="240" w:lineRule="atLeast"/>
        <w:ind w:firstLine="200"/>
        <w:rPr>
          <w:rFonts w:ascii="楷体" w:hAnsi="楷体" w:eastAsia="楷体" w:cs="Tahoma"/>
          <w:sz w:val="32"/>
          <w:szCs w:val="32"/>
        </w:rPr>
      </w:pPr>
      <w:r>
        <w:rPr>
          <w:rFonts w:hint="eastAsia" w:ascii="楷体" w:hAnsi="楷体" w:eastAsia="楷体" w:cs="Tahoma"/>
          <w:sz w:val="32"/>
          <w:szCs w:val="32"/>
        </w:rPr>
        <w:t>二、基本支出和项目支出</w:t>
      </w:r>
    </w:p>
    <w:p>
      <w:pPr>
        <w:pStyle w:val="9"/>
        <w:spacing w:line="240" w:lineRule="atLeast"/>
        <w:ind w:firstLine="640" w:firstLineChars="200"/>
        <w:rPr>
          <w:rFonts w:ascii="仿宋" w:hAnsi="仿宋" w:eastAsia="仿宋" w:cs="Tahoma"/>
          <w:sz w:val="32"/>
          <w:szCs w:val="32"/>
        </w:rPr>
      </w:pPr>
      <w:r>
        <w:rPr>
          <w:rFonts w:hint="eastAsia" w:ascii="仿宋" w:hAnsi="仿宋" w:eastAsia="仿宋" w:cs="Tahoma"/>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pPr>
        <w:pStyle w:val="9"/>
        <w:spacing w:line="240" w:lineRule="atLeast"/>
        <w:ind w:firstLine="200"/>
        <w:rPr>
          <w:rFonts w:ascii="楷体" w:hAnsi="楷体" w:eastAsia="楷体" w:cs="Tahoma"/>
          <w:sz w:val="32"/>
          <w:szCs w:val="32"/>
        </w:rPr>
      </w:pPr>
      <w:r>
        <w:rPr>
          <w:rFonts w:hint="eastAsia" w:ascii="楷体" w:hAnsi="楷体" w:eastAsia="楷体" w:cs="Tahoma"/>
          <w:sz w:val="32"/>
          <w:szCs w:val="32"/>
        </w:rPr>
        <w:t>三、“三公”经费及其支出口径</w:t>
      </w:r>
    </w:p>
    <w:p>
      <w:pPr>
        <w:pStyle w:val="9"/>
        <w:spacing w:line="240" w:lineRule="atLeast"/>
        <w:ind w:firstLine="640" w:firstLineChars="200"/>
        <w:rPr>
          <w:rFonts w:ascii="仿宋" w:hAnsi="仿宋" w:eastAsia="仿宋" w:cs="Tahoma"/>
          <w:sz w:val="32"/>
          <w:szCs w:val="32"/>
        </w:rPr>
      </w:pPr>
      <w:r>
        <w:rPr>
          <w:rFonts w:hint="eastAsia" w:ascii="仿宋" w:hAnsi="仿宋" w:eastAsia="仿宋" w:cs="Tahoma"/>
          <w:sz w:val="32"/>
          <w:szCs w:val="32"/>
        </w:rPr>
        <w:t>因公出国（境）费是指单位公务出国（境）的国际旅费、国外城市间交通费、住宿费、伙食费、培训费、公杂费等支出。</w:t>
      </w:r>
    </w:p>
    <w:p>
      <w:pPr>
        <w:pStyle w:val="9"/>
        <w:spacing w:line="240" w:lineRule="atLeast"/>
        <w:ind w:firstLine="640" w:firstLineChars="200"/>
        <w:rPr>
          <w:rFonts w:ascii="仿宋" w:hAnsi="仿宋" w:eastAsia="仿宋" w:cs="Tahoma"/>
          <w:sz w:val="32"/>
          <w:szCs w:val="32"/>
        </w:rPr>
      </w:pPr>
      <w:r>
        <w:rPr>
          <w:rFonts w:hint="eastAsia" w:ascii="仿宋" w:hAnsi="仿宋" w:eastAsia="仿宋" w:cs="Tahoma"/>
          <w:sz w:val="32"/>
          <w:szCs w:val="32"/>
        </w:rPr>
        <w:t>公务用车运行维护费是指单位公务用车租用费、燃料费、维修费、过桥过路费、保险费、出租车费用等。</w:t>
      </w:r>
    </w:p>
    <w:p>
      <w:pPr>
        <w:pStyle w:val="9"/>
        <w:spacing w:line="240" w:lineRule="atLeast"/>
        <w:ind w:firstLine="640" w:firstLineChars="200"/>
        <w:rPr>
          <w:rFonts w:ascii="仿宋" w:hAnsi="仿宋" w:eastAsia="仿宋" w:cs="Tahoma"/>
          <w:sz w:val="32"/>
          <w:szCs w:val="32"/>
        </w:rPr>
      </w:pPr>
      <w:r>
        <w:rPr>
          <w:rFonts w:hint="eastAsia" w:ascii="仿宋" w:hAnsi="仿宋" w:eastAsia="仿宋" w:cs="Tahoma"/>
          <w:sz w:val="32"/>
          <w:szCs w:val="32"/>
        </w:rPr>
        <w:t>公务接待费是指单位按规定开支的各类公务接待（含外宾接待）费用。</w:t>
      </w:r>
    </w:p>
    <w:p>
      <w:pPr>
        <w:pStyle w:val="9"/>
        <w:spacing w:line="240" w:lineRule="atLeast"/>
        <w:ind w:firstLine="640" w:firstLineChars="200"/>
        <w:rPr>
          <w:rFonts w:ascii="仿宋" w:hAnsi="仿宋" w:eastAsia="仿宋" w:cs="Tahoma"/>
          <w:sz w:val="32"/>
          <w:szCs w:val="32"/>
        </w:rPr>
      </w:pPr>
      <w:r>
        <w:rPr>
          <w:rFonts w:hint="eastAsia" w:ascii="仿宋" w:hAnsi="仿宋" w:eastAsia="仿宋" w:cs="Tahoma"/>
          <w:sz w:val="32"/>
          <w:szCs w:val="32"/>
        </w:rPr>
        <w:t>本次公开的“三公”经费支出口径均为一般公共预算财政拨款安排的资金。</w:t>
      </w:r>
    </w:p>
    <w:p>
      <w:pPr>
        <w:pStyle w:val="9"/>
        <w:spacing w:line="240" w:lineRule="atLeast"/>
        <w:ind w:firstLine="200"/>
        <w:rPr>
          <w:rFonts w:ascii="楷体" w:hAnsi="楷体" w:eastAsia="楷体" w:cs="Tahoma"/>
          <w:sz w:val="32"/>
          <w:szCs w:val="32"/>
        </w:rPr>
      </w:pPr>
      <w:r>
        <w:rPr>
          <w:rFonts w:hint="eastAsia" w:ascii="楷体" w:hAnsi="楷体" w:eastAsia="楷体" w:cs="Tahoma"/>
          <w:sz w:val="32"/>
          <w:szCs w:val="32"/>
        </w:rPr>
        <w:t>四、机关运行经费及其支出口径</w:t>
      </w:r>
    </w:p>
    <w:p>
      <w:pPr>
        <w:pStyle w:val="9"/>
        <w:spacing w:line="240" w:lineRule="atLeast"/>
        <w:ind w:firstLine="640" w:firstLineChars="200"/>
        <w:rPr>
          <w:rFonts w:ascii="仿宋" w:hAnsi="仿宋" w:eastAsia="仿宋" w:cs="宋体"/>
          <w:sz w:val="32"/>
          <w:szCs w:val="32"/>
        </w:rPr>
      </w:pPr>
      <w:r>
        <w:rPr>
          <w:rFonts w:hint="eastAsia" w:ascii="仿宋" w:hAnsi="仿宋" w:eastAsia="仿宋" w:cs="宋体"/>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XiaoBiaoSong-B05">
    <w:altName w:val="Segoe Print"/>
    <w:panose1 w:val="00000000000000000000"/>
    <w:charset w:val="00"/>
    <w:family w:val="swiss"/>
    <w:pitch w:val="default"/>
    <w:sig w:usb0="00000000" w:usb1="00000000" w:usb2="00000000" w:usb3="00000000" w:csb0="00000001" w:csb1="00000000"/>
  </w:font>
  <w:font w:name="方正小标宋_GBK">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FangSong-Z02">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wOWRhNmViOTZiYTU3ZDg3N2VjMGM0MDNlYjA0NzQifQ=="/>
  </w:docVars>
  <w:rsids>
    <w:rsidRoot w:val="00562ED9"/>
    <w:rsid w:val="00005A31"/>
    <w:rsid w:val="000244B1"/>
    <w:rsid w:val="00054C53"/>
    <w:rsid w:val="00127C8F"/>
    <w:rsid w:val="001506F7"/>
    <w:rsid w:val="0017741E"/>
    <w:rsid w:val="0019082E"/>
    <w:rsid w:val="0019263B"/>
    <w:rsid w:val="001C644C"/>
    <w:rsid w:val="001F41FA"/>
    <w:rsid w:val="00231700"/>
    <w:rsid w:val="00257ED4"/>
    <w:rsid w:val="00271D6D"/>
    <w:rsid w:val="00273E03"/>
    <w:rsid w:val="002D1C92"/>
    <w:rsid w:val="00310A7C"/>
    <w:rsid w:val="003155B1"/>
    <w:rsid w:val="003F6043"/>
    <w:rsid w:val="00405DD5"/>
    <w:rsid w:val="00443128"/>
    <w:rsid w:val="00450D4D"/>
    <w:rsid w:val="004F1F8E"/>
    <w:rsid w:val="00502034"/>
    <w:rsid w:val="005046AD"/>
    <w:rsid w:val="00562ED9"/>
    <w:rsid w:val="00593550"/>
    <w:rsid w:val="005C53F1"/>
    <w:rsid w:val="005C5A21"/>
    <w:rsid w:val="005E382E"/>
    <w:rsid w:val="00632195"/>
    <w:rsid w:val="00661FC6"/>
    <w:rsid w:val="00682F9B"/>
    <w:rsid w:val="006A1D43"/>
    <w:rsid w:val="006B012E"/>
    <w:rsid w:val="006C00CA"/>
    <w:rsid w:val="0080381A"/>
    <w:rsid w:val="00830C9C"/>
    <w:rsid w:val="008716D0"/>
    <w:rsid w:val="008951B5"/>
    <w:rsid w:val="008D44E7"/>
    <w:rsid w:val="00946B54"/>
    <w:rsid w:val="00952574"/>
    <w:rsid w:val="00965AC4"/>
    <w:rsid w:val="009B3DAD"/>
    <w:rsid w:val="00A266EB"/>
    <w:rsid w:val="00A4272B"/>
    <w:rsid w:val="00A446EA"/>
    <w:rsid w:val="00AF2C1C"/>
    <w:rsid w:val="00B42B02"/>
    <w:rsid w:val="00B86180"/>
    <w:rsid w:val="00B94D40"/>
    <w:rsid w:val="00BC4069"/>
    <w:rsid w:val="00C9608A"/>
    <w:rsid w:val="00CE7AA1"/>
    <w:rsid w:val="00E03175"/>
    <w:rsid w:val="00E5216F"/>
    <w:rsid w:val="00EB45A9"/>
    <w:rsid w:val="00EB63A9"/>
    <w:rsid w:val="00EC62AA"/>
    <w:rsid w:val="00ED6876"/>
    <w:rsid w:val="00ED6B4C"/>
    <w:rsid w:val="00EF493B"/>
    <w:rsid w:val="00F059C3"/>
    <w:rsid w:val="00F06F8D"/>
    <w:rsid w:val="00F7462B"/>
    <w:rsid w:val="00F9758A"/>
    <w:rsid w:val="00FD5BCA"/>
    <w:rsid w:val="00FE10A8"/>
    <w:rsid w:val="00FF65FE"/>
    <w:rsid w:val="7534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customStyle="1" w:styleId="6">
    <w:name w:val="页眉 字符"/>
    <w:basedOn w:val="5"/>
    <w:link w:val="3"/>
    <w:qFormat/>
    <w:uiPriority w:val="99"/>
    <w:rPr>
      <w:rFonts w:ascii="Calibri" w:hAnsi="Calibri" w:eastAsia="宋体" w:cs="Times New Roman"/>
      <w:kern w:val="0"/>
      <w:sz w:val="18"/>
      <w:szCs w:val="18"/>
    </w:rPr>
  </w:style>
  <w:style w:type="character" w:customStyle="1" w:styleId="7">
    <w:name w:val="页脚 字符"/>
    <w:basedOn w:val="5"/>
    <w:link w:val="2"/>
    <w:qFormat/>
    <w:uiPriority w:val="99"/>
    <w:rPr>
      <w:rFonts w:ascii="Calibri" w:hAnsi="Calibri" w:eastAsia="宋体" w:cs="Times New Roman"/>
      <w:kern w:val="0"/>
      <w:sz w:val="18"/>
      <w:szCs w:val="18"/>
    </w:rPr>
  </w:style>
  <w:style w:type="paragraph" w:styleId="8">
    <w:name w:val="List Paragraph"/>
    <w:basedOn w:val="1"/>
    <w:qFormat/>
    <w:uiPriority w:val="34"/>
    <w:pPr>
      <w:ind w:firstLine="420"/>
    </w:pPr>
  </w:style>
  <w:style w:type="paragraph" w:customStyle="1" w:styleId="9">
    <w:name w:val="Default"/>
    <w:qFormat/>
    <w:uiPriority w:val="0"/>
    <w:pPr>
      <w:widowControl w:val="0"/>
      <w:autoSpaceDE w:val="0"/>
      <w:autoSpaceDN w:val="0"/>
      <w:adjustRightInd w:val="0"/>
    </w:pPr>
    <w:rPr>
      <w:rFonts w:ascii="FZXiaoBiaoSong-B05" w:hAnsi="FZXiaoBiaoSong-B05" w:eastAsia="宋体" w:cs="FZXiaoBiaoSong-B05"/>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7</Pages>
  <Words>389</Words>
  <Characters>2218</Characters>
  <Lines>18</Lines>
  <Paragraphs>5</Paragraphs>
  <TotalTime>10</TotalTime>
  <ScaleCrop>false</ScaleCrop>
  <LinksUpToDate>false</LinksUpToDate>
  <CharactersWithSpaces>2602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2017-10-30T03:01:00Z</dcterms:created>
  <dc:creator>jia</dc:creator>
  <cp:lastModifiedBy>home</cp:lastModifiedBy>
  <dcterms:modified xsi:type="dcterms:W3CDTF">2023-09-19T07:36:22Z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C127C9376ABD4B0AAF9B2FDC62ADB082_12</vt:lpwstr>
  </property>
</Properties>
</file>