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1" w:name="_GoBack"/>
      <w:bookmarkEnd w:id="1"/>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4320" w:firstLineChars="600"/>
        <w:jc w:val="both"/>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一、秦皇岛市海港区大数据中心本级收支预算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1604.61</w:t>
            </w:r>
          </w:p>
        </w:tc>
        <w:tc>
          <w:tcPr>
            <w:tcW w:w="4535" w:type="dxa"/>
            <w:vAlign w:val="center"/>
          </w:tcPr>
          <w:p>
            <w:pPr>
              <w:pStyle w:val="9"/>
            </w:pPr>
            <w:r>
              <w:t>一、一般公共服务支出</w:t>
            </w:r>
          </w:p>
        </w:tc>
        <w:tc>
          <w:tcPr>
            <w:tcW w:w="2126" w:type="dxa"/>
            <w:vAlign w:val="center"/>
          </w:tcPr>
          <w:p>
            <w:pPr>
              <w:pStyle w:val="10"/>
            </w:pPr>
            <w:r>
              <w:t>1588.71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1604.61</w:t>
            </w:r>
          </w:p>
        </w:tc>
        <w:tc>
          <w:tcPr>
            <w:tcW w:w="4535" w:type="dxa"/>
            <w:vAlign w:val="center"/>
          </w:tcPr>
          <w:p>
            <w:pPr>
              <w:pStyle w:val="11"/>
            </w:pPr>
            <w:r>
              <w:t>本年支出合计</w:t>
            </w:r>
          </w:p>
        </w:tc>
        <w:tc>
          <w:tcPr>
            <w:tcW w:w="2126" w:type="dxa"/>
            <w:vAlign w:val="center"/>
          </w:tcPr>
          <w:p>
            <w:pPr>
              <w:pStyle w:val="12"/>
            </w:pPr>
            <w:r>
              <w:t>1604.61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1604.61</w:t>
            </w:r>
          </w:p>
        </w:tc>
        <w:tc>
          <w:tcPr>
            <w:tcW w:w="4535" w:type="dxa"/>
            <w:vAlign w:val="center"/>
          </w:tcPr>
          <w:p>
            <w:pPr>
              <w:pStyle w:val="11"/>
            </w:pPr>
            <w:r>
              <w:t>支出总计</w:t>
            </w:r>
          </w:p>
        </w:tc>
        <w:tc>
          <w:tcPr>
            <w:tcW w:w="2126" w:type="dxa"/>
            <w:vAlign w:val="center"/>
          </w:tcPr>
          <w:p>
            <w:pPr>
              <w:pStyle w:val="12"/>
            </w:pPr>
            <w:r>
              <w:t>1604.61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15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851"/>
        <w:gridCol w:w="842"/>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5" w:type="dxa"/>
            <w:gridSpan w:val="5"/>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restart"/>
            <w:vAlign w:val="center"/>
          </w:tcPr>
          <w:p>
            <w:pPr>
              <w:pStyle w:val="7"/>
            </w:pPr>
            <w:r>
              <w:t>序号</w:t>
            </w:r>
          </w:p>
        </w:tc>
        <w:tc>
          <w:tcPr>
            <w:tcW w:w="2985" w:type="dxa"/>
            <w:gridSpan w:val="2"/>
            <w:vAlign w:val="center"/>
          </w:tcPr>
          <w:p>
            <w:pPr>
              <w:pStyle w:val="7"/>
            </w:pPr>
            <w:r>
              <w:t>功能分类科目</w:t>
            </w:r>
          </w:p>
        </w:tc>
        <w:tc>
          <w:tcPr>
            <w:tcW w:w="842" w:type="dxa"/>
            <w:vMerge w:val="restart"/>
            <w:vAlign w:val="center"/>
          </w:tcPr>
          <w:p>
            <w:pPr>
              <w:pStyle w:val="7"/>
            </w:pPr>
            <w:r>
              <w:t>合计</w:t>
            </w:r>
          </w:p>
        </w:tc>
        <w:tc>
          <w:tcPr>
            <w:tcW w:w="9072"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Merge w:val="continue"/>
          </w:tcPr>
          <w:p/>
        </w:tc>
        <w:tc>
          <w:tcPr>
            <w:tcW w:w="1134" w:type="dxa"/>
            <w:vAlign w:val="center"/>
          </w:tcPr>
          <w:p>
            <w:pPr>
              <w:pStyle w:val="7"/>
            </w:pPr>
            <w:r>
              <w:t>科目    编码</w:t>
            </w:r>
          </w:p>
        </w:tc>
        <w:tc>
          <w:tcPr>
            <w:tcW w:w="1851" w:type="dxa"/>
            <w:vAlign w:val="center"/>
          </w:tcPr>
          <w:p>
            <w:pPr>
              <w:pStyle w:val="7"/>
            </w:pPr>
            <w:r>
              <w:t>科目名称</w:t>
            </w:r>
          </w:p>
        </w:tc>
        <w:tc>
          <w:tcPr>
            <w:tcW w:w="842"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7"/>
            </w:pPr>
            <w:r>
              <w:t>栏次</w:t>
            </w:r>
          </w:p>
        </w:tc>
        <w:tc>
          <w:tcPr>
            <w:tcW w:w="1134" w:type="dxa"/>
            <w:vAlign w:val="center"/>
          </w:tcPr>
          <w:p>
            <w:pPr>
              <w:pStyle w:val="7"/>
            </w:pPr>
            <w:r>
              <w:t>1</w:t>
            </w:r>
          </w:p>
        </w:tc>
        <w:tc>
          <w:tcPr>
            <w:tcW w:w="1851" w:type="dxa"/>
            <w:vAlign w:val="center"/>
          </w:tcPr>
          <w:p>
            <w:pPr>
              <w:pStyle w:val="7"/>
            </w:pPr>
            <w:r>
              <w:t>2</w:t>
            </w:r>
          </w:p>
        </w:tc>
        <w:tc>
          <w:tcPr>
            <w:tcW w:w="842"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w:t>
            </w:r>
          </w:p>
        </w:tc>
        <w:tc>
          <w:tcPr>
            <w:tcW w:w="1134" w:type="dxa"/>
            <w:vAlign w:val="center"/>
          </w:tcPr>
          <w:p>
            <w:pPr>
              <w:pStyle w:val="13"/>
            </w:pPr>
          </w:p>
        </w:tc>
        <w:tc>
          <w:tcPr>
            <w:tcW w:w="1851" w:type="dxa"/>
            <w:vAlign w:val="center"/>
          </w:tcPr>
          <w:p>
            <w:pPr>
              <w:pStyle w:val="11"/>
            </w:pPr>
            <w:r>
              <w:t>合计</w:t>
            </w:r>
          </w:p>
        </w:tc>
        <w:tc>
          <w:tcPr>
            <w:tcW w:w="842" w:type="dxa"/>
            <w:vAlign w:val="center"/>
          </w:tcPr>
          <w:p>
            <w:pPr>
              <w:pStyle w:val="12"/>
            </w:pPr>
            <w:r>
              <w:t>1604.61</w:t>
            </w:r>
          </w:p>
        </w:tc>
        <w:tc>
          <w:tcPr>
            <w:tcW w:w="1134" w:type="dxa"/>
            <w:vAlign w:val="center"/>
          </w:tcPr>
          <w:p>
            <w:pPr>
              <w:pStyle w:val="12"/>
            </w:pPr>
            <w:r>
              <w:t>1604.61</w:t>
            </w:r>
          </w:p>
        </w:tc>
        <w:tc>
          <w:tcPr>
            <w:tcW w:w="1134" w:type="dxa"/>
            <w:vAlign w:val="center"/>
          </w:tcPr>
          <w:p>
            <w:pPr>
              <w:pStyle w:val="12"/>
            </w:pPr>
            <w:r>
              <w:t>1604.61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2</w:t>
            </w:r>
          </w:p>
        </w:tc>
        <w:tc>
          <w:tcPr>
            <w:tcW w:w="1134" w:type="dxa"/>
            <w:vAlign w:val="center"/>
          </w:tcPr>
          <w:p>
            <w:pPr>
              <w:pStyle w:val="9"/>
            </w:pPr>
            <w:r>
              <w:t>201</w:t>
            </w:r>
          </w:p>
        </w:tc>
        <w:tc>
          <w:tcPr>
            <w:tcW w:w="1851" w:type="dxa"/>
            <w:vAlign w:val="center"/>
          </w:tcPr>
          <w:p>
            <w:pPr>
              <w:pStyle w:val="9"/>
            </w:pPr>
            <w:r>
              <w:t>一般公共服务支出</w:t>
            </w:r>
          </w:p>
        </w:tc>
        <w:tc>
          <w:tcPr>
            <w:tcW w:w="842" w:type="dxa"/>
            <w:vAlign w:val="center"/>
          </w:tcPr>
          <w:p>
            <w:pPr>
              <w:pStyle w:val="10"/>
            </w:pPr>
            <w:r>
              <w:t>1588.71</w:t>
            </w:r>
          </w:p>
        </w:tc>
        <w:tc>
          <w:tcPr>
            <w:tcW w:w="1134" w:type="dxa"/>
            <w:vAlign w:val="center"/>
          </w:tcPr>
          <w:p>
            <w:pPr>
              <w:pStyle w:val="10"/>
            </w:pPr>
            <w:r>
              <w:t>1588.71</w:t>
            </w:r>
          </w:p>
        </w:tc>
        <w:tc>
          <w:tcPr>
            <w:tcW w:w="1134" w:type="dxa"/>
            <w:vAlign w:val="center"/>
          </w:tcPr>
          <w:p>
            <w:pPr>
              <w:pStyle w:val="10"/>
            </w:pPr>
            <w:r>
              <w:t>1588.71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3</w:t>
            </w:r>
          </w:p>
        </w:tc>
        <w:tc>
          <w:tcPr>
            <w:tcW w:w="1134" w:type="dxa"/>
            <w:vAlign w:val="center"/>
          </w:tcPr>
          <w:p>
            <w:pPr>
              <w:pStyle w:val="9"/>
            </w:pPr>
            <w:r>
              <w:t>20103</w:t>
            </w:r>
          </w:p>
        </w:tc>
        <w:tc>
          <w:tcPr>
            <w:tcW w:w="1851" w:type="dxa"/>
            <w:vAlign w:val="center"/>
          </w:tcPr>
          <w:p>
            <w:pPr>
              <w:pStyle w:val="9"/>
            </w:pPr>
            <w:r>
              <w:t>政府办公厅（室）及相关机构事务</w:t>
            </w:r>
          </w:p>
        </w:tc>
        <w:tc>
          <w:tcPr>
            <w:tcW w:w="842" w:type="dxa"/>
            <w:vAlign w:val="center"/>
          </w:tcPr>
          <w:p>
            <w:pPr>
              <w:pStyle w:val="10"/>
            </w:pPr>
            <w:r>
              <w:t>1541.00</w:t>
            </w:r>
          </w:p>
        </w:tc>
        <w:tc>
          <w:tcPr>
            <w:tcW w:w="1134" w:type="dxa"/>
            <w:vAlign w:val="center"/>
          </w:tcPr>
          <w:p>
            <w:pPr>
              <w:pStyle w:val="10"/>
            </w:pPr>
            <w:r>
              <w:t>1541.00</w:t>
            </w:r>
          </w:p>
        </w:tc>
        <w:tc>
          <w:tcPr>
            <w:tcW w:w="1134" w:type="dxa"/>
            <w:vAlign w:val="center"/>
          </w:tcPr>
          <w:p>
            <w:pPr>
              <w:pStyle w:val="10"/>
            </w:pPr>
            <w:r>
              <w:t>1541.00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4</w:t>
            </w:r>
          </w:p>
        </w:tc>
        <w:tc>
          <w:tcPr>
            <w:tcW w:w="1134" w:type="dxa"/>
            <w:vAlign w:val="center"/>
          </w:tcPr>
          <w:p>
            <w:pPr>
              <w:pStyle w:val="9"/>
            </w:pPr>
            <w:r>
              <w:t>2010399</w:t>
            </w:r>
          </w:p>
        </w:tc>
        <w:tc>
          <w:tcPr>
            <w:tcW w:w="1851" w:type="dxa"/>
            <w:vAlign w:val="center"/>
          </w:tcPr>
          <w:p>
            <w:pPr>
              <w:pStyle w:val="9"/>
            </w:pPr>
            <w:r>
              <w:t>其他政府办公厅（室）及相关机构事务支出</w:t>
            </w:r>
          </w:p>
        </w:tc>
        <w:tc>
          <w:tcPr>
            <w:tcW w:w="842" w:type="dxa"/>
            <w:vAlign w:val="center"/>
          </w:tcPr>
          <w:p>
            <w:pPr>
              <w:pStyle w:val="10"/>
            </w:pPr>
            <w:r>
              <w:t>1541.00</w:t>
            </w:r>
          </w:p>
        </w:tc>
        <w:tc>
          <w:tcPr>
            <w:tcW w:w="1134" w:type="dxa"/>
            <w:vAlign w:val="center"/>
          </w:tcPr>
          <w:p>
            <w:pPr>
              <w:pStyle w:val="10"/>
            </w:pPr>
            <w:r>
              <w:t>1541.00</w:t>
            </w:r>
          </w:p>
        </w:tc>
        <w:tc>
          <w:tcPr>
            <w:tcW w:w="1134" w:type="dxa"/>
            <w:vAlign w:val="center"/>
          </w:tcPr>
          <w:p>
            <w:pPr>
              <w:pStyle w:val="10"/>
            </w:pPr>
            <w:r>
              <w:t>1541.00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5</w:t>
            </w:r>
          </w:p>
        </w:tc>
        <w:tc>
          <w:tcPr>
            <w:tcW w:w="1134" w:type="dxa"/>
            <w:vAlign w:val="center"/>
          </w:tcPr>
          <w:p>
            <w:pPr>
              <w:pStyle w:val="9"/>
            </w:pPr>
            <w:r>
              <w:t>20199</w:t>
            </w:r>
          </w:p>
        </w:tc>
        <w:tc>
          <w:tcPr>
            <w:tcW w:w="1851" w:type="dxa"/>
            <w:vAlign w:val="center"/>
          </w:tcPr>
          <w:p>
            <w:pPr>
              <w:pStyle w:val="9"/>
            </w:pPr>
            <w:r>
              <w:t>其他一般公共服务支出</w:t>
            </w:r>
          </w:p>
        </w:tc>
        <w:tc>
          <w:tcPr>
            <w:tcW w:w="842" w:type="dxa"/>
            <w:vAlign w:val="center"/>
          </w:tcPr>
          <w:p>
            <w:pPr>
              <w:pStyle w:val="10"/>
            </w:pPr>
            <w:r>
              <w:t>47.71</w:t>
            </w:r>
          </w:p>
        </w:tc>
        <w:tc>
          <w:tcPr>
            <w:tcW w:w="1134" w:type="dxa"/>
            <w:vAlign w:val="center"/>
          </w:tcPr>
          <w:p>
            <w:pPr>
              <w:pStyle w:val="10"/>
            </w:pPr>
            <w:r>
              <w:t>47.71</w:t>
            </w:r>
          </w:p>
        </w:tc>
        <w:tc>
          <w:tcPr>
            <w:tcW w:w="1134" w:type="dxa"/>
            <w:vAlign w:val="center"/>
          </w:tcPr>
          <w:p>
            <w:pPr>
              <w:pStyle w:val="10"/>
            </w:pPr>
            <w:r>
              <w:t>47.71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6</w:t>
            </w:r>
          </w:p>
        </w:tc>
        <w:tc>
          <w:tcPr>
            <w:tcW w:w="1134" w:type="dxa"/>
            <w:vAlign w:val="center"/>
          </w:tcPr>
          <w:p>
            <w:pPr>
              <w:pStyle w:val="9"/>
            </w:pPr>
            <w:r>
              <w:t>2019999</w:t>
            </w:r>
          </w:p>
        </w:tc>
        <w:tc>
          <w:tcPr>
            <w:tcW w:w="1851" w:type="dxa"/>
            <w:vAlign w:val="center"/>
          </w:tcPr>
          <w:p>
            <w:pPr>
              <w:pStyle w:val="9"/>
            </w:pPr>
            <w:r>
              <w:t>其他一般公共服务支出</w:t>
            </w:r>
          </w:p>
        </w:tc>
        <w:tc>
          <w:tcPr>
            <w:tcW w:w="842" w:type="dxa"/>
            <w:vAlign w:val="center"/>
          </w:tcPr>
          <w:p>
            <w:pPr>
              <w:pStyle w:val="10"/>
            </w:pPr>
            <w:r>
              <w:t>47.71</w:t>
            </w:r>
          </w:p>
        </w:tc>
        <w:tc>
          <w:tcPr>
            <w:tcW w:w="1134" w:type="dxa"/>
            <w:vAlign w:val="center"/>
          </w:tcPr>
          <w:p>
            <w:pPr>
              <w:pStyle w:val="10"/>
            </w:pPr>
            <w:r>
              <w:t>47.71</w:t>
            </w:r>
          </w:p>
        </w:tc>
        <w:tc>
          <w:tcPr>
            <w:tcW w:w="1134" w:type="dxa"/>
            <w:vAlign w:val="center"/>
          </w:tcPr>
          <w:p>
            <w:pPr>
              <w:pStyle w:val="10"/>
            </w:pPr>
            <w:r>
              <w:t>47.71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7</w:t>
            </w:r>
          </w:p>
        </w:tc>
        <w:tc>
          <w:tcPr>
            <w:tcW w:w="1134" w:type="dxa"/>
            <w:vAlign w:val="center"/>
          </w:tcPr>
          <w:p>
            <w:pPr>
              <w:pStyle w:val="9"/>
            </w:pPr>
            <w:r>
              <w:t>208</w:t>
            </w:r>
          </w:p>
        </w:tc>
        <w:tc>
          <w:tcPr>
            <w:tcW w:w="1851" w:type="dxa"/>
            <w:vAlign w:val="center"/>
          </w:tcPr>
          <w:p>
            <w:pPr>
              <w:pStyle w:val="9"/>
            </w:pPr>
            <w:r>
              <w:t>社会保障和就业支出</w:t>
            </w:r>
          </w:p>
        </w:tc>
        <w:tc>
          <w:tcPr>
            <w:tcW w:w="842" w:type="dxa"/>
            <w:vAlign w:val="center"/>
          </w:tcPr>
          <w:p>
            <w:pPr>
              <w:pStyle w:val="10"/>
            </w:pPr>
            <w:r>
              <w:t>7.17</w:t>
            </w:r>
          </w:p>
        </w:tc>
        <w:tc>
          <w:tcPr>
            <w:tcW w:w="1134" w:type="dxa"/>
            <w:vAlign w:val="center"/>
          </w:tcPr>
          <w:p>
            <w:pPr>
              <w:pStyle w:val="10"/>
            </w:pPr>
            <w:r>
              <w:t>7.17</w:t>
            </w:r>
          </w:p>
        </w:tc>
        <w:tc>
          <w:tcPr>
            <w:tcW w:w="1134" w:type="dxa"/>
            <w:vAlign w:val="center"/>
          </w:tcPr>
          <w:p>
            <w:pPr>
              <w:pStyle w:val="10"/>
            </w:pPr>
            <w:r>
              <w:t>7.17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8</w:t>
            </w:r>
          </w:p>
        </w:tc>
        <w:tc>
          <w:tcPr>
            <w:tcW w:w="1134" w:type="dxa"/>
            <w:vAlign w:val="center"/>
          </w:tcPr>
          <w:p>
            <w:pPr>
              <w:pStyle w:val="9"/>
            </w:pPr>
            <w:r>
              <w:t>20805</w:t>
            </w:r>
          </w:p>
        </w:tc>
        <w:tc>
          <w:tcPr>
            <w:tcW w:w="1851" w:type="dxa"/>
            <w:vAlign w:val="center"/>
          </w:tcPr>
          <w:p>
            <w:pPr>
              <w:pStyle w:val="9"/>
            </w:pPr>
            <w:r>
              <w:t>行政事业单位养老支出</w:t>
            </w:r>
          </w:p>
        </w:tc>
        <w:tc>
          <w:tcPr>
            <w:tcW w:w="842" w:type="dxa"/>
            <w:vAlign w:val="center"/>
          </w:tcPr>
          <w:p>
            <w:pPr>
              <w:pStyle w:val="10"/>
            </w:pPr>
            <w:r>
              <w:t>7.17</w:t>
            </w:r>
          </w:p>
        </w:tc>
        <w:tc>
          <w:tcPr>
            <w:tcW w:w="1134" w:type="dxa"/>
            <w:vAlign w:val="center"/>
          </w:tcPr>
          <w:p>
            <w:pPr>
              <w:pStyle w:val="10"/>
            </w:pPr>
            <w:r>
              <w:t>7.17</w:t>
            </w:r>
          </w:p>
        </w:tc>
        <w:tc>
          <w:tcPr>
            <w:tcW w:w="1134" w:type="dxa"/>
            <w:vAlign w:val="center"/>
          </w:tcPr>
          <w:p>
            <w:pPr>
              <w:pStyle w:val="10"/>
            </w:pPr>
            <w:r>
              <w:t>7.17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9</w:t>
            </w:r>
          </w:p>
        </w:tc>
        <w:tc>
          <w:tcPr>
            <w:tcW w:w="1134" w:type="dxa"/>
            <w:vAlign w:val="center"/>
          </w:tcPr>
          <w:p>
            <w:pPr>
              <w:pStyle w:val="9"/>
            </w:pPr>
            <w:r>
              <w:t>2080505</w:t>
            </w:r>
          </w:p>
        </w:tc>
        <w:tc>
          <w:tcPr>
            <w:tcW w:w="1851" w:type="dxa"/>
            <w:vAlign w:val="center"/>
          </w:tcPr>
          <w:p>
            <w:pPr>
              <w:pStyle w:val="9"/>
            </w:pPr>
            <w:r>
              <w:t>机关事业单位基本养老保险缴费支出</w:t>
            </w:r>
          </w:p>
        </w:tc>
        <w:tc>
          <w:tcPr>
            <w:tcW w:w="842" w:type="dxa"/>
            <w:vAlign w:val="center"/>
          </w:tcPr>
          <w:p>
            <w:pPr>
              <w:pStyle w:val="10"/>
            </w:pPr>
            <w:r>
              <w:t>7.17</w:t>
            </w:r>
          </w:p>
        </w:tc>
        <w:tc>
          <w:tcPr>
            <w:tcW w:w="1134" w:type="dxa"/>
            <w:vAlign w:val="center"/>
          </w:tcPr>
          <w:p>
            <w:pPr>
              <w:pStyle w:val="10"/>
            </w:pPr>
            <w:r>
              <w:t>7.17</w:t>
            </w:r>
          </w:p>
        </w:tc>
        <w:tc>
          <w:tcPr>
            <w:tcW w:w="1134" w:type="dxa"/>
            <w:vAlign w:val="center"/>
          </w:tcPr>
          <w:p>
            <w:pPr>
              <w:pStyle w:val="10"/>
            </w:pPr>
            <w:r>
              <w:t>7.17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10</w:t>
            </w:r>
          </w:p>
        </w:tc>
        <w:tc>
          <w:tcPr>
            <w:tcW w:w="1134" w:type="dxa"/>
            <w:vAlign w:val="center"/>
          </w:tcPr>
          <w:p>
            <w:pPr>
              <w:pStyle w:val="9"/>
            </w:pPr>
            <w:r>
              <w:t>210</w:t>
            </w:r>
          </w:p>
        </w:tc>
        <w:tc>
          <w:tcPr>
            <w:tcW w:w="1851" w:type="dxa"/>
            <w:vAlign w:val="center"/>
          </w:tcPr>
          <w:p>
            <w:pPr>
              <w:pStyle w:val="9"/>
            </w:pPr>
            <w:r>
              <w:t>卫生健康支出</w:t>
            </w:r>
          </w:p>
        </w:tc>
        <w:tc>
          <w:tcPr>
            <w:tcW w:w="842" w:type="dxa"/>
            <w:vAlign w:val="center"/>
          </w:tcPr>
          <w:p>
            <w:pPr>
              <w:pStyle w:val="10"/>
            </w:pPr>
            <w:r>
              <w:t>5.43</w:t>
            </w:r>
          </w:p>
        </w:tc>
        <w:tc>
          <w:tcPr>
            <w:tcW w:w="1134" w:type="dxa"/>
            <w:vAlign w:val="center"/>
          </w:tcPr>
          <w:p>
            <w:pPr>
              <w:pStyle w:val="10"/>
            </w:pPr>
            <w:r>
              <w:t>5.43</w:t>
            </w:r>
          </w:p>
        </w:tc>
        <w:tc>
          <w:tcPr>
            <w:tcW w:w="1134" w:type="dxa"/>
            <w:vAlign w:val="center"/>
          </w:tcPr>
          <w:p>
            <w:pPr>
              <w:pStyle w:val="10"/>
            </w:pPr>
            <w:r>
              <w:t>5.43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11</w:t>
            </w:r>
          </w:p>
        </w:tc>
        <w:tc>
          <w:tcPr>
            <w:tcW w:w="1134" w:type="dxa"/>
            <w:vAlign w:val="center"/>
          </w:tcPr>
          <w:p>
            <w:pPr>
              <w:pStyle w:val="9"/>
            </w:pPr>
            <w:r>
              <w:t>21011</w:t>
            </w:r>
          </w:p>
        </w:tc>
        <w:tc>
          <w:tcPr>
            <w:tcW w:w="1851" w:type="dxa"/>
            <w:vAlign w:val="center"/>
          </w:tcPr>
          <w:p>
            <w:pPr>
              <w:pStyle w:val="9"/>
            </w:pPr>
            <w:r>
              <w:t>行政事业单位医疗</w:t>
            </w:r>
          </w:p>
        </w:tc>
        <w:tc>
          <w:tcPr>
            <w:tcW w:w="842" w:type="dxa"/>
            <w:vAlign w:val="center"/>
          </w:tcPr>
          <w:p>
            <w:pPr>
              <w:pStyle w:val="10"/>
            </w:pPr>
            <w:r>
              <w:t>5.43</w:t>
            </w:r>
          </w:p>
        </w:tc>
        <w:tc>
          <w:tcPr>
            <w:tcW w:w="1134" w:type="dxa"/>
            <w:vAlign w:val="center"/>
          </w:tcPr>
          <w:p>
            <w:pPr>
              <w:pStyle w:val="10"/>
            </w:pPr>
            <w:r>
              <w:t>5.43</w:t>
            </w:r>
          </w:p>
        </w:tc>
        <w:tc>
          <w:tcPr>
            <w:tcW w:w="1134" w:type="dxa"/>
            <w:vAlign w:val="center"/>
          </w:tcPr>
          <w:p>
            <w:pPr>
              <w:pStyle w:val="10"/>
            </w:pPr>
            <w:r>
              <w:t>5.43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12</w:t>
            </w:r>
          </w:p>
        </w:tc>
        <w:tc>
          <w:tcPr>
            <w:tcW w:w="1134" w:type="dxa"/>
            <w:vAlign w:val="center"/>
          </w:tcPr>
          <w:p>
            <w:pPr>
              <w:pStyle w:val="9"/>
            </w:pPr>
            <w:r>
              <w:t>2101102</w:t>
            </w:r>
          </w:p>
        </w:tc>
        <w:tc>
          <w:tcPr>
            <w:tcW w:w="1851" w:type="dxa"/>
            <w:vAlign w:val="center"/>
          </w:tcPr>
          <w:p>
            <w:pPr>
              <w:pStyle w:val="9"/>
            </w:pPr>
            <w:r>
              <w:t>事业单位医疗</w:t>
            </w:r>
          </w:p>
        </w:tc>
        <w:tc>
          <w:tcPr>
            <w:tcW w:w="842" w:type="dxa"/>
            <w:vAlign w:val="center"/>
          </w:tcPr>
          <w:p>
            <w:pPr>
              <w:pStyle w:val="10"/>
            </w:pPr>
            <w:r>
              <w:t>2.62</w:t>
            </w:r>
          </w:p>
        </w:tc>
        <w:tc>
          <w:tcPr>
            <w:tcW w:w="1134" w:type="dxa"/>
            <w:vAlign w:val="center"/>
          </w:tcPr>
          <w:p>
            <w:pPr>
              <w:pStyle w:val="10"/>
            </w:pPr>
            <w:r>
              <w:t>2.62</w:t>
            </w:r>
          </w:p>
        </w:tc>
        <w:tc>
          <w:tcPr>
            <w:tcW w:w="1134" w:type="dxa"/>
            <w:vAlign w:val="center"/>
          </w:tcPr>
          <w:p>
            <w:pPr>
              <w:pStyle w:val="10"/>
            </w:pPr>
            <w:r>
              <w:t>2.62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13</w:t>
            </w:r>
          </w:p>
        </w:tc>
        <w:tc>
          <w:tcPr>
            <w:tcW w:w="1134" w:type="dxa"/>
            <w:vAlign w:val="center"/>
          </w:tcPr>
          <w:p>
            <w:pPr>
              <w:pStyle w:val="9"/>
            </w:pPr>
            <w:r>
              <w:t>2101103</w:t>
            </w:r>
          </w:p>
        </w:tc>
        <w:tc>
          <w:tcPr>
            <w:tcW w:w="1851" w:type="dxa"/>
            <w:vAlign w:val="center"/>
          </w:tcPr>
          <w:p>
            <w:pPr>
              <w:pStyle w:val="9"/>
            </w:pPr>
            <w:r>
              <w:t>公务员医疗补助</w:t>
            </w:r>
          </w:p>
        </w:tc>
        <w:tc>
          <w:tcPr>
            <w:tcW w:w="842" w:type="dxa"/>
            <w:vAlign w:val="center"/>
          </w:tcPr>
          <w:p>
            <w:pPr>
              <w:pStyle w:val="10"/>
            </w:pPr>
            <w:r>
              <w:t>2.81</w:t>
            </w:r>
          </w:p>
        </w:tc>
        <w:tc>
          <w:tcPr>
            <w:tcW w:w="1134" w:type="dxa"/>
            <w:vAlign w:val="center"/>
          </w:tcPr>
          <w:p>
            <w:pPr>
              <w:pStyle w:val="10"/>
            </w:pPr>
            <w:r>
              <w:t>2.81</w:t>
            </w:r>
          </w:p>
        </w:tc>
        <w:tc>
          <w:tcPr>
            <w:tcW w:w="1134" w:type="dxa"/>
            <w:vAlign w:val="center"/>
          </w:tcPr>
          <w:p>
            <w:pPr>
              <w:pStyle w:val="10"/>
            </w:pPr>
            <w:r>
              <w:t>2.81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14</w:t>
            </w:r>
          </w:p>
        </w:tc>
        <w:tc>
          <w:tcPr>
            <w:tcW w:w="1134" w:type="dxa"/>
            <w:vAlign w:val="center"/>
          </w:tcPr>
          <w:p>
            <w:pPr>
              <w:pStyle w:val="9"/>
            </w:pPr>
            <w:r>
              <w:t>221</w:t>
            </w:r>
          </w:p>
        </w:tc>
        <w:tc>
          <w:tcPr>
            <w:tcW w:w="1851" w:type="dxa"/>
            <w:vAlign w:val="center"/>
          </w:tcPr>
          <w:p>
            <w:pPr>
              <w:pStyle w:val="9"/>
            </w:pPr>
            <w:r>
              <w:t>住房保障支出</w:t>
            </w:r>
          </w:p>
        </w:tc>
        <w:tc>
          <w:tcPr>
            <w:tcW w:w="842" w:type="dxa"/>
            <w:vAlign w:val="center"/>
          </w:tcPr>
          <w:p>
            <w:pPr>
              <w:pStyle w:val="10"/>
            </w:pPr>
            <w:r>
              <w:t>3.30</w:t>
            </w:r>
          </w:p>
        </w:tc>
        <w:tc>
          <w:tcPr>
            <w:tcW w:w="1134" w:type="dxa"/>
            <w:vAlign w:val="center"/>
          </w:tcPr>
          <w:p>
            <w:pPr>
              <w:pStyle w:val="10"/>
            </w:pPr>
            <w:r>
              <w:t>3.30</w:t>
            </w:r>
          </w:p>
        </w:tc>
        <w:tc>
          <w:tcPr>
            <w:tcW w:w="1134" w:type="dxa"/>
            <w:vAlign w:val="center"/>
          </w:tcPr>
          <w:p>
            <w:pPr>
              <w:pStyle w:val="10"/>
            </w:pPr>
            <w:r>
              <w:t>3.30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15</w:t>
            </w:r>
          </w:p>
        </w:tc>
        <w:tc>
          <w:tcPr>
            <w:tcW w:w="1134" w:type="dxa"/>
            <w:vAlign w:val="center"/>
          </w:tcPr>
          <w:p>
            <w:pPr>
              <w:pStyle w:val="9"/>
            </w:pPr>
            <w:r>
              <w:t>22102</w:t>
            </w:r>
          </w:p>
        </w:tc>
        <w:tc>
          <w:tcPr>
            <w:tcW w:w="1851" w:type="dxa"/>
            <w:vAlign w:val="center"/>
          </w:tcPr>
          <w:p>
            <w:pPr>
              <w:pStyle w:val="9"/>
            </w:pPr>
            <w:r>
              <w:t>住房改革支出</w:t>
            </w:r>
          </w:p>
        </w:tc>
        <w:tc>
          <w:tcPr>
            <w:tcW w:w="842" w:type="dxa"/>
            <w:vAlign w:val="center"/>
          </w:tcPr>
          <w:p>
            <w:pPr>
              <w:pStyle w:val="10"/>
            </w:pPr>
            <w:r>
              <w:t>3.30</w:t>
            </w:r>
          </w:p>
        </w:tc>
        <w:tc>
          <w:tcPr>
            <w:tcW w:w="1134" w:type="dxa"/>
            <w:vAlign w:val="center"/>
          </w:tcPr>
          <w:p>
            <w:pPr>
              <w:pStyle w:val="10"/>
            </w:pPr>
            <w:r>
              <w:t>3.30</w:t>
            </w:r>
          </w:p>
        </w:tc>
        <w:tc>
          <w:tcPr>
            <w:tcW w:w="1134" w:type="dxa"/>
            <w:vAlign w:val="center"/>
          </w:tcPr>
          <w:p>
            <w:pPr>
              <w:pStyle w:val="10"/>
            </w:pPr>
            <w:r>
              <w:t>3.30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16</w:t>
            </w:r>
          </w:p>
        </w:tc>
        <w:tc>
          <w:tcPr>
            <w:tcW w:w="1134" w:type="dxa"/>
            <w:vAlign w:val="center"/>
          </w:tcPr>
          <w:p>
            <w:pPr>
              <w:pStyle w:val="9"/>
            </w:pPr>
            <w:r>
              <w:t>2210201</w:t>
            </w:r>
          </w:p>
        </w:tc>
        <w:tc>
          <w:tcPr>
            <w:tcW w:w="1851" w:type="dxa"/>
            <w:vAlign w:val="center"/>
          </w:tcPr>
          <w:p>
            <w:pPr>
              <w:pStyle w:val="9"/>
            </w:pPr>
            <w:r>
              <w:t>住房公积金</w:t>
            </w:r>
          </w:p>
        </w:tc>
        <w:tc>
          <w:tcPr>
            <w:tcW w:w="842" w:type="dxa"/>
            <w:vAlign w:val="center"/>
          </w:tcPr>
          <w:p>
            <w:pPr>
              <w:pStyle w:val="10"/>
            </w:pPr>
            <w:r>
              <w:t>3.30</w:t>
            </w:r>
          </w:p>
        </w:tc>
        <w:tc>
          <w:tcPr>
            <w:tcW w:w="1134" w:type="dxa"/>
            <w:vAlign w:val="center"/>
          </w:tcPr>
          <w:p>
            <w:pPr>
              <w:pStyle w:val="10"/>
            </w:pPr>
            <w:r>
              <w:t>3.30</w:t>
            </w:r>
          </w:p>
        </w:tc>
        <w:tc>
          <w:tcPr>
            <w:tcW w:w="1134" w:type="dxa"/>
            <w:vAlign w:val="center"/>
          </w:tcPr>
          <w:p>
            <w:pPr>
              <w:pStyle w:val="10"/>
            </w:pPr>
            <w:r>
              <w:t>3.30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7"/>
            </w:pPr>
            <w:r>
              <w:t>栏次</w:t>
            </w:r>
          </w:p>
        </w:tc>
        <w:tc>
          <w:tcPr>
            <w:tcW w:w="1134" w:type="dxa"/>
            <w:vAlign w:val="center"/>
          </w:tcPr>
          <w:p>
            <w:pPr>
              <w:pStyle w:val="7"/>
            </w:pPr>
            <w:r>
              <w:t>1</w:t>
            </w:r>
          </w:p>
        </w:tc>
        <w:tc>
          <w:tcPr>
            <w:tcW w:w="1134"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1604.61</w:t>
            </w:r>
          </w:p>
        </w:tc>
        <w:tc>
          <w:tcPr>
            <w:tcW w:w="1361" w:type="dxa"/>
            <w:vAlign w:val="center"/>
          </w:tcPr>
          <w:p>
            <w:pPr>
              <w:pStyle w:val="12"/>
            </w:pPr>
            <w:r>
              <w:t>63.61</w:t>
            </w:r>
          </w:p>
        </w:tc>
        <w:tc>
          <w:tcPr>
            <w:tcW w:w="1361" w:type="dxa"/>
            <w:vAlign w:val="center"/>
          </w:tcPr>
          <w:p>
            <w:pPr>
              <w:pStyle w:val="12"/>
            </w:pPr>
            <w:r>
              <w:t>1541.00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201</w:t>
            </w:r>
          </w:p>
        </w:tc>
        <w:tc>
          <w:tcPr>
            <w:tcW w:w="4535" w:type="dxa"/>
            <w:vAlign w:val="center"/>
          </w:tcPr>
          <w:p>
            <w:pPr>
              <w:pStyle w:val="9"/>
            </w:pPr>
            <w:r>
              <w:t>一般公共服务支出</w:t>
            </w:r>
          </w:p>
        </w:tc>
        <w:tc>
          <w:tcPr>
            <w:tcW w:w="1361" w:type="dxa"/>
            <w:vAlign w:val="center"/>
          </w:tcPr>
          <w:p>
            <w:pPr>
              <w:pStyle w:val="10"/>
            </w:pPr>
            <w:r>
              <w:t>1588.71</w:t>
            </w:r>
          </w:p>
        </w:tc>
        <w:tc>
          <w:tcPr>
            <w:tcW w:w="1361" w:type="dxa"/>
            <w:vAlign w:val="center"/>
          </w:tcPr>
          <w:p>
            <w:pPr>
              <w:pStyle w:val="10"/>
            </w:pPr>
            <w:r>
              <w:t>47.71</w:t>
            </w:r>
          </w:p>
        </w:tc>
        <w:tc>
          <w:tcPr>
            <w:tcW w:w="1361" w:type="dxa"/>
            <w:vAlign w:val="center"/>
          </w:tcPr>
          <w:p>
            <w:pPr>
              <w:pStyle w:val="10"/>
            </w:pPr>
            <w:r>
              <w:t>1541.00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20103</w:t>
            </w:r>
          </w:p>
        </w:tc>
        <w:tc>
          <w:tcPr>
            <w:tcW w:w="4535" w:type="dxa"/>
            <w:vAlign w:val="center"/>
          </w:tcPr>
          <w:p>
            <w:pPr>
              <w:pStyle w:val="9"/>
            </w:pPr>
            <w:r>
              <w:t>政府办公厅（室）及相关机构事务</w:t>
            </w:r>
          </w:p>
        </w:tc>
        <w:tc>
          <w:tcPr>
            <w:tcW w:w="1361" w:type="dxa"/>
            <w:vAlign w:val="center"/>
          </w:tcPr>
          <w:p>
            <w:pPr>
              <w:pStyle w:val="10"/>
            </w:pPr>
            <w:r>
              <w:t>1541.00</w:t>
            </w:r>
          </w:p>
        </w:tc>
        <w:tc>
          <w:tcPr>
            <w:tcW w:w="1361" w:type="dxa"/>
            <w:vAlign w:val="center"/>
          </w:tcPr>
          <w:p>
            <w:pPr>
              <w:pStyle w:val="10"/>
            </w:pPr>
          </w:p>
        </w:tc>
        <w:tc>
          <w:tcPr>
            <w:tcW w:w="1361" w:type="dxa"/>
            <w:vAlign w:val="center"/>
          </w:tcPr>
          <w:p>
            <w:pPr>
              <w:pStyle w:val="10"/>
            </w:pPr>
            <w:r>
              <w:t>1541.00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2010399</w:t>
            </w:r>
          </w:p>
        </w:tc>
        <w:tc>
          <w:tcPr>
            <w:tcW w:w="4535" w:type="dxa"/>
            <w:vAlign w:val="center"/>
          </w:tcPr>
          <w:p>
            <w:pPr>
              <w:pStyle w:val="9"/>
            </w:pPr>
            <w:r>
              <w:t>其他政府办公厅（室）及相关机构事务支出</w:t>
            </w:r>
          </w:p>
        </w:tc>
        <w:tc>
          <w:tcPr>
            <w:tcW w:w="1361" w:type="dxa"/>
            <w:vAlign w:val="center"/>
          </w:tcPr>
          <w:p>
            <w:pPr>
              <w:pStyle w:val="10"/>
            </w:pPr>
            <w:r>
              <w:t>1541.00</w:t>
            </w:r>
          </w:p>
        </w:tc>
        <w:tc>
          <w:tcPr>
            <w:tcW w:w="1361" w:type="dxa"/>
            <w:vAlign w:val="center"/>
          </w:tcPr>
          <w:p>
            <w:pPr>
              <w:pStyle w:val="10"/>
            </w:pPr>
          </w:p>
        </w:tc>
        <w:tc>
          <w:tcPr>
            <w:tcW w:w="1361" w:type="dxa"/>
            <w:vAlign w:val="center"/>
          </w:tcPr>
          <w:p>
            <w:pPr>
              <w:pStyle w:val="10"/>
            </w:pPr>
            <w:r>
              <w:t>1541.00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20199</w:t>
            </w:r>
          </w:p>
        </w:tc>
        <w:tc>
          <w:tcPr>
            <w:tcW w:w="4535" w:type="dxa"/>
            <w:vAlign w:val="center"/>
          </w:tcPr>
          <w:p>
            <w:pPr>
              <w:pStyle w:val="9"/>
            </w:pPr>
            <w:r>
              <w:t>其他一般公共服务支出</w:t>
            </w:r>
          </w:p>
        </w:tc>
        <w:tc>
          <w:tcPr>
            <w:tcW w:w="1361" w:type="dxa"/>
            <w:vAlign w:val="center"/>
          </w:tcPr>
          <w:p>
            <w:pPr>
              <w:pStyle w:val="10"/>
            </w:pPr>
            <w:r>
              <w:t>47.71</w:t>
            </w:r>
          </w:p>
        </w:tc>
        <w:tc>
          <w:tcPr>
            <w:tcW w:w="1361" w:type="dxa"/>
            <w:vAlign w:val="center"/>
          </w:tcPr>
          <w:p>
            <w:pPr>
              <w:pStyle w:val="10"/>
            </w:pPr>
            <w:r>
              <w:t>47.71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2019999</w:t>
            </w:r>
          </w:p>
        </w:tc>
        <w:tc>
          <w:tcPr>
            <w:tcW w:w="4535" w:type="dxa"/>
            <w:vAlign w:val="center"/>
          </w:tcPr>
          <w:p>
            <w:pPr>
              <w:pStyle w:val="9"/>
            </w:pPr>
            <w:r>
              <w:t>其他一般公共服务支出</w:t>
            </w:r>
          </w:p>
        </w:tc>
        <w:tc>
          <w:tcPr>
            <w:tcW w:w="1361" w:type="dxa"/>
            <w:vAlign w:val="center"/>
          </w:tcPr>
          <w:p>
            <w:pPr>
              <w:pStyle w:val="10"/>
            </w:pPr>
            <w:r>
              <w:t>47.71</w:t>
            </w:r>
          </w:p>
        </w:tc>
        <w:tc>
          <w:tcPr>
            <w:tcW w:w="1361" w:type="dxa"/>
            <w:vAlign w:val="center"/>
          </w:tcPr>
          <w:p>
            <w:pPr>
              <w:pStyle w:val="10"/>
            </w:pPr>
            <w:r>
              <w:t>47.71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7.17</w:t>
            </w:r>
          </w:p>
        </w:tc>
        <w:tc>
          <w:tcPr>
            <w:tcW w:w="1361" w:type="dxa"/>
            <w:vAlign w:val="center"/>
          </w:tcPr>
          <w:p>
            <w:pPr>
              <w:pStyle w:val="10"/>
            </w:pPr>
            <w:r>
              <w:t>7.17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7.17</w:t>
            </w:r>
          </w:p>
        </w:tc>
        <w:tc>
          <w:tcPr>
            <w:tcW w:w="1361" w:type="dxa"/>
            <w:vAlign w:val="center"/>
          </w:tcPr>
          <w:p>
            <w:pPr>
              <w:pStyle w:val="10"/>
            </w:pPr>
            <w:r>
              <w:t>7.17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7.17</w:t>
            </w:r>
          </w:p>
        </w:tc>
        <w:tc>
          <w:tcPr>
            <w:tcW w:w="1361" w:type="dxa"/>
            <w:vAlign w:val="center"/>
          </w:tcPr>
          <w:p>
            <w:pPr>
              <w:pStyle w:val="10"/>
            </w:pPr>
            <w:r>
              <w:t>7.17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5.43</w:t>
            </w:r>
          </w:p>
        </w:tc>
        <w:tc>
          <w:tcPr>
            <w:tcW w:w="1361" w:type="dxa"/>
            <w:vAlign w:val="center"/>
          </w:tcPr>
          <w:p>
            <w:pPr>
              <w:pStyle w:val="10"/>
            </w:pPr>
            <w:r>
              <w:t>5.43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5.43</w:t>
            </w:r>
          </w:p>
        </w:tc>
        <w:tc>
          <w:tcPr>
            <w:tcW w:w="1361" w:type="dxa"/>
            <w:vAlign w:val="center"/>
          </w:tcPr>
          <w:p>
            <w:pPr>
              <w:pStyle w:val="10"/>
            </w:pPr>
            <w:r>
              <w:t>5.43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2101102</w:t>
            </w:r>
          </w:p>
        </w:tc>
        <w:tc>
          <w:tcPr>
            <w:tcW w:w="4535" w:type="dxa"/>
            <w:vAlign w:val="center"/>
          </w:tcPr>
          <w:p>
            <w:pPr>
              <w:pStyle w:val="9"/>
            </w:pPr>
            <w:r>
              <w:t>事业单位医疗</w:t>
            </w:r>
          </w:p>
        </w:tc>
        <w:tc>
          <w:tcPr>
            <w:tcW w:w="1361" w:type="dxa"/>
            <w:vAlign w:val="center"/>
          </w:tcPr>
          <w:p>
            <w:pPr>
              <w:pStyle w:val="10"/>
            </w:pPr>
            <w:r>
              <w:t>2.62</w:t>
            </w:r>
          </w:p>
        </w:tc>
        <w:tc>
          <w:tcPr>
            <w:tcW w:w="1361" w:type="dxa"/>
            <w:vAlign w:val="center"/>
          </w:tcPr>
          <w:p>
            <w:pPr>
              <w:pStyle w:val="10"/>
            </w:pPr>
            <w:r>
              <w:t>2.62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2.81</w:t>
            </w:r>
          </w:p>
        </w:tc>
        <w:tc>
          <w:tcPr>
            <w:tcW w:w="1361" w:type="dxa"/>
            <w:vAlign w:val="center"/>
          </w:tcPr>
          <w:p>
            <w:pPr>
              <w:pStyle w:val="10"/>
            </w:pPr>
            <w:r>
              <w:t>2.81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3.30</w:t>
            </w:r>
          </w:p>
        </w:tc>
        <w:tc>
          <w:tcPr>
            <w:tcW w:w="1361" w:type="dxa"/>
            <w:vAlign w:val="center"/>
          </w:tcPr>
          <w:p>
            <w:pPr>
              <w:pStyle w:val="10"/>
            </w:pPr>
            <w:r>
              <w:t>3.30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3.30</w:t>
            </w:r>
          </w:p>
        </w:tc>
        <w:tc>
          <w:tcPr>
            <w:tcW w:w="1361" w:type="dxa"/>
            <w:vAlign w:val="center"/>
          </w:tcPr>
          <w:p>
            <w:pPr>
              <w:pStyle w:val="10"/>
            </w:pPr>
            <w:r>
              <w:t>3.30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3.30</w:t>
            </w:r>
          </w:p>
        </w:tc>
        <w:tc>
          <w:tcPr>
            <w:tcW w:w="1361" w:type="dxa"/>
            <w:vAlign w:val="center"/>
          </w:tcPr>
          <w:p>
            <w:pPr>
              <w:pStyle w:val="10"/>
            </w:pPr>
            <w:r>
              <w:t>3.30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7"/>
            </w:pPr>
            <w:r>
              <w:t>栏次</w:t>
            </w:r>
          </w:p>
        </w:tc>
        <w:tc>
          <w:tcPr>
            <w:tcW w:w="1134" w:type="dxa"/>
            <w:vAlign w:val="center"/>
          </w:tcPr>
          <w:p>
            <w:pPr>
              <w:pStyle w:val="7"/>
            </w:pPr>
            <w:r>
              <w:t>1</w:t>
            </w:r>
          </w:p>
        </w:tc>
        <w:tc>
          <w:tcPr>
            <w:tcW w:w="1134"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1604.61</w:t>
            </w:r>
          </w:p>
        </w:tc>
        <w:tc>
          <w:tcPr>
            <w:tcW w:w="3402" w:type="dxa"/>
            <w:vAlign w:val="center"/>
          </w:tcPr>
          <w:p>
            <w:pPr>
              <w:pStyle w:val="9"/>
            </w:pPr>
            <w:r>
              <w:t>一、一般公共服务支出</w:t>
            </w:r>
          </w:p>
        </w:tc>
        <w:tc>
          <w:tcPr>
            <w:tcW w:w="1474" w:type="dxa"/>
            <w:vAlign w:val="center"/>
          </w:tcPr>
          <w:p>
            <w:pPr>
              <w:pStyle w:val="10"/>
            </w:pPr>
            <w:r>
              <w:t>1588.71</w:t>
            </w:r>
          </w:p>
        </w:tc>
        <w:tc>
          <w:tcPr>
            <w:tcW w:w="1474" w:type="dxa"/>
            <w:vAlign w:val="center"/>
          </w:tcPr>
          <w:p>
            <w:pPr>
              <w:pStyle w:val="10"/>
            </w:pPr>
            <w:r>
              <w:t>1588.71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7.17</w:t>
            </w:r>
          </w:p>
        </w:tc>
        <w:tc>
          <w:tcPr>
            <w:tcW w:w="1474" w:type="dxa"/>
            <w:vAlign w:val="center"/>
          </w:tcPr>
          <w:p>
            <w:pPr>
              <w:pStyle w:val="10"/>
            </w:pPr>
            <w:r>
              <w:t>7.17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5.43</w:t>
            </w:r>
          </w:p>
        </w:tc>
        <w:tc>
          <w:tcPr>
            <w:tcW w:w="1474" w:type="dxa"/>
            <w:vAlign w:val="center"/>
          </w:tcPr>
          <w:p>
            <w:pPr>
              <w:pStyle w:val="10"/>
            </w:pPr>
            <w:r>
              <w:t>5.43</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3.30</w:t>
            </w:r>
          </w:p>
        </w:tc>
        <w:tc>
          <w:tcPr>
            <w:tcW w:w="1474" w:type="dxa"/>
            <w:vAlign w:val="center"/>
          </w:tcPr>
          <w:p>
            <w:pPr>
              <w:pStyle w:val="10"/>
            </w:pPr>
            <w:r>
              <w:t>3.30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1604.61</w:t>
            </w:r>
          </w:p>
        </w:tc>
        <w:tc>
          <w:tcPr>
            <w:tcW w:w="3402" w:type="dxa"/>
            <w:vAlign w:val="center"/>
          </w:tcPr>
          <w:p>
            <w:pPr>
              <w:pStyle w:val="11"/>
            </w:pPr>
            <w:r>
              <w:t>本年支出合计</w:t>
            </w:r>
          </w:p>
        </w:tc>
        <w:tc>
          <w:tcPr>
            <w:tcW w:w="1474" w:type="dxa"/>
            <w:vAlign w:val="center"/>
          </w:tcPr>
          <w:p>
            <w:pPr>
              <w:pStyle w:val="12"/>
            </w:pPr>
            <w:r>
              <w:t>1604.61</w:t>
            </w:r>
          </w:p>
        </w:tc>
        <w:tc>
          <w:tcPr>
            <w:tcW w:w="1474" w:type="dxa"/>
            <w:vAlign w:val="center"/>
          </w:tcPr>
          <w:p>
            <w:pPr>
              <w:pStyle w:val="12"/>
            </w:pPr>
            <w:r>
              <w:t>1604.61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1604.61</w:t>
            </w:r>
          </w:p>
        </w:tc>
        <w:tc>
          <w:tcPr>
            <w:tcW w:w="3402" w:type="dxa"/>
            <w:vAlign w:val="center"/>
          </w:tcPr>
          <w:p>
            <w:pPr>
              <w:pStyle w:val="11"/>
            </w:pPr>
            <w:r>
              <w:t>支出总计</w:t>
            </w:r>
          </w:p>
        </w:tc>
        <w:tc>
          <w:tcPr>
            <w:tcW w:w="1474" w:type="dxa"/>
            <w:vAlign w:val="center"/>
          </w:tcPr>
          <w:p>
            <w:pPr>
              <w:pStyle w:val="12"/>
            </w:pPr>
            <w:r>
              <w:t>1604.61</w:t>
            </w:r>
          </w:p>
        </w:tc>
        <w:tc>
          <w:tcPr>
            <w:tcW w:w="1474" w:type="dxa"/>
            <w:vAlign w:val="center"/>
          </w:tcPr>
          <w:p>
            <w:pPr>
              <w:pStyle w:val="12"/>
            </w:pPr>
            <w:r>
              <w:t>1604.61</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8"/>
            </w:pPr>
            <w:r>
              <w:t>1</w:t>
            </w:r>
          </w:p>
        </w:tc>
        <w:tc>
          <w:tcPr>
            <w:tcW w:w="1134" w:type="dxa"/>
            <w:vAlign w:val="center"/>
          </w:tcPr>
          <w:p>
            <w:pPr>
              <w:pStyle w:val="13"/>
            </w:pPr>
          </w:p>
        </w:tc>
        <w:tc>
          <w:tcPr>
            <w:tcW w:w="1134" w:type="dxa"/>
            <w:vAlign w:val="center"/>
          </w:tcPr>
          <w:p>
            <w:pPr>
              <w:pStyle w:val="11"/>
            </w:pPr>
            <w:r>
              <w:t>合计</w:t>
            </w:r>
          </w:p>
        </w:tc>
        <w:tc>
          <w:tcPr>
            <w:tcW w:w="1134" w:type="dxa"/>
            <w:vAlign w:val="center"/>
          </w:tcPr>
          <w:p>
            <w:pPr>
              <w:pStyle w:val="12"/>
            </w:pPr>
            <w:r>
              <w:t>1604.61</w:t>
            </w:r>
          </w:p>
        </w:tc>
        <w:tc>
          <w:tcPr>
            <w:tcW w:w="1134" w:type="dxa"/>
            <w:vAlign w:val="center"/>
          </w:tcPr>
          <w:p>
            <w:pPr>
              <w:pStyle w:val="12"/>
            </w:pPr>
            <w:r>
              <w:t>63.61</w:t>
            </w:r>
          </w:p>
        </w:tc>
        <w:tc>
          <w:tcPr>
            <w:tcW w:w="1134" w:type="dxa"/>
            <w:vAlign w:val="center"/>
          </w:tcPr>
          <w:p>
            <w:pPr>
              <w:pStyle w:val="12"/>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201</w:t>
            </w:r>
          </w:p>
        </w:tc>
        <w:tc>
          <w:tcPr>
            <w:tcW w:w="4535" w:type="dxa"/>
            <w:vAlign w:val="center"/>
          </w:tcPr>
          <w:p>
            <w:pPr>
              <w:pStyle w:val="9"/>
            </w:pPr>
            <w:r>
              <w:t>一般公共服务支出</w:t>
            </w:r>
          </w:p>
        </w:tc>
        <w:tc>
          <w:tcPr>
            <w:tcW w:w="2551" w:type="dxa"/>
            <w:vAlign w:val="center"/>
          </w:tcPr>
          <w:p>
            <w:pPr>
              <w:pStyle w:val="10"/>
            </w:pPr>
            <w:r>
              <w:t>1588.71</w:t>
            </w:r>
          </w:p>
        </w:tc>
        <w:tc>
          <w:tcPr>
            <w:tcW w:w="2551" w:type="dxa"/>
            <w:vAlign w:val="center"/>
          </w:tcPr>
          <w:p>
            <w:pPr>
              <w:pStyle w:val="10"/>
            </w:pPr>
            <w:r>
              <w:t>47.71</w:t>
            </w:r>
          </w:p>
        </w:tc>
        <w:tc>
          <w:tcPr>
            <w:tcW w:w="2551" w:type="dxa"/>
            <w:vAlign w:val="center"/>
          </w:tcPr>
          <w:p>
            <w:pPr>
              <w:pStyle w:val="10"/>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20103</w:t>
            </w:r>
          </w:p>
        </w:tc>
        <w:tc>
          <w:tcPr>
            <w:tcW w:w="4535" w:type="dxa"/>
            <w:vAlign w:val="center"/>
          </w:tcPr>
          <w:p>
            <w:pPr>
              <w:pStyle w:val="9"/>
            </w:pPr>
            <w:r>
              <w:t>政府办公厅（室）及相关机构事务</w:t>
            </w:r>
          </w:p>
        </w:tc>
        <w:tc>
          <w:tcPr>
            <w:tcW w:w="2551" w:type="dxa"/>
            <w:vAlign w:val="center"/>
          </w:tcPr>
          <w:p>
            <w:pPr>
              <w:pStyle w:val="10"/>
            </w:pPr>
            <w:r>
              <w:t>1541.00</w:t>
            </w:r>
          </w:p>
        </w:tc>
        <w:tc>
          <w:tcPr>
            <w:tcW w:w="2551" w:type="dxa"/>
            <w:vAlign w:val="center"/>
          </w:tcPr>
          <w:p>
            <w:pPr>
              <w:pStyle w:val="10"/>
            </w:pPr>
          </w:p>
        </w:tc>
        <w:tc>
          <w:tcPr>
            <w:tcW w:w="2551" w:type="dxa"/>
            <w:vAlign w:val="center"/>
          </w:tcPr>
          <w:p>
            <w:pPr>
              <w:pStyle w:val="10"/>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2010399</w:t>
            </w:r>
          </w:p>
        </w:tc>
        <w:tc>
          <w:tcPr>
            <w:tcW w:w="4535" w:type="dxa"/>
            <w:vAlign w:val="center"/>
          </w:tcPr>
          <w:p>
            <w:pPr>
              <w:pStyle w:val="9"/>
            </w:pPr>
            <w:r>
              <w:t>其他政府办公厅（室）及相关机构事务支出</w:t>
            </w:r>
          </w:p>
        </w:tc>
        <w:tc>
          <w:tcPr>
            <w:tcW w:w="2551" w:type="dxa"/>
            <w:vAlign w:val="center"/>
          </w:tcPr>
          <w:p>
            <w:pPr>
              <w:pStyle w:val="10"/>
            </w:pPr>
            <w:r>
              <w:t>1541.00</w:t>
            </w:r>
          </w:p>
        </w:tc>
        <w:tc>
          <w:tcPr>
            <w:tcW w:w="2551" w:type="dxa"/>
            <w:vAlign w:val="center"/>
          </w:tcPr>
          <w:p>
            <w:pPr>
              <w:pStyle w:val="10"/>
            </w:pPr>
          </w:p>
        </w:tc>
        <w:tc>
          <w:tcPr>
            <w:tcW w:w="2551" w:type="dxa"/>
            <w:vAlign w:val="center"/>
          </w:tcPr>
          <w:p>
            <w:pPr>
              <w:pStyle w:val="10"/>
            </w:pPr>
            <w:r>
              <w:t>1541.00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20199</w:t>
            </w:r>
          </w:p>
        </w:tc>
        <w:tc>
          <w:tcPr>
            <w:tcW w:w="4535" w:type="dxa"/>
            <w:vAlign w:val="center"/>
          </w:tcPr>
          <w:p>
            <w:pPr>
              <w:pStyle w:val="9"/>
            </w:pPr>
            <w:r>
              <w:t>其他一般公共服务支出</w:t>
            </w:r>
          </w:p>
        </w:tc>
        <w:tc>
          <w:tcPr>
            <w:tcW w:w="2551" w:type="dxa"/>
            <w:vAlign w:val="center"/>
          </w:tcPr>
          <w:p>
            <w:pPr>
              <w:pStyle w:val="10"/>
            </w:pPr>
            <w:r>
              <w:t>47.71</w:t>
            </w:r>
          </w:p>
        </w:tc>
        <w:tc>
          <w:tcPr>
            <w:tcW w:w="2551" w:type="dxa"/>
            <w:vAlign w:val="center"/>
          </w:tcPr>
          <w:p>
            <w:pPr>
              <w:pStyle w:val="10"/>
            </w:pPr>
            <w:r>
              <w:t>47.71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2019999</w:t>
            </w:r>
          </w:p>
        </w:tc>
        <w:tc>
          <w:tcPr>
            <w:tcW w:w="4535" w:type="dxa"/>
            <w:vAlign w:val="center"/>
          </w:tcPr>
          <w:p>
            <w:pPr>
              <w:pStyle w:val="9"/>
            </w:pPr>
            <w:r>
              <w:t>其他一般公共服务支出</w:t>
            </w:r>
          </w:p>
        </w:tc>
        <w:tc>
          <w:tcPr>
            <w:tcW w:w="2551" w:type="dxa"/>
            <w:vAlign w:val="center"/>
          </w:tcPr>
          <w:p>
            <w:pPr>
              <w:pStyle w:val="10"/>
            </w:pPr>
            <w:r>
              <w:t>47.71</w:t>
            </w:r>
          </w:p>
        </w:tc>
        <w:tc>
          <w:tcPr>
            <w:tcW w:w="2551" w:type="dxa"/>
            <w:vAlign w:val="center"/>
          </w:tcPr>
          <w:p>
            <w:pPr>
              <w:pStyle w:val="10"/>
            </w:pPr>
            <w:r>
              <w:t>47.71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7.17</w:t>
            </w:r>
          </w:p>
        </w:tc>
        <w:tc>
          <w:tcPr>
            <w:tcW w:w="2551" w:type="dxa"/>
            <w:vAlign w:val="center"/>
          </w:tcPr>
          <w:p>
            <w:pPr>
              <w:pStyle w:val="10"/>
            </w:pPr>
            <w:r>
              <w:t>7.17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7.17</w:t>
            </w:r>
          </w:p>
        </w:tc>
        <w:tc>
          <w:tcPr>
            <w:tcW w:w="2551" w:type="dxa"/>
            <w:vAlign w:val="center"/>
          </w:tcPr>
          <w:p>
            <w:pPr>
              <w:pStyle w:val="10"/>
            </w:pPr>
            <w:r>
              <w:t>7.17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7.17</w:t>
            </w:r>
          </w:p>
        </w:tc>
        <w:tc>
          <w:tcPr>
            <w:tcW w:w="2551" w:type="dxa"/>
            <w:vAlign w:val="center"/>
          </w:tcPr>
          <w:p>
            <w:pPr>
              <w:pStyle w:val="10"/>
            </w:pPr>
            <w:r>
              <w:t>7.17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5.43</w:t>
            </w:r>
          </w:p>
        </w:tc>
        <w:tc>
          <w:tcPr>
            <w:tcW w:w="2551" w:type="dxa"/>
            <w:vAlign w:val="center"/>
          </w:tcPr>
          <w:p>
            <w:pPr>
              <w:pStyle w:val="10"/>
            </w:pPr>
            <w:r>
              <w:t>5.43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5.43</w:t>
            </w:r>
          </w:p>
        </w:tc>
        <w:tc>
          <w:tcPr>
            <w:tcW w:w="2551" w:type="dxa"/>
            <w:vAlign w:val="center"/>
          </w:tcPr>
          <w:p>
            <w:pPr>
              <w:pStyle w:val="10"/>
            </w:pPr>
            <w:r>
              <w:t>5.43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2101102</w:t>
            </w:r>
          </w:p>
        </w:tc>
        <w:tc>
          <w:tcPr>
            <w:tcW w:w="4535" w:type="dxa"/>
            <w:vAlign w:val="center"/>
          </w:tcPr>
          <w:p>
            <w:pPr>
              <w:pStyle w:val="9"/>
            </w:pPr>
            <w:r>
              <w:t>事业单位医疗</w:t>
            </w:r>
          </w:p>
        </w:tc>
        <w:tc>
          <w:tcPr>
            <w:tcW w:w="2551" w:type="dxa"/>
            <w:vAlign w:val="center"/>
          </w:tcPr>
          <w:p>
            <w:pPr>
              <w:pStyle w:val="10"/>
            </w:pPr>
            <w:r>
              <w:t>2.62</w:t>
            </w:r>
          </w:p>
        </w:tc>
        <w:tc>
          <w:tcPr>
            <w:tcW w:w="2551" w:type="dxa"/>
            <w:vAlign w:val="center"/>
          </w:tcPr>
          <w:p>
            <w:pPr>
              <w:pStyle w:val="10"/>
            </w:pPr>
            <w:r>
              <w:t>2.62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2.81</w:t>
            </w:r>
          </w:p>
        </w:tc>
        <w:tc>
          <w:tcPr>
            <w:tcW w:w="2551" w:type="dxa"/>
            <w:vAlign w:val="center"/>
          </w:tcPr>
          <w:p>
            <w:pPr>
              <w:pStyle w:val="10"/>
            </w:pPr>
            <w:r>
              <w:t>2.81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3.30</w:t>
            </w:r>
          </w:p>
        </w:tc>
        <w:tc>
          <w:tcPr>
            <w:tcW w:w="2551" w:type="dxa"/>
            <w:vAlign w:val="center"/>
          </w:tcPr>
          <w:p>
            <w:pPr>
              <w:pStyle w:val="10"/>
            </w:pPr>
            <w:r>
              <w:t>3.30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3.30</w:t>
            </w:r>
          </w:p>
        </w:tc>
        <w:tc>
          <w:tcPr>
            <w:tcW w:w="2551" w:type="dxa"/>
            <w:vAlign w:val="center"/>
          </w:tcPr>
          <w:p>
            <w:pPr>
              <w:pStyle w:val="10"/>
            </w:pPr>
            <w:r>
              <w:t>3.30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3.30</w:t>
            </w:r>
          </w:p>
        </w:tc>
        <w:tc>
          <w:tcPr>
            <w:tcW w:w="2551" w:type="dxa"/>
            <w:vAlign w:val="center"/>
          </w:tcPr>
          <w:p>
            <w:pPr>
              <w:pStyle w:val="10"/>
            </w:pPr>
            <w:r>
              <w:t>3.30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4" w:type="dxa"/>
            <w:vAlign w:val="center"/>
          </w:tcPr>
          <w:p>
            <w:pPr>
              <w:pStyle w:val="7"/>
            </w:pPr>
            <w:r>
              <w:t>栏次</w:t>
            </w:r>
          </w:p>
        </w:tc>
        <w:tc>
          <w:tcPr>
            <w:tcW w:w="1134" w:type="dxa"/>
            <w:vAlign w:val="center"/>
          </w:tcPr>
          <w:p>
            <w:pPr>
              <w:pStyle w:val="7"/>
            </w:pPr>
            <w:r>
              <w:t>1</w:t>
            </w:r>
          </w:p>
        </w:tc>
        <w:tc>
          <w:tcPr>
            <w:tcW w:w="1134"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63.61</w:t>
            </w:r>
          </w:p>
        </w:tc>
        <w:tc>
          <w:tcPr>
            <w:tcW w:w="2551" w:type="dxa"/>
            <w:vAlign w:val="center"/>
          </w:tcPr>
          <w:p>
            <w:pPr>
              <w:pStyle w:val="12"/>
            </w:pPr>
            <w:r>
              <w:t>61.42</w:t>
            </w:r>
          </w:p>
        </w:tc>
        <w:tc>
          <w:tcPr>
            <w:tcW w:w="2551" w:type="dxa"/>
            <w:vAlign w:val="center"/>
          </w:tcPr>
          <w:p>
            <w:pPr>
              <w:pStyle w:val="12"/>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61.27</w:t>
            </w:r>
          </w:p>
        </w:tc>
        <w:tc>
          <w:tcPr>
            <w:tcW w:w="2551" w:type="dxa"/>
            <w:vAlign w:val="center"/>
          </w:tcPr>
          <w:p>
            <w:pPr>
              <w:pStyle w:val="10"/>
            </w:pPr>
            <w:r>
              <w:t>61.27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15.82</w:t>
            </w:r>
          </w:p>
        </w:tc>
        <w:tc>
          <w:tcPr>
            <w:tcW w:w="2551" w:type="dxa"/>
            <w:vAlign w:val="center"/>
          </w:tcPr>
          <w:p>
            <w:pPr>
              <w:pStyle w:val="10"/>
            </w:pPr>
            <w:r>
              <w:t>15.82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3.50</w:t>
            </w:r>
          </w:p>
        </w:tc>
        <w:tc>
          <w:tcPr>
            <w:tcW w:w="2551" w:type="dxa"/>
            <w:vAlign w:val="center"/>
          </w:tcPr>
          <w:p>
            <w:pPr>
              <w:pStyle w:val="10"/>
            </w:pPr>
            <w:r>
              <w:t>3.50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4.00</w:t>
            </w:r>
          </w:p>
        </w:tc>
        <w:tc>
          <w:tcPr>
            <w:tcW w:w="2551" w:type="dxa"/>
            <w:vAlign w:val="center"/>
          </w:tcPr>
          <w:p>
            <w:pPr>
              <w:pStyle w:val="10"/>
            </w:pPr>
            <w:r>
              <w:t>4.00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21.60</w:t>
            </w:r>
          </w:p>
        </w:tc>
        <w:tc>
          <w:tcPr>
            <w:tcW w:w="2551" w:type="dxa"/>
            <w:vAlign w:val="center"/>
          </w:tcPr>
          <w:p>
            <w:pPr>
              <w:pStyle w:val="10"/>
            </w:pPr>
            <w:r>
              <w:t>21.60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7.17</w:t>
            </w:r>
          </w:p>
        </w:tc>
        <w:tc>
          <w:tcPr>
            <w:tcW w:w="2551" w:type="dxa"/>
            <w:vAlign w:val="center"/>
          </w:tcPr>
          <w:p>
            <w:pPr>
              <w:pStyle w:val="10"/>
            </w:pPr>
            <w:r>
              <w:t>7.17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2.62</w:t>
            </w:r>
          </w:p>
        </w:tc>
        <w:tc>
          <w:tcPr>
            <w:tcW w:w="2551" w:type="dxa"/>
            <w:vAlign w:val="center"/>
          </w:tcPr>
          <w:p>
            <w:pPr>
              <w:pStyle w:val="10"/>
            </w:pPr>
            <w:r>
              <w:t>2.62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2.81</w:t>
            </w:r>
          </w:p>
        </w:tc>
        <w:tc>
          <w:tcPr>
            <w:tcW w:w="2551" w:type="dxa"/>
            <w:vAlign w:val="center"/>
          </w:tcPr>
          <w:p>
            <w:pPr>
              <w:pStyle w:val="10"/>
            </w:pPr>
            <w:r>
              <w:t>2.81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0.45</w:t>
            </w:r>
          </w:p>
        </w:tc>
        <w:tc>
          <w:tcPr>
            <w:tcW w:w="2551" w:type="dxa"/>
            <w:vAlign w:val="center"/>
          </w:tcPr>
          <w:p>
            <w:pPr>
              <w:pStyle w:val="10"/>
            </w:pPr>
            <w:r>
              <w:t>0.45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3.30</w:t>
            </w:r>
          </w:p>
        </w:tc>
        <w:tc>
          <w:tcPr>
            <w:tcW w:w="2551" w:type="dxa"/>
            <w:vAlign w:val="center"/>
          </w:tcPr>
          <w:p>
            <w:pPr>
              <w:pStyle w:val="10"/>
            </w:pPr>
            <w:r>
              <w:t>3.30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2.19</w:t>
            </w:r>
          </w:p>
        </w:tc>
        <w:tc>
          <w:tcPr>
            <w:tcW w:w="2551" w:type="dxa"/>
            <w:vAlign w:val="center"/>
          </w:tcPr>
          <w:p>
            <w:pPr>
              <w:pStyle w:val="10"/>
            </w:pPr>
          </w:p>
        </w:tc>
        <w:tc>
          <w:tcPr>
            <w:tcW w:w="2551" w:type="dxa"/>
            <w:vAlign w:val="center"/>
          </w:tcPr>
          <w:p>
            <w:pPr>
              <w:pStyle w:val="10"/>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1.00</w:t>
            </w:r>
          </w:p>
        </w:tc>
        <w:tc>
          <w:tcPr>
            <w:tcW w:w="2551" w:type="dxa"/>
            <w:vAlign w:val="center"/>
          </w:tcPr>
          <w:p>
            <w:pPr>
              <w:pStyle w:val="10"/>
            </w:pPr>
          </w:p>
        </w:tc>
        <w:tc>
          <w:tcPr>
            <w:tcW w:w="2551"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0.75</w:t>
            </w:r>
          </w:p>
        </w:tc>
        <w:tc>
          <w:tcPr>
            <w:tcW w:w="2551" w:type="dxa"/>
            <w:vAlign w:val="center"/>
          </w:tcPr>
          <w:p>
            <w:pPr>
              <w:pStyle w:val="10"/>
            </w:pPr>
          </w:p>
        </w:tc>
        <w:tc>
          <w:tcPr>
            <w:tcW w:w="2551" w:type="dxa"/>
            <w:vAlign w:val="center"/>
          </w:tcPr>
          <w:p>
            <w:pPr>
              <w:pStyle w:val="10"/>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0.40</w:t>
            </w:r>
          </w:p>
        </w:tc>
        <w:tc>
          <w:tcPr>
            <w:tcW w:w="2551" w:type="dxa"/>
            <w:vAlign w:val="center"/>
          </w:tcPr>
          <w:p>
            <w:pPr>
              <w:pStyle w:val="10"/>
            </w:pPr>
          </w:p>
        </w:tc>
        <w:tc>
          <w:tcPr>
            <w:tcW w:w="2551" w:type="dxa"/>
            <w:vAlign w:val="center"/>
          </w:tcPr>
          <w:p>
            <w:pPr>
              <w:pStyle w:val="10"/>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0.04</w:t>
            </w:r>
          </w:p>
        </w:tc>
        <w:tc>
          <w:tcPr>
            <w:tcW w:w="2551" w:type="dxa"/>
            <w:vAlign w:val="center"/>
          </w:tcPr>
          <w:p>
            <w:pPr>
              <w:pStyle w:val="10"/>
            </w:pPr>
          </w:p>
        </w:tc>
        <w:tc>
          <w:tcPr>
            <w:tcW w:w="2551" w:type="dxa"/>
            <w:vAlign w:val="center"/>
          </w:tcPr>
          <w:p>
            <w:pPr>
              <w:pStyle w:val="10"/>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0.15</w:t>
            </w:r>
          </w:p>
        </w:tc>
        <w:tc>
          <w:tcPr>
            <w:tcW w:w="2551" w:type="dxa"/>
            <w:vAlign w:val="center"/>
          </w:tcPr>
          <w:p>
            <w:pPr>
              <w:pStyle w:val="10"/>
            </w:pPr>
            <w:r>
              <w:t>0.15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0.15</w:t>
            </w:r>
          </w:p>
        </w:tc>
        <w:tc>
          <w:tcPr>
            <w:tcW w:w="2551" w:type="dxa"/>
            <w:vAlign w:val="center"/>
          </w:tcPr>
          <w:p>
            <w:pPr>
              <w:pStyle w:val="10"/>
            </w:pPr>
            <w:r>
              <w:t>0.15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秦皇岛市海港区大数据中心本级2023年单位预算信息公开情况说明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、《地方预决算公开操作规程》和《关于进一步推进预算公开工作的实施意见》规定，现将秦皇岛市海港区大数据中心本级2023年单位预算公开如下：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（一）贯彻落实国家、省、市大数据相关技术标准、规范并组织实施。</w:t>
      </w:r>
    </w:p>
    <w:p>
      <w:pPr>
        <w:pStyle w:val="14"/>
      </w:pPr>
      <w:r>
        <w:t>（二）承担全区政府数据、公共数据、社会数据的汇聚整合、应用融合和共享开放。</w:t>
      </w:r>
    </w:p>
    <w:p>
      <w:pPr>
        <w:pStyle w:val="14"/>
      </w:pPr>
      <w:r>
        <w:t>（三)</w:t>
      </w:r>
      <w:r>
        <w:rPr>
          <w:rFonts w:hint="eastAsia"/>
          <w:lang w:val="en-US" w:eastAsia="zh-CN"/>
        </w:rPr>
        <w:t xml:space="preserve"> </w:t>
      </w:r>
      <w:r>
        <w:t>负责为政务外网建设、运行维护提供技术性支撑服务。</w:t>
      </w:r>
    </w:p>
    <w:p>
      <w:pPr>
        <w:pStyle w:val="14"/>
      </w:pPr>
      <w:r>
        <w:t>（四）负责“12345” 政务服务热线受理交办问题的转办反馈等工作。</w:t>
      </w:r>
    </w:p>
    <w:p>
      <w:pPr>
        <w:pStyle w:val="14"/>
      </w:pPr>
      <w:r>
        <w:t>（五）负责参与推进大数据安全保障体系建设，配合做好网络信息安全工作。</w:t>
      </w:r>
    </w:p>
    <w:p>
      <w:pPr>
        <w:pStyle w:val="14"/>
      </w:pPr>
      <w:r>
        <w:t>（六）负责智慧海港综合指挥平台日常运行、管理和维护，承担智慧海港综合指挥、调度的有关事务性工作。</w:t>
      </w:r>
    </w:p>
    <w:p>
      <w:pPr>
        <w:pStyle w:val="14"/>
      </w:pPr>
      <w:r>
        <w:t>（七)</w:t>
      </w:r>
      <w:r>
        <w:rPr>
          <w:rFonts w:hint="eastAsia"/>
          <w:lang w:val="en-US" w:eastAsia="zh-CN"/>
        </w:rPr>
        <w:t xml:space="preserve"> </w:t>
      </w:r>
      <w:r>
        <w:t>负责全区各级指挥中心工作人员的业务培训、技术指导等事务性工作。</w:t>
      </w:r>
    </w:p>
    <w:p>
      <w:pPr>
        <w:pStyle w:val="14"/>
      </w:pPr>
      <w:r>
        <w:t>（八）完成区委、区政府交办的其他任务。</w:t>
      </w: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pStyle w:val="9"/>
            </w:pPr>
            <w:r>
              <w:t>秦皇岛市海港区大数据中心本级</w:t>
            </w:r>
          </w:p>
        </w:tc>
        <w:tc>
          <w:tcPr>
            <w:tcW w:w="1134" w:type="dxa"/>
            <w:vAlign w:val="center"/>
          </w:tcPr>
          <w:p>
            <w:pPr>
              <w:pStyle w:val="8"/>
            </w:pPr>
            <w:r>
              <w:t>事业</w:t>
            </w:r>
          </w:p>
        </w:tc>
        <w:tc>
          <w:tcPr>
            <w:tcW w:w="1134" w:type="dxa"/>
            <w:vAlign w:val="center"/>
          </w:tcPr>
          <w:p>
            <w:pPr>
              <w:pStyle w:val="8"/>
            </w:pPr>
            <w:r>
              <w:t>正科级</w:t>
            </w:r>
          </w:p>
        </w:tc>
        <w:tc>
          <w:tcPr>
            <w:tcW w:w="1134" w:type="dxa"/>
            <w:vAlign w:val="center"/>
          </w:tcPr>
          <w:p>
            <w:pPr>
              <w:pStyle w:val="8"/>
            </w:pPr>
            <w:r>
              <w:t>财政性资金基本保证</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numPr>
          <w:ilvl w:val="0"/>
          <w:numId w:val="0"/>
        </w:numPr>
        <w:spacing w:before="10" w:after="10" w:line="240" w:lineRule="auto"/>
        <w:jc w:val="left"/>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按照预算管理有关规定，目前我省部门预算的编制实行综合预算管理，即全部收入和支出都反映在预算中。秦皇岛市海港区大数据中心</w:t>
      </w:r>
      <w:r>
        <w:rPr>
          <w:rFonts w:hint="eastAsia" w:eastAsia="方正仿宋_GBK" w:cs="Times New Roman"/>
          <w:color w:val="000000"/>
          <w:sz w:val="28"/>
          <w:lang w:val="en-US" w:eastAsia="zh-CN"/>
        </w:rPr>
        <w:t>本级</w:t>
      </w:r>
      <w:r>
        <w:rPr>
          <w:rFonts w:ascii="Times New Roman" w:hAnsi="Times New Roman" w:eastAsia="方正仿宋_GBK" w:cs="Times New Roman"/>
          <w:color w:val="000000"/>
          <w:sz w:val="28"/>
        </w:rPr>
        <w:t>的收支包含在部门预算中。</w:t>
      </w:r>
    </w:p>
    <w:p>
      <w:pPr>
        <w:keepNext w:val="0"/>
        <w:keepLines w:val="0"/>
        <w:pageBreakBefore w:val="0"/>
        <w:widowControl/>
        <w:kinsoku/>
        <w:wordWrap/>
        <w:overflowPunct/>
        <w:topLinePunct w:val="0"/>
        <w:autoSpaceDE/>
        <w:autoSpaceDN/>
        <w:bidi w:val="0"/>
        <w:adjustRightInd/>
        <w:snapToGrid/>
        <w:spacing w:before="0" w:after="0" w:line="500" w:lineRule="exact"/>
        <w:ind w:firstLine="560" w:firstLineChars="200"/>
        <w:jc w:val="left"/>
        <w:textAlignment w:val="auto"/>
        <w:outlineLvl w:val="9"/>
        <w:rPr>
          <w:rFonts w:ascii="Times New Roman" w:hAnsi="Times New Roman" w:eastAsia="方正仿宋_GBK" w:cs="Times New Roman"/>
          <w:color w:val="000000"/>
          <w:sz w:val="28"/>
        </w:rPr>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before="0" w:after="0" w:line="500" w:lineRule="exact"/>
        <w:ind w:firstLine="560" w:firstLineChars="200"/>
        <w:jc w:val="left"/>
        <w:outlineLvl w:val="9"/>
        <w:rPr>
          <w:rFonts w:hint="eastAsia" w:ascii="Times New Roman" w:hAnsi="Times New Roman" w:eastAsia="方正仿宋_GBK" w:cs="Times New Roman"/>
          <w:color w:val="000000"/>
          <w:sz w:val="28"/>
          <w:lang w:val="en-US" w:eastAsia="zh-CN"/>
        </w:rPr>
      </w:pPr>
    </w:p>
    <w:p>
      <w:pPr>
        <w:spacing w:before="0" w:after="0" w:line="500" w:lineRule="exact"/>
        <w:ind w:firstLine="560" w:firstLineChars="200"/>
        <w:jc w:val="left"/>
        <w:outlineLvl w:val="9"/>
      </w:pPr>
      <w:r>
        <w:rPr>
          <w:rFonts w:hint="eastAsia" w:ascii="Times New Roman" w:hAnsi="Times New Roman" w:eastAsia="方正仿宋_GBK" w:cs="Times New Roman"/>
          <w:color w:val="000000"/>
          <w:sz w:val="28"/>
          <w:lang w:val="en-US" w:eastAsia="zh-CN"/>
        </w:rPr>
        <w:t>机关运行经费安排支出</w:t>
      </w:r>
      <w:r>
        <w:rPr>
          <w:rFonts w:hint="eastAsia" w:ascii="Times New Roman" w:hAnsi="Times New Roman" w:eastAsia="方正仿宋_GBK" w:cs="Times New Roman"/>
          <w:color w:val="000000"/>
          <w:sz w:val="28"/>
        </w:rPr>
        <w:t>2.19</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其中</w:t>
      </w:r>
      <w:r>
        <w:rPr>
          <w:rFonts w:hint="eastAsia" w:ascii="Times New Roman" w:hAnsi="Times New Roman" w:eastAsia="方正仿宋_GBK" w:cs="Times New Roman"/>
          <w:color w:val="000000"/>
          <w:sz w:val="28"/>
        </w:rPr>
        <w:t>办公费1.00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工会经费0.75</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福利费0.40</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其他商品和服务支出0.04</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0" w:after="0" w:line="500" w:lineRule="exact"/>
        <w:ind w:firstLine="560" w:firstLineChars="200"/>
        <w:jc w:val="left"/>
        <w:outlineLvl w:val="9"/>
        <w:rPr>
          <w:rFonts w:hint="eastAsia" w:eastAsia="方正仿宋_GBK" w:cs="Times New Roman"/>
          <w:color w:val="000000"/>
          <w:sz w:val="28"/>
          <w:szCs w:val="24"/>
          <w:lang w:val="en-US" w:eastAsia="zh-CN" w:bidi="ar-SA"/>
        </w:rPr>
      </w:pPr>
    </w:p>
    <w:p>
      <w:pPr>
        <w:spacing w:before="0" w:after="0" w:line="500" w:lineRule="exact"/>
        <w:ind w:firstLine="560" w:firstLineChars="200"/>
        <w:jc w:val="left"/>
        <w:outlineLvl w:val="9"/>
      </w:pPr>
      <w:r>
        <w:rPr>
          <w:rFonts w:hint="eastAsia" w:eastAsia="方正仿宋_GBK" w:cs="Times New Roman"/>
          <w:color w:val="000000"/>
          <w:sz w:val="28"/>
          <w:szCs w:val="24"/>
          <w:lang w:val="en-US" w:eastAsia="zh-CN" w:bidi="ar-SA"/>
        </w:rPr>
        <w:t>部门预算无“三公”经费预算。</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1、公共安全视频监控建设联网应用“雪亮工程”运营服务项目相关费用绩效目标表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1.完成公共安全视频监控建设联网应用“雪亮工程”</w:t>
            </w:r>
          </w:p>
          <w:p>
            <w:pPr>
              <w:pStyle w:val="9"/>
            </w:pPr>
            <w:r>
              <w:t>2.完成公共安全视频监控建设联网应用“雪亮工程”运用服务</w:t>
            </w:r>
          </w:p>
          <w:p>
            <w:pPr>
              <w:pStyle w:val="9"/>
            </w:pPr>
            <w:r>
              <w:t>3.完成“雪亮工程”建设工程造价咨询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系统的数量</w:t>
            </w:r>
          </w:p>
        </w:tc>
        <w:tc>
          <w:tcPr>
            <w:tcW w:w="2835" w:type="dxa"/>
            <w:vAlign w:val="center"/>
          </w:tcPr>
          <w:p>
            <w:pPr>
              <w:pStyle w:val="9"/>
            </w:pPr>
            <w:r>
              <w:t>系统的数量</w:t>
            </w:r>
          </w:p>
        </w:tc>
        <w:tc>
          <w:tcPr>
            <w:tcW w:w="2551" w:type="dxa"/>
            <w:vAlign w:val="center"/>
          </w:tcPr>
          <w:p>
            <w:pPr>
              <w:pStyle w:val="9"/>
            </w:pPr>
            <w:r>
              <w:t>1套</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上线率</w:t>
            </w:r>
          </w:p>
        </w:tc>
        <w:tc>
          <w:tcPr>
            <w:tcW w:w="2835" w:type="dxa"/>
            <w:vAlign w:val="center"/>
          </w:tcPr>
          <w:p>
            <w:pPr>
              <w:pStyle w:val="9"/>
            </w:pPr>
            <w:r>
              <w:t>视频监控上线率</w:t>
            </w:r>
          </w:p>
        </w:tc>
        <w:tc>
          <w:tcPr>
            <w:tcW w:w="2551" w:type="dxa"/>
            <w:vAlign w:val="center"/>
          </w:tcPr>
          <w:p>
            <w:pPr>
              <w:pStyle w:val="9"/>
            </w:pPr>
            <w:r>
              <w:t>≥80%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合格率</w:t>
            </w:r>
          </w:p>
        </w:tc>
        <w:tc>
          <w:tcPr>
            <w:tcW w:w="2835" w:type="dxa"/>
            <w:vAlign w:val="center"/>
          </w:tcPr>
          <w:p>
            <w:pPr>
              <w:pStyle w:val="9"/>
            </w:pPr>
            <w:r>
              <w:t>业务工作完成合格率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及时率</w:t>
            </w:r>
          </w:p>
        </w:tc>
        <w:tc>
          <w:tcPr>
            <w:tcW w:w="2835" w:type="dxa"/>
            <w:vAlign w:val="center"/>
          </w:tcPr>
          <w:p>
            <w:pPr>
              <w:pStyle w:val="9"/>
            </w:pPr>
            <w:r>
              <w:t>工作完成及时率</w:t>
            </w:r>
          </w:p>
        </w:tc>
        <w:tc>
          <w:tcPr>
            <w:tcW w:w="2551" w:type="dxa"/>
            <w:vAlign w:val="center"/>
          </w:tcPr>
          <w:p>
            <w:pPr>
              <w:pStyle w:val="9"/>
            </w:pPr>
            <w:r>
              <w:t>100%</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成本支出</w:t>
            </w:r>
          </w:p>
        </w:tc>
        <w:tc>
          <w:tcPr>
            <w:tcW w:w="2835" w:type="dxa"/>
            <w:vAlign w:val="center"/>
          </w:tcPr>
          <w:p>
            <w:pPr>
              <w:pStyle w:val="9"/>
            </w:pPr>
            <w:r>
              <w:t>实际支出金额控制在预算范围内</w:t>
            </w:r>
          </w:p>
        </w:tc>
        <w:tc>
          <w:tcPr>
            <w:tcW w:w="2551" w:type="dxa"/>
            <w:vAlign w:val="center"/>
          </w:tcPr>
          <w:p>
            <w:pPr>
              <w:pStyle w:val="9"/>
            </w:pPr>
            <w:r>
              <w:t>≤1442.83万元</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保障公共安全视频监控建设联网应用“雪亮工程”运用服务顺利开展</w:t>
            </w:r>
          </w:p>
        </w:tc>
        <w:tc>
          <w:tcPr>
            <w:tcW w:w="2835" w:type="dxa"/>
            <w:vAlign w:val="center"/>
          </w:tcPr>
          <w:p>
            <w:pPr>
              <w:pStyle w:val="9"/>
            </w:pPr>
            <w:r>
              <w:t>保障公共安全视频监控建设联网应用“雪亮工程”运用服务顺利开展</w:t>
            </w:r>
          </w:p>
        </w:tc>
        <w:tc>
          <w:tcPr>
            <w:tcW w:w="2551" w:type="dxa"/>
            <w:vAlign w:val="center"/>
          </w:tcPr>
          <w:p>
            <w:pPr>
              <w:pStyle w:val="9"/>
            </w:pPr>
            <w:r>
              <w:t>比上年有所提高</w:t>
            </w:r>
          </w:p>
        </w:tc>
        <w:tc>
          <w:tcPr>
            <w:tcW w:w="2268" w:type="dxa"/>
            <w:vAlign w:val="center"/>
          </w:tcPr>
          <w:p>
            <w:pPr>
              <w:pStyle w:val="9"/>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用户满意度</w:t>
            </w:r>
          </w:p>
        </w:tc>
        <w:tc>
          <w:tcPr>
            <w:tcW w:w="2835" w:type="dxa"/>
            <w:vAlign w:val="center"/>
          </w:tcPr>
          <w:p>
            <w:pPr>
              <w:pStyle w:val="9"/>
            </w:pPr>
            <w:r>
              <w:t>调查中满意人数占调查总人数比例</w:t>
            </w:r>
          </w:p>
        </w:tc>
        <w:tc>
          <w:tcPr>
            <w:tcW w:w="2551" w:type="dxa"/>
            <w:vAlign w:val="center"/>
          </w:tcPr>
          <w:p>
            <w:pPr>
              <w:pStyle w:val="9"/>
            </w:pPr>
            <w:r>
              <w:t>≥95%</w:t>
            </w:r>
          </w:p>
        </w:tc>
        <w:tc>
          <w:tcPr>
            <w:tcW w:w="2268" w:type="dxa"/>
            <w:vAlign w:val="center"/>
          </w:tcPr>
          <w:p>
            <w:pPr>
              <w:pStyle w:val="9"/>
            </w:pPr>
            <w:r>
              <w:t>年初工作计划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2、网络安全工作绩效目标表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1.开展网络安全等级保护测评工作</w:t>
            </w:r>
          </w:p>
          <w:p>
            <w:pPr>
              <w:pStyle w:val="9"/>
            </w:pPr>
            <w:r>
              <w:t>2.定期网络安全技术服务工作</w:t>
            </w:r>
          </w:p>
          <w:p>
            <w:pPr>
              <w:pStyle w:val="9"/>
            </w:pPr>
            <w:r>
              <w:t>3.确保信息系统日常安全运行，提高安全防护水平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工作任务完成率</w:t>
            </w:r>
          </w:p>
          <w:p>
            <w:pPr>
              <w:pStyle w:val="9"/>
            </w:pPr>
          </w:p>
        </w:tc>
        <w:tc>
          <w:tcPr>
            <w:tcW w:w="2835" w:type="dxa"/>
            <w:vAlign w:val="center"/>
          </w:tcPr>
          <w:p>
            <w:pPr>
              <w:pStyle w:val="9"/>
            </w:pPr>
            <w:r>
              <w:t>工作任务完成率</w:t>
            </w:r>
          </w:p>
          <w:p>
            <w:pPr>
              <w:pStyle w:val="9"/>
            </w:pPr>
          </w:p>
        </w:tc>
        <w:tc>
          <w:tcPr>
            <w:tcW w:w="2551" w:type="dxa"/>
            <w:vAlign w:val="center"/>
          </w:tcPr>
          <w:p>
            <w:pPr>
              <w:pStyle w:val="9"/>
            </w:pPr>
            <w:r>
              <w:t>100%</w:t>
            </w:r>
          </w:p>
        </w:tc>
        <w:tc>
          <w:tcPr>
            <w:tcW w:w="2268" w:type="dxa"/>
            <w:vAlign w:val="center"/>
          </w:tcPr>
          <w:p>
            <w:pPr>
              <w:pStyle w:val="9"/>
            </w:pPr>
            <w:r>
              <w:t>海办字〔2021〕3号、年初工作计划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工作任务完成合格率</w:t>
            </w:r>
          </w:p>
          <w:p>
            <w:pPr>
              <w:pStyle w:val="9"/>
            </w:pPr>
          </w:p>
        </w:tc>
        <w:tc>
          <w:tcPr>
            <w:tcW w:w="2835" w:type="dxa"/>
            <w:vAlign w:val="center"/>
          </w:tcPr>
          <w:p>
            <w:pPr>
              <w:pStyle w:val="9"/>
            </w:pPr>
            <w:r>
              <w:t>工作任务完成合格率</w:t>
            </w:r>
          </w:p>
          <w:p>
            <w:pPr>
              <w:pStyle w:val="9"/>
            </w:pPr>
          </w:p>
        </w:tc>
        <w:tc>
          <w:tcPr>
            <w:tcW w:w="2551" w:type="dxa"/>
            <w:vAlign w:val="center"/>
          </w:tcPr>
          <w:p>
            <w:pPr>
              <w:pStyle w:val="9"/>
            </w:pPr>
            <w:r>
              <w:t>100%</w:t>
            </w:r>
          </w:p>
        </w:tc>
        <w:tc>
          <w:tcPr>
            <w:tcW w:w="2268" w:type="dxa"/>
            <w:vAlign w:val="center"/>
          </w:tcPr>
          <w:p>
            <w:pPr>
              <w:pStyle w:val="9"/>
            </w:pPr>
            <w:r>
              <w:t>海办字〔2021〕3号、年初工作计划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工作任务完成及时率</w:t>
            </w:r>
          </w:p>
          <w:p>
            <w:pPr>
              <w:pStyle w:val="9"/>
            </w:pPr>
          </w:p>
        </w:tc>
        <w:tc>
          <w:tcPr>
            <w:tcW w:w="2835" w:type="dxa"/>
            <w:vAlign w:val="center"/>
          </w:tcPr>
          <w:p>
            <w:pPr>
              <w:pStyle w:val="9"/>
            </w:pPr>
            <w:r>
              <w:t>工作任务完成及时率</w:t>
            </w:r>
          </w:p>
          <w:p>
            <w:pPr>
              <w:pStyle w:val="9"/>
            </w:pPr>
          </w:p>
        </w:tc>
        <w:tc>
          <w:tcPr>
            <w:tcW w:w="2551" w:type="dxa"/>
            <w:vAlign w:val="center"/>
          </w:tcPr>
          <w:p>
            <w:pPr>
              <w:pStyle w:val="9"/>
            </w:pPr>
            <w:r>
              <w:t>100%</w:t>
            </w:r>
          </w:p>
        </w:tc>
        <w:tc>
          <w:tcPr>
            <w:tcW w:w="2268" w:type="dxa"/>
            <w:vAlign w:val="center"/>
          </w:tcPr>
          <w:p>
            <w:pPr>
              <w:pStyle w:val="9"/>
            </w:pPr>
            <w:r>
              <w:t>海办字〔2021〕3号、年初工作计划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预算支出金额</w:t>
            </w:r>
          </w:p>
          <w:p>
            <w:pPr>
              <w:pStyle w:val="9"/>
            </w:pPr>
          </w:p>
        </w:tc>
        <w:tc>
          <w:tcPr>
            <w:tcW w:w="2835" w:type="dxa"/>
            <w:vAlign w:val="center"/>
          </w:tcPr>
          <w:p>
            <w:pPr>
              <w:pStyle w:val="9"/>
            </w:pPr>
            <w:r>
              <w:t>实际支出小于预算数</w:t>
            </w:r>
          </w:p>
          <w:p>
            <w:pPr>
              <w:pStyle w:val="9"/>
            </w:pPr>
          </w:p>
        </w:tc>
        <w:tc>
          <w:tcPr>
            <w:tcW w:w="2551" w:type="dxa"/>
            <w:vAlign w:val="center"/>
          </w:tcPr>
          <w:p>
            <w:pPr>
              <w:pStyle w:val="9"/>
            </w:pPr>
            <w:r>
              <w:t>≤35.28万元</w:t>
            </w:r>
          </w:p>
        </w:tc>
        <w:tc>
          <w:tcPr>
            <w:tcW w:w="2268" w:type="dxa"/>
            <w:vAlign w:val="center"/>
          </w:tcPr>
          <w:p>
            <w:pPr>
              <w:pStyle w:val="9"/>
            </w:pPr>
            <w:r>
              <w:t>海办字〔2021〕3号、年初工作计划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全面提升网络安全保障水平，保障网络安全</w:t>
            </w:r>
          </w:p>
          <w:p>
            <w:pPr>
              <w:pStyle w:val="9"/>
            </w:pPr>
          </w:p>
        </w:tc>
        <w:tc>
          <w:tcPr>
            <w:tcW w:w="2835" w:type="dxa"/>
            <w:vAlign w:val="center"/>
          </w:tcPr>
          <w:p>
            <w:pPr>
              <w:pStyle w:val="9"/>
            </w:pPr>
            <w:r>
              <w:t>全面提升网络安全保障水平，保障网络安全</w:t>
            </w:r>
          </w:p>
          <w:p>
            <w:pPr>
              <w:pStyle w:val="9"/>
            </w:pPr>
          </w:p>
        </w:tc>
        <w:tc>
          <w:tcPr>
            <w:tcW w:w="2551" w:type="dxa"/>
            <w:vAlign w:val="center"/>
          </w:tcPr>
          <w:p>
            <w:pPr>
              <w:pStyle w:val="9"/>
            </w:pPr>
            <w:r>
              <w:t>比上年有所提高</w:t>
            </w:r>
          </w:p>
        </w:tc>
        <w:tc>
          <w:tcPr>
            <w:tcW w:w="2268" w:type="dxa"/>
            <w:vAlign w:val="center"/>
          </w:tcPr>
          <w:p>
            <w:pPr>
              <w:pStyle w:val="9"/>
            </w:pPr>
            <w:r>
              <w:t>海办字〔2021〕3号、年初工作计划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确保信息系统日常安全运行，提高安全防护水平</w:t>
            </w:r>
          </w:p>
          <w:p>
            <w:pPr>
              <w:pStyle w:val="9"/>
            </w:pPr>
          </w:p>
        </w:tc>
        <w:tc>
          <w:tcPr>
            <w:tcW w:w="2835" w:type="dxa"/>
            <w:vAlign w:val="center"/>
          </w:tcPr>
          <w:p>
            <w:pPr>
              <w:pStyle w:val="9"/>
            </w:pPr>
            <w:r>
              <w:t>确保信息系统日常安全运行，提高安全防护水平</w:t>
            </w:r>
          </w:p>
          <w:p>
            <w:pPr>
              <w:pStyle w:val="9"/>
            </w:pPr>
          </w:p>
        </w:tc>
        <w:tc>
          <w:tcPr>
            <w:tcW w:w="2551" w:type="dxa"/>
            <w:vAlign w:val="center"/>
          </w:tcPr>
          <w:p>
            <w:pPr>
              <w:pStyle w:val="9"/>
            </w:pPr>
            <w:r>
              <w:t>比上年有所提高</w:t>
            </w:r>
          </w:p>
        </w:tc>
        <w:tc>
          <w:tcPr>
            <w:tcW w:w="2268" w:type="dxa"/>
            <w:vAlign w:val="center"/>
          </w:tcPr>
          <w:p>
            <w:pPr>
              <w:pStyle w:val="9"/>
            </w:pPr>
            <w:r>
              <w:t>海办字〔2021〕3号、年初工作计划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有效推进实施国家网络安全等级保护制度</w:t>
            </w:r>
          </w:p>
          <w:p>
            <w:pPr>
              <w:pStyle w:val="9"/>
            </w:pPr>
          </w:p>
        </w:tc>
        <w:tc>
          <w:tcPr>
            <w:tcW w:w="2835" w:type="dxa"/>
            <w:vAlign w:val="center"/>
          </w:tcPr>
          <w:p>
            <w:pPr>
              <w:pStyle w:val="9"/>
            </w:pPr>
            <w:r>
              <w:t>有效推进实施国家网络安全等级保护制度</w:t>
            </w:r>
          </w:p>
          <w:p>
            <w:pPr>
              <w:pStyle w:val="9"/>
            </w:pPr>
          </w:p>
        </w:tc>
        <w:tc>
          <w:tcPr>
            <w:tcW w:w="2551" w:type="dxa"/>
            <w:vAlign w:val="center"/>
          </w:tcPr>
          <w:p>
            <w:pPr>
              <w:pStyle w:val="9"/>
            </w:pPr>
            <w:r>
              <w:t>比上年有所提高</w:t>
            </w:r>
          </w:p>
        </w:tc>
        <w:tc>
          <w:tcPr>
            <w:tcW w:w="2268" w:type="dxa"/>
            <w:vAlign w:val="center"/>
          </w:tcPr>
          <w:p>
            <w:pPr>
              <w:pStyle w:val="9"/>
            </w:pPr>
            <w:r>
              <w:t>海办字〔2021〕3号、年初工作计划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强化网络安全风险防范和责任落实</w:t>
            </w:r>
          </w:p>
          <w:p>
            <w:pPr>
              <w:pStyle w:val="9"/>
            </w:pPr>
          </w:p>
        </w:tc>
        <w:tc>
          <w:tcPr>
            <w:tcW w:w="2835" w:type="dxa"/>
            <w:vAlign w:val="center"/>
          </w:tcPr>
          <w:p>
            <w:pPr>
              <w:pStyle w:val="9"/>
            </w:pPr>
            <w:r>
              <w:t>强化网络安全风险防范和责任落实</w:t>
            </w:r>
          </w:p>
          <w:p>
            <w:pPr>
              <w:pStyle w:val="9"/>
            </w:pPr>
          </w:p>
        </w:tc>
        <w:tc>
          <w:tcPr>
            <w:tcW w:w="2551" w:type="dxa"/>
            <w:vAlign w:val="center"/>
          </w:tcPr>
          <w:p>
            <w:pPr>
              <w:pStyle w:val="9"/>
            </w:pPr>
            <w:r>
              <w:t>比上年有所提高</w:t>
            </w:r>
          </w:p>
        </w:tc>
        <w:tc>
          <w:tcPr>
            <w:tcW w:w="2268" w:type="dxa"/>
            <w:vAlign w:val="center"/>
          </w:tcPr>
          <w:p>
            <w:pPr>
              <w:pStyle w:val="9"/>
            </w:pPr>
            <w:r>
              <w:t>海办字〔2021〕3号、年初工作计划</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使用人员满意度</w:t>
            </w:r>
          </w:p>
          <w:p>
            <w:pPr>
              <w:pStyle w:val="9"/>
            </w:pPr>
          </w:p>
        </w:tc>
        <w:tc>
          <w:tcPr>
            <w:tcW w:w="2835" w:type="dxa"/>
            <w:vAlign w:val="center"/>
          </w:tcPr>
          <w:p>
            <w:pPr>
              <w:pStyle w:val="9"/>
            </w:pPr>
            <w:r>
              <w:t>调查中满意人数占调查总人数比例</w:t>
            </w:r>
          </w:p>
          <w:p>
            <w:pPr>
              <w:pStyle w:val="9"/>
            </w:pPr>
          </w:p>
        </w:tc>
        <w:tc>
          <w:tcPr>
            <w:tcW w:w="2551" w:type="dxa"/>
            <w:vAlign w:val="center"/>
          </w:tcPr>
          <w:p>
            <w:pPr>
              <w:pStyle w:val="9"/>
            </w:pPr>
            <w:r>
              <w:t>≥95%</w:t>
            </w:r>
          </w:p>
        </w:tc>
        <w:tc>
          <w:tcPr>
            <w:tcW w:w="2268" w:type="dxa"/>
            <w:vAlign w:val="center"/>
          </w:tcPr>
          <w:p>
            <w:pPr>
              <w:pStyle w:val="9"/>
            </w:pPr>
            <w:r>
              <w:t>海办字〔2021〕3号、年初工作计划</w:t>
            </w:r>
          </w:p>
          <w:p>
            <w:pPr>
              <w:pStyle w:val="9"/>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3、政务外网绩效目标表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1.加强海港区电子政务外网建设管理</w:t>
            </w:r>
          </w:p>
          <w:p>
            <w:pPr>
              <w:pStyle w:val="9"/>
            </w:pPr>
            <w:r>
              <w:t>2.保障海港区各党政机关事业单位的网络日常办公、行政审批、业务受理等工作顺利进行</w:t>
            </w:r>
          </w:p>
          <w:p>
            <w:pPr>
              <w:pStyle w:val="9"/>
            </w:pPr>
            <w:r>
              <w:t>3.满足政务网络日常工作带宽需求，确保海港区网络安全、可靠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保障政务外网网络线路数量</w:t>
            </w:r>
          </w:p>
        </w:tc>
        <w:tc>
          <w:tcPr>
            <w:tcW w:w="2835" w:type="dxa"/>
            <w:vAlign w:val="center"/>
          </w:tcPr>
          <w:p>
            <w:pPr>
              <w:pStyle w:val="9"/>
            </w:pPr>
            <w:r>
              <w:t>保障政务外网网络线路数量</w:t>
            </w:r>
          </w:p>
        </w:tc>
        <w:tc>
          <w:tcPr>
            <w:tcW w:w="2551" w:type="dxa"/>
            <w:vAlign w:val="center"/>
          </w:tcPr>
          <w:p>
            <w:pPr>
              <w:pStyle w:val="9"/>
            </w:pPr>
            <w:r>
              <w:t>≥60条</w:t>
            </w:r>
          </w:p>
        </w:tc>
        <w:tc>
          <w:tcPr>
            <w:tcW w:w="2268" w:type="dxa"/>
            <w:vAlign w:val="center"/>
          </w:tcPr>
          <w:p>
            <w:pPr>
              <w:pStyle w:val="9"/>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保证外网线路畅通天数</w:t>
            </w:r>
          </w:p>
        </w:tc>
        <w:tc>
          <w:tcPr>
            <w:tcW w:w="2835" w:type="dxa"/>
            <w:vAlign w:val="center"/>
          </w:tcPr>
          <w:p>
            <w:pPr>
              <w:pStyle w:val="9"/>
            </w:pPr>
            <w:r>
              <w:t>保证外网线路畅通天数</w:t>
            </w:r>
          </w:p>
        </w:tc>
        <w:tc>
          <w:tcPr>
            <w:tcW w:w="2551" w:type="dxa"/>
            <w:vAlign w:val="center"/>
          </w:tcPr>
          <w:p>
            <w:pPr>
              <w:pStyle w:val="9"/>
            </w:pPr>
            <w:r>
              <w:t>365天</w:t>
            </w:r>
          </w:p>
        </w:tc>
        <w:tc>
          <w:tcPr>
            <w:tcW w:w="2268" w:type="dxa"/>
            <w:vAlign w:val="center"/>
          </w:tcPr>
          <w:p>
            <w:pPr>
              <w:pStyle w:val="9"/>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工作完成及时率</w:t>
            </w:r>
          </w:p>
        </w:tc>
        <w:tc>
          <w:tcPr>
            <w:tcW w:w="2835" w:type="dxa"/>
            <w:vAlign w:val="center"/>
          </w:tcPr>
          <w:p>
            <w:pPr>
              <w:pStyle w:val="9"/>
            </w:pPr>
            <w:r>
              <w:t>工作完成及时率</w:t>
            </w:r>
          </w:p>
        </w:tc>
        <w:tc>
          <w:tcPr>
            <w:tcW w:w="2551" w:type="dxa"/>
            <w:vAlign w:val="center"/>
          </w:tcPr>
          <w:p>
            <w:pPr>
              <w:pStyle w:val="9"/>
            </w:pPr>
            <w:r>
              <w:t>100%</w:t>
            </w:r>
          </w:p>
        </w:tc>
        <w:tc>
          <w:tcPr>
            <w:tcW w:w="2268" w:type="dxa"/>
            <w:vAlign w:val="center"/>
          </w:tcPr>
          <w:p>
            <w:pPr>
              <w:pStyle w:val="9"/>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成本控制</w:t>
            </w:r>
          </w:p>
        </w:tc>
        <w:tc>
          <w:tcPr>
            <w:tcW w:w="2835" w:type="dxa"/>
            <w:vAlign w:val="center"/>
          </w:tcPr>
          <w:p>
            <w:pPr>
              <w:pStyle w:val="9"/>
            </w:pPr>
            <w:r>
              <w:t>实际支出数小于预算数</w:t>
            </w:r>
          </w:p>
        </w:tc>
        <w:tc>
          <w:tcPr>
            <w:tcW w:w="2551" w:type="dxa"/>
            <w:vAlign w:val="center"/>
          </w:tcPr>
          <w:p>
            <w:pPr>
              <w:pStyle w:val="9"/>
            </w:pPr>
            <w:r>
              <w:t>≤61.74万元</w:t>
            </w:r>
          </w:p>
        </w:tc>
        <w:tc>
          <w:tcPr>
            <w:tcW w:w="2268" w:type="dxa"/>
            <w:vAlign w:val="center"/>
          </w:tcPr>
          <w:p>
            <w:pPr>
              <w:pStyle w:val="9"/>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满足政务网络日常工作带宽需求，确保海港区网络安全、可靠</w:t>
            </w:r>
          </w:p>
        </w:tc>
        <w:tc>
          <w:tcPr>
            <w:tcW w:w="2835" w:type="dxa"/>
            <w:vAlign w:val="center"/>
          </w:tcPr>
          <w:p>
            <w:pPr>
              <w:pStyle w:val="9"/>
            </w:pPr>
            <w:r>
              <w:t>满足政务网络日常工作带宽需求，确保海港区网络安全、可靠</w:t>
            </w:r>
          </w:p>
        </w:tc>
        <w:tc>
          <w:tcPr>
            <w:tcW w:w="2551" w:type="dxa"/>
            <w:vAlign w:val="center"/>
          </w:tcPr>
          <w:p>
            <w:pPr>
              <w:pStyle w:val="9"/>
            </w:pPr>
            <w:r>
              <w:t>比上年有所提高</w:t>
            </w:r>
          </w:p>
        </w:tc>
        <w:tc>
          <w:tcPr>
            <w:tcW w:w="2268" w:type="dxa"/>
            <w:vAlign w:val="center"/>
          </w:tcPr>
          <w:p>
            <w:pPr>
              <w:pStyle w:val="9"/>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社会效益指标</w:t>
            </w:r>
          </w:p>
        </w:tc>
        <w:tc>
          <w:tcPr>
            <w:tcW w:w="2835" w:type="dxa"/>
            <w:vAlign w:val="center"/>
          </w:tcPr>
          <w:p>
            <w:pPr>
              <w:pStyle w:val="9"/>
            </w:pPr>
            <w:r>
              <w:t>保障工作顺利进行</w:t>
            </w:r>
          </w:p>
          <w:p>
            <w:pPr>
              <w:pStyle w:val="9"/>
            </w:pPr>
          </w:p>
        </w:tc>
        <w:tc>
          <w:tcPr>
            <w:tcW w:w="2835" w:type="dxa"/>
            <w:vAlign w:val="center"/>
          </w:tcPr>
          <w:p>
            <w:pPr>
              <w:pStyle w:val="9"/>
            </w:pPr>
            <w:r>
              <w:t>保障海港区各党政机关事业单位的网络日常办公、行政审批、业务受理等工作顺利进行</w:t>
            </w:r>
          </w:p>
          <w:p>
            <w:pPr>
              <w:pStyle w:val="9"/>
            </w:pPr>
          </w:p>
        </w:tc>
        <w:tc>
          <w:tcPr>
            <w:tcW w:w="2551" w:type="dxa"/>
            <w:vAlign w:val="center"/>
          </w:tcPr>
          <w:p>
            <w:pPr>
              <w:pStyle w:val="9"/>
            </w:pPr>
            <w:r>
              <w:t>比上年有所提高</w:t>
            </w:r>
          </w:p>
        </w:tc>
        <w:tc>
          <w:tcPr>
            <w:tcW w:w="2268" w:type="dxa"/>
            <w:vAlign w:val="center"/>
          </w:tcPr>
          <w:p>
            <w:pPr>
              <w:pStyle w:val="9"/>
            </w:pPr>
            <w:r>
              <w:t>海办字〔2021〕3号、年初工作计划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办公人员满意度</w:t>
            </w:r>
          </w:p>
        </w:tc>
        <w:tc>
          <w:tcPr>
            <w:tcW w:w="2835" w:type="dxa"/>
            <w:vAlign w:val="center"/>
          </w:tcPr>
          <w:p>
            <w:pPr>
              <w:pStyle w:val="9"/>
            </w:pPr>
            <w:r>
              <w:t>调查中满意人数占调查总人数比例</w:t>
            </w:r>
          </w:p>
        </w:tc>
        <w:tc>
          <w:tcPr>
            <w:tcW w:w="2551" w:type="dxa"/>
            <w:vAlign w:val="center"/>
          </w:tcPr>
          <w:p>
            <w:pPr>
              <w:pStyle w:val="9"/>
            </w:pPr>
            <w:r>
              <w:t>≥98%</w:t>
            </w:r>
          </w:p>
        </w:tc>
        <w:tc>
          <w:tcPr>
            <w:tcW w:w="2268" w:type="dxa"/>
            <w:vAlign w:val="center"/>
          </w:tcPr>
          <w:p>
            <w:pPr>
              <w:pStyle w:val="9"/>
            </w:pPr>
            <w:r>
              <w:t>海办字〔2021〕3号、年初工作计划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2023年，秦皇岛市海港区大数据中心本级安排政府采购预算1443.70万元。具体内容见下表。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01"/>
        <w:gridCol w:w="847"/>
        <w:gridCol w:w="924"/>
        <w:gridCol w:w="924"/>
        <w:gridCol w:w="710"/>
        <w:gridCol w:w="1035"/>
        <w:gridCol w:w="1080"/>
        <w:gridCol w:w="1110"/>
        <w:gridCol w:w="685"/>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65" w:type="dxa"/>
            <w:gridSpan w:val="7"/>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8419" w:type="dxa"/>
            <w:gridSpan w:val="9"/>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25" w:type="dxa"/>
            <w:gridSpan w:val="2"/>
            <w:vAlign w:val="center"/>
          </w:tcPr>
          <w:p>
            <w:pPr>
              <w:pStyle w:val="7"/>
            </w:pPr>
            <w:r>
              <w:t>政府采购项目来源</w:t>
            </w:r>
          </w:p>
        </w:tc>
        <w:tc>
          <w:tcPr>
            <w:tcW w:w="847"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710" w:type="dxa"/>
            <w:vMerge w:val="restart"/>
            <w:vAlign w:val="center"/>
          </w:tcPr>
          <w:p>
            <w:pPr>
              <w:pStyle w:val="7"/>
            </w:pPr>
            <w:r>
              <w:t>数量</w:t>
            </w:r>
          </w:p>
        </w:tc>
        <w:tc>
          <w:tcPr>
            <w:tcW w:w="1035" w:type="dxa"/>
            <w:vMerge w:val="restart"/>
            <w:vAlign w:val="center"/>
          </w:tcPr>
          <w:p>
            <w:pPr>
              <w:pStyle w:val="7"/>
            </w:pPr>
            <w:r>
              <w:t>单价</w:t>
            </w:r>
          </w:p>
        </w:tc>
        <w:tc>
          <w:tcPr>
            <w:tcW w:w="7495"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7"/>
            </w:pPr>
            <w:r>
              <w:t>项目名称</w:t>
            </w:r>
          </w:p>
        </w:tc>
        <w:tc>
          <w:tcPr>
            <w:tcW w:w="1001" w:type="dxa"/>
            <w:vAlign w:val="center"/>
          </w:tcPr>
          <w:p>
            <w:pPr>
              <w:pStyle w:val="7"/>
            </w:pPr>
            <w:r>
              <w:t>预算    资金</w:t>
            </w:r>
          </w:p>
        </w:tc>
        <w:tc>
          <w:tcPr>
            <w:tcW w:w="847" w:type="dxa"/>
            <w:vMerge w:val="continue"/>
          </w:tcPr>
          <w:p/>
        </w:tc>
        <w:tc>
          <w:tcPr>
            <w:tcW w:w="924" w:type="dxa"/>
            <w:vMerge w:val="continue"/>
          </w:tcPr>
          <w:p/>
        </w:tc>
        <w:tc>
          <w:tcPr>
            <w:tcW w:w="924" w:type="dxa"/>
            <w:vMerge w:val="continue"/>
          </w:tcPr>
          <w:p/>
        </w:tc>
        <w:tc>
          <w:tcPr>
            <w:tcW w:w="710" w:type="dxa"/>
            <w:vMerge w:val="continue"/>
          </w:tcPr>
          <w:p/>
        </w:tc>
        <w:tc>
          <w:tcPr>
            <w:tcW w:w="1035" w:type="dxa"/>
            <w:vMerge w:val="continue"/>
          </w:tcPr>
          <w:p/>
        </w:tc>
        <w:tc>
          <w:tcPr>
            <w:tcW w:w="1080" w:type="dxa"/>
            <w:vAlign w:val="center"/>
          </w:tcPr>
          <w:p>
            <w:pPr>
              <w:pStyle w:val="7"/>
            </w:pPr>
            <w:r>
              <w:t>合计</w:t>
            </w:r>
          </w:p>
        </w:tc>
        <w:tc>
          <w:tcPr>
            <w:tcW w:w="1110" w:type="dxa"/>
            <w:vAlign w:val="center"/>
          </w:tcPr>
          <w:p>
            <w:pPr>
              <w:pStyle w:val="7"/>
            </w:pPr>
            <w:r>
              <w:t>一般公共预算拨款</w:t>
            </w:r>
          </w:p>
        </w:tc>
        <w:tc>
          <w:tcPr>
            <w:tcW w:w="685"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合  计</w:t>
            </w:r>
          </w:p>
        </w:tc>
        <w:tc>
          <w:tcPr>
            <w:tcW w:w="1001" w:type="dxa"/>
            <w:vAlign w:val="center"/>
          </w:tcPr>
          <w:p>
            <w:pPr>
              <w:pStyle w:val="12"/>
            </w:pPr>
          </w:p>
        </w:tc>
        <w:tc>
          <w:tcPr>
            <w:tcW w:w="847" w:type="dxa"/>
            <w:vAlign w:val="center"/>
          </w:tcPr>
          <w:p>
            <w:pPr>
              <w:pStyle w:val="13"/>
            </w:pPr>
          </w:p>
        </w:tc>
        <w:tc>
          <w:tcPr>
            <w:tcW w:w="924" w:type="dxa"/>
            <w:vAlign w:val="center"/>
          </w:tcPr>
          <w:p>
            <w:pPr>
              <w:pStyle w:val="13"/>
            </w:pPr>
          </w:p>
        </w:tc>
        <w:tc>
          <w:tcPr>
            <w:tcW w:w="924" w:type="dxa"/>
            <w:vAlign w:val="center"/>
          </w:tcPr>
          <w:p>
            <w:pPr>
              <w:pStyle w:val="11"/>
            </w:pPr>
          </w:p>
        </w:tc>
        <w:tc>
          <w:tcPr>
            <w:tcW w:w="710" w:type="dxa"/>
            <w:vAlign w:val="center"/>
          </w:tcPr>
          <w:p>
            <w:pPr>
              <w:pStyle w:val="12"/>
            </w:pPr>
          </w:p>
        </w:tc>
        <w:tc>
          <w:tcPr>
            <w:tcW w:w="1035" w:type="dxa"/>
            <w:vAlign w:val="center"/>
          </w:tcPr>
          <w:p>
            <w:pPr>
              <w:pStyle w:val="12"/>
            </w:pPr>
          </w:p>
        </w:tc>
        <w:tc>
          <w:tcPr>
            <w:tcW w:w="1080" w:type="dxa"/>
            <w:vAlign w:val="center"/>
          </w:tcPr>
          <w:p>
            <w:pPr>
              <w:pStyle w:val="12"/>
            </w:pPr>
            <w:r>
              <w:t>1443.70</w:t>
            </w:r>
          </w:p>
        </w:tc>
        <w:tc>
          <w:tcPr>
            <w:tcW w:w="1110" w:type="dxa"/>
            <w:vAlign w:val="center"/>
          </w:tcPr>
          <w:p>
            <w:pPr>
              <w:pStyle w:val="12"/>
            </w:pPr>
            <w:r>
              <w:t>1443.70</w:t>
            </w:r>
          </w:p>
        </w:tc>
        <w:tc>
          <w:tcPr>
            <w:tcW w:w="685"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1"/>
            </w:pPr>
            <w:r>
              <w:t>秦皇岛市海港区大数据中心本级小计</w:t>
            </w:r>
          </w:p>
        </w:tc>
        <w:tc>
          <w:tcPr>
            <w:tcW w:w="1001" w:type="dxa"/>
            <w:vAlign w:val="center"/>
          </w:tcPr>
          <w:p>
            <w:pPr>
              <w:pStyle w:val="12"/>
            </w:pPr>
          </w:p>
        </w:tc>
        <w:tc>
          <w:tcPr>
            <w:tcW w:w="847" w:type="dxa"/>
            <w:vAlign w:val="center"/>
          </w:tcPr>
          <w:p>
            <w:pPr>
              <w:pStyle w:val="13"/>
            </w:pPr>
          </w:p>
        </w:tc>
        <w:tc>
          <w:tcPr>
            <w:tcW w:w="924" w:type="dxa"/>
            <w:vAlign w:val="center"/>
          </w:tcPr>
          <w:p>
            <w:pPr>
              <w:pStyle w:val="13"/>
            </w:pPr>
          </w:p>
        </w:tc>
        <w:tc>
          <w:tcPr>
            <w:tcW w:w="924" w:type="dxa"/>
            <w:vAlign w:val="center"/>
          </w:tcPr>
          <w:p>
            <w:pPr>
              <w:pStyle w:val="11"/>
            </w:pPr>
          </w:p>
        </w:tc>
        <w:tc>
          <w:tcPr>
            <w:tcW w:w="710" w:type="dxa"/>
            <w:vAlign w:val="center"/>
          </w:tcPr>
          <w:p>
            <w:pPr>
              <w:pStyle w:val="12"/>
            </w:pPr>
          </w:p>
        </w:tc>
        <w:tc>
          <w:tcPr>
            <w:tcW w:w="1035" w:type="dxa"/>
            <w:vAlign w:val="center"/>
          </w:tcPr>
          <w:p>
            <w:pPr>
              <w:pStyle w:val="12"/>
            </w:pPr>
          </w:p>
        </w:tc>
        <w:tc>
          <w:tcPr>
            <w:tcW w:w="1080" w:type="dxa"/>
            <w:vAlign w:val="center"/>
          </w:tcPr>
          <w:p>
            <w:pPr>
              <w:pStyle w:val="12"/>
            </w:pPr>
            <w:r>
              <w:t>1443.70</w:t>
            </w:r>
          </w:p>
        </w:tc>
        <w:tc>
          <w:tcPr>
            <w:tcW w:w="1110" w:type="dxa"/>
            <w:vAlign w:val="center"/>
          </w:tcPr>
          <w:p>
            <w:pPr>
              <w:pStyle w:val="12"/>
            </w:pPr>
            <w:r>
              <w:t>1443.70</w:t>
            </w:r>
          </w:p>
        </w:tc>
        <w:tc>
          <w:tcPr>
            <w:tcW w:w="685"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2023年日常公用经费预算（三保）</w:t>
            </w:r>
          </w:p>
        </w:tc>
        <w:tc>
          <w:tcPr>
            <w:tcW w:w="1001" w:type="dxa"/>
            <w:vAlign w:val="center"/>
          </w:tcPr>
          <w:p>
            <w:pPr>
              <w:pStyle w:val="10"/>
            </w:pPr>
            <w:r>
              <w:t>2.19</w:t>
            </w:r>
          </w:p>
        </w:tc>
        <w:tc>
          <w:tcPr>
            <w:tcW w:w="847" w:type="dxa"/>
            <w:vAlign w:val="center"/>
          </w:tcPr>
          <w:p>
            <w:pPr>
              <w:pStyle w:val="9"/>
            </w:pPr>
            <w:r>
              <w:t>台式计算机</w:t>
            </w:r>
          </w:p>
        </w:tc>
        <w:tc>
          <w:tcPr>
            <w:tcW w:w="924" w:type="dxa"/>
            <w:vAlign w:val="center"/>
          </w:tcPr>
          <w:p>
            <w:pPr>
              <w:pStyle w:val="9"/>
            </w:pPr>
            <w:r>
              <w:t>A02010105</w:t>
            </w:r>
          </w:p>
        </w:tc>
        <w:tc>
          <w:tcPr>
            <w:tcW w:w="924" w:type="dxa"/>
            <w:vAlign w:val="center"/>
          </w:tcPr>
          <w:p>
            <w:pPr>
              <w:pStyle w:val="8"/>
            </w:pPr>
            <w:r>
              <w:t>台</w:t>
            </w:r>
          </w:p>
        </w:tc>
        <w:tc>
          <w:tcPr>
            <w:tcW w:w="710" w:type="dxa"/>
            <w:vAlign w:val="center"/>
          </w:tcPr>
          <w:p>
            <w:pPr>
              <w:pStyle w:val="10"/>
            </w:pPr>
            <w:r>
              <w:t>1</w:t>
            </w:r>
          </w:p>
        </w:tc>
        <w:tc>
          <w:tcPr>
            <w:tcW w:w="1035" w:type="dxa"/>
            <w:vAlign w:val="center"/>
          </w:tcPr>
          <w:p>
            <w:pPr>
              <w:pStyle w:val="10"/>
            </w:pPr>
            <w:r>
              <w:t>0.50</w:t>
            </w:r>
          </w:p>
        </w:tc>
        <w:tc>
          <w:tcPr>
            <w:tcW w:w="1080" w:type="dxa"/>
            <w:vAlign w:val="center"/>
          </w:tcPr>
          <w:p>
            <w:pPr>
              <w:pStyle w:val="10"/>
            </w:pPr>
            <w:r>
              <w:t>0.50</w:t>
            </w:r>
          </w:p>
        </w:tc>
        <w:tc>
          <w:tcPr>
            <w:tcW w:w="1110" w:type="dxa"/>
            <w:vAlign w:val="center"/>
          </w:tcPr>
          <w:p>
            <w:pPr>
              <w:pStyle w:val="10"/>
            </w:pPr>
            <w:r>
              <w:t>0.50</w:t>
            </w:r>
          </w:p>
        </w:tc>
        <w:tc>
          <w:tcPr>
            <w:tcW w:w="685"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2023年日常公用经费预算（三保）</w:t>
            </w:r>
          </w:p>
        </w:tc>
        <w:tc>
          <w:tcPr>
            <w:tcW w:w="1001" w:type="dxa"/>
            <w:vAlign w:val="center"/>
          </w:tcPr>
          <w:p>
            <w:pPr>
              <w:pStyle w:val="10"/>
            </w:pPr>
            <w:r>
              <w:t>2.19</w:t>
            </w:r>
          </w:p>
        </w:tc>
        <w:tc>
          <w:tcPr>
            <w:tcW w:w="847" w:type="dxa"/>
            <w:vAlign w:val="center"/>
          </w:tcPr>
          <w:p>
            <w:pPr>
              <w:pStyle w:val="9"/>
            </w:pPr>
            <w:r>
              <w:t>A3 黑白打印机</w:t>
            </w:r>
          </w:p>
        </w:tc>
        <w:tc>
          <w:tcPr>
            <w:tcW w:w="924" w:type="dxa"/>
            <w:vAlign w:val="center"/>
          </w:tcPr>
          <w:p>
            <w:pPr>
              <w:pStyle w:val="9"/>
            </w:pPr>
            <w:r>
              <w:t>A02021001</w:t>
            </w:r>
          </w:p>
        </w:tc>
        <w:tc>
          <w:tcPr>
            <w:tcW w:w="924" w:type="dxa"/>
            <w:vAlign w:val="center"/>
          </w:tcPr>
          <w:p>
            <w:pPr>
              <w:pStyle w:val="8"/>
            </w:pPr>
            <w:r>
              <w:t>台</w:t>
            </w:r>
          </w:p>
        </w:tc>
        <w:tc>
          <w:tcPr>
            <w:tcW w:w="710" w:type="dxa"/>
            <w:vAlign w:val="center"/>
          </w:tcPr>
          <w:p>
            <w:pPr>
              <w:pStyle w:val="10"/>
            </w:pPr>
            <w:r>
              <w:t>1</w:t>
            </w:r>
          </w:p>
        </w:tc>
        <w:tc>
          <w:tcPr>
            <w:tcW w:w="1035" w:type="dxa"/>
            <w:vAlign w:val="center"/>
          </w:tcPr>
          <w:p>
            <w:pPr>
              <w:pStyle w:val="10"/>
            </w:pPr>
            <w:r>
              <w:t>0.20</w:t>
            </w:r>
          </w:p>
        </w:tc>
        <w:tc>
          <w:tcPr>
            <w:tcW w:w="1080" w:type="dxa"/>
            <w:vAlign w:val="center"/>
          </w:tcPr>
          <w:p>
            <w:pPr>
              <w:pStyle w:val="10"/>
            </w:pPr>
            <w:r>
              <w:t>0.20</w:t>
            </w:r>
          </w:p>
        </w:tc>
        <w:tc>
          <w:tcPr>
            <w:tcW w:w="1110" w:type="dxa"/>
            <w:vAlign w:val="center"/>
          </w:tcPr>
          <w:p>
            <w:pPr>
              <w:pStyle w:val="10"/>
            </w:pPr>
            <w:r>
              <w:t>0.20</w:t>
            </w:r>
          </w:p>
        </w:tc>
        <w:tc>
          <w:tcPr>
            <w:tcW w:w="685"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9"/>
            </w:pPr>
            <w:r>
              <w:t>公共安全视频监控建设联网应用“雪亮工程”运营服务项目相关费用</w:t>
            </w:r>
          </w:p>
        </w:tc>
        <w:tc>
          <w:tcPr>
            <w:tcW w:w="1001" w:type="dxa"/>
            <w:vAlign w:val="center"/>
          </w:tcPr>
          <w:p>
            <w:pPr>
              <w:pStyle w:val="10"/>
            </w:pPr>
            <w:r>
              <w:t>1443.00</w:t>
            </w:r>
          </w:p>
        </w:tc>
        <w:tc>
          <w:tcPr>
            <w:tcW w:w="847" w:type="dxa"/>
            <w:vAlign w:val="center"/>
          </w:tcPr>
          <w:p>
            <w:pPr>
              <w:pStyle w:val="9"/>
            </w:pPr>
            <w:r>
              <w:t>其他服务</w:t>
            </w:r>
          </w:p>
        </w:tc>
        <w:tc>
          <w:tcPr>
            <w:tcW w:w="924" w:type="dxa"/>
            <w:vAlign w:val="center"/>
          </w:tcPr>
          <w:p>
            <w:pPr>
              <w:pStyle w:val="9"/>
            </w:pPr>
            <w:r>
              <w:t>C99000000</w:t>
            </w:r>
          </w:p>
        </w:tc>
        <w:tc>
          <w:tcPr>
            <w:tcW w:w="924" w:type="dxa"/>
            <w:vAlign w:val="center"/>
          </w:tcPr>
          <w:p>
            <w:pPr>
              <w:pStyle w:val="8"/>
            </w:pPr>
            <w:r>
              <w:t>万元</w:t>
            </w:r>
          </w:p>
        </w:tc>
        <w:tc>
          <w:tcPr>
            <w:tcW w:w="710" w:type="dxa"/>
            <w:vAlign w:val="center"/>
          </w:tcPr>
          <w:p>
            <w:pPr>
              <w:pStyle w:val="10"/>
            </w:pPr>
            <w:r>
              <w:t>1</w:t>
            </w:r>
          </w:p>
        </w:tc>
        <w:tc>
          <w:tcPr>
            <w:tcW w:w="1035" w:type="dxa"/>
            <w:vAlign w:val="center"/>
          </w:tcPr>
          <w:p>
            <w:pPr>
              <w:pStyle w:val="10"/>
            </w:pPr>
            <w:r>
              <w:t>1443.00</w:t>
            </w:r>
          </w:p>
        </w:tc>
        <w:tc>
          <w:tcPr>
            <w:tcW w:w="1080" w:type="dxa"/>
            <w:vAlign w:val="center"/>
          </w:tcPr>
          <w:p>
            <w:pPr>
              <w:pStyle w:val="10"/>
            </w:pPr>
            <w:r>
              <w:t>1443.00</w:t>
            </w:r>
          </w:p>
        </w:tc>
        <w:tc>
          <w:tcPr>
            <w:tcW w:w="1110" w:type="dxa"/>
            <w:vAlign w:val="center"/>
          </w:tcPr>
          <w:p>
            <w:pPr>
              <w:pStyle w:val="10"/>
            </w:pPr>
            <w:r>
              <w:t>1443.00</w:t>
            </w:r>
          </w:p>
        </w:tc>
        <w:tc>
          <w:tcPr>
            <w:tcW w:w="685"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c>
          <w:tcPr>
            <w:tcW w:w="924" w:type="dxa"/>
            <w:vAlign w:val="center"/>
          </w:tcPr>
          <w:p>
            <w:pPr>
              <w:pStyle w:val="10"/>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秦皇岛市海港区大数据中心本级上年末固定资产金额为</w:t>
      </w:r>
      <w:r>
        <w:rPr>
          <w:rFonts w:hint="eastAsia" w:eastAsia="方正仿宋_GBK" w:cs="Times New Roman"/>
          <w:b w:val="0"/>
          <w:color w:val="000000"/>
          <w:sz w:val="28"/>
          <w:lang w:val="en-US" w:eastAsia="zh-CN"/>
        </w:rPr>
        <w:t>72.96</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980001秦皇岛市海港区大数据中心本级</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rPr>
                <w:rFonts w:hint="eastAsia"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lang w:val="en-US" w:eastAsia="uk-UA" w:bidi="ar-SA"/>
              </w:rPr>
              <w:t>项   目</w:t>
            </w:r>
          </w:p>
        </w:tc>
        <w:tc>
          <w:tcPr>
            <w:tcW w:w="4933" w:type="dxa"/>
            <w:vAlign w:val="center"/>
          </w:tcPr>
          <w:p>
            <w:pPr>
              <w:pStyle w:val="7"/>
              <w:rPr>
                <w:rFonts w:hint="eastAsia"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lang w:val="en-US" w:eastAsia="uk-UA" w:bidi="ar-SA"/>
              </w:rPr>
              <w:t>数量</w:t>
            </w:r>
          </w:p>
        </w:tc>
        <w:tc>
          <w:tcPr>
            <w:tcW w:w="4933" w:type="dxa"/>
            <w:vAlign w:val="center"/>
          </w:tcPr>
          <w:p>
            <w:pPr>
              <w:pStyle w:val="7"/>
              <w:rPr>
                <w:rFonts w:hint="eastAsia"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lang w:val="en-US" w:eastAsia="uk-UA" w:bidi="ar-S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资产总额</w:t>
            </w:r>
          </w:p>
        </w:tc>
        <w:tc>
          <w:tcPr>
            <w:tcW w:w="4933" w:type="dxa"/>
            <w:vAlign w:val="center"/>
          </w:tcPr>
          <w:p>
            <w:pPr>
              <w:pStyle w:val="8"/>
            </w:pPr>
          </w:p>
        </w:tc>
        <w:tc>
          <w:tcPr>
            <w:tcW w:w="4933" w:type="dxa"/>
            <w:vAlign w:val="center"/>
          </w:tcPr>
          <w:p>
            <w:pPr>
              <w:pStyle w:val="10"/>
              <w:jc w:val="center"/>
              <w:rPr>
                <w:rFonts w:hint="default" w:eastAsia="方正书宋_GBK"/>
                <w:lang w:val="en-US" w:eastAsia="zh-CN"/>
              </w:rPr>
            </w:pPr>
            <w:r>
              <w:rPr>
                <w:rFonts w:hint="eastAsia"/>
                <w:lang w:val="en-US" w:eastAsia="zh-CN"/>
              </w:rPr>
              <w:t>72.96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1、房屋（平方米）</w:t>
            </w:r>
          </w:p>
        </w:tc>
        <w:tc>
          <w:tcPr>
            <w:tcW w:w="4933" w:type="dxa"/>
            <w:vAlign w:val="center"/>
          </w:tcPr>
          <w:p>
            <w:pPr>
              <w:pStyle w:val="8"/>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1036" w:firstLineChars="432"/>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其中：办公用房（平方米）</w:t>
            </w:r>
          </w:p>
        </w:tc>
        <w:tc>
          <w:tcPr>
            <w:tcW w:w="4933" w:type="dxa"/>
            <w:vAlign w:val="center"/>
          </w:tcPr>
          <w:p>
            <w:pPr>
              <w:pStyle w:val="8"/>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2、车辆（台、辆）</w:t>
            </w:r>
          </w:p>
        </w:tc>
        <w:tc>
          <w:tcPr>
            <w:tcW w:w="4933" w:type="dxa"/>
            <w:vAlign w:val="center"/>
          </w:tcPr>
          <w:p>
            <w:pPr>
              <w:pStyle w:val="8"/>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3、单价在50万元以上的设备</w:t>
            </w:r>
          </w:p>
        </w:tc>
        <w:tc>
          <w:tcPr>
            <w:tcW w:w="4933" w:type="dxa"/>
            <w:vAlign w:val="center"/>
          </w:tcPr>
          <w:p>
            <w:pPr>
              <w:pStyle w:val="8"/>
            </w:pPr>
          </w:p>
        </w:tc>
        <w:tc>
          <w:tcPr>
            <w:tcW w:w="493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keepNext w:val="0"/>
              <w:keepLines w:val="0"/>
              <w:pageBreakBefore w:val="0"/>
              <w:widowControl/>
              <w:kinsoku/>
              <w:wordWrap/>
              <w:overflowPunct/>
              <w:topLinePunct w:val="0"/>
              <w:autoSpaceDE/>
              <w:autoSpaceDN/>
              <w:bidi w:val="0"/>
              <w:adjustRightInd/>
              <w:snapToGrid/>
              <w:spacing w:line="500" w:lineRule="exact"/>
              <w:ind w:firstLine="560" w:firstLineChars="0"/>
              <w:jc w:val="left"/>
              <w:outlineLvl w:val="9"/>
              <w:rPr>
                <w:rFonts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rPr>
              <w:t>4、其他固定资产</w:t>
            </w:r>
          </w:p>
        </w:tc>
        <w:tc>
          <w:tcPr>
            <w:tcW w:w="4933" w:type="dxa"/>
            <w:vAlign w:val="center"/>
          </w:tcPr>
          <w:p>
            <w:pPr>
              <w:pStyle w:val="8"/>
              <w:rPr>
                <w:rFonts w:hint="default" w:eastAsia="方正书宋_GBK"/>
                <w:lang w:val="en-US" w:eastAsia="zh-CN"/>
              </w:rPr>
            </w:pPr>
            <w:r>
              <w:rPr>
                <w:rFonts w:hint="eastAsia"/>
                <w:lang w:val="en-US" w:eastAsia="zh-CN"/>
              </w:rPr>
              <w:t>50</w:t>
            </w:r>
          </w:p>
        </w:tc>
        <w:tc>
          <w:tcPr>
            <w:tcW w:w="4933" w:type="dxa"/>
            <w:vAlign w:val="center"/>
          </w:tcPr>
          <w:p>
            <w:pPr>
              <w:pStyle w:val="10"/>
              <w:jc w:val="center"/>
              <w:rPr>
                <w:rFonts w:hint="default" w:ascii="Times New Roman" w:hAnsi="Times New Roman" w:eastAsia="方正仿宋_GBK" w:cs="Times New Roman"/>
                <w:b w:val="0"/>
                <w:color w:val="000000"/>
                <w:sz w:val="24"/>
                <w:szCs w:val="22"/>
                <w:lang w:val="en-US" w:eastAsia="uk-UA" w:bidi="ar-SA"/>
              </w:rPr>
            </w:pPr>
            <w:r>
              <w:rPr>
                <w:rFonts w:hint="eastAsia" w:ascii="Times New Roman" w:hAnsi="Times New Roman" w:eastAsia="方正仿宋_GBK" w:cs="Times New Roman"/>
                <w:b w:val="0"/>
                <w:color w:val="000000"/>
                <w:sz w:val="24"/>
                <w:szCs w:val="22"/>
                <w:lang w:val="en-US" w:eastAsia="zh-CN" w:bidi="ar-SA"/>
              </w:rPr>
              <w:t>72.96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12443"/>
    <w:multiLevelType w:val="singleLevel"/>
    <w:tmpl w:val="AFA12443"/>
    <w:lvl w:ilvl="0" w:tentative="0">
      <w:start w:val="3"/>
      <w:numFmt w:val="chineseCounting"/>
      <w:suff w:val="nothing"/>
      <w:lvlText w:val="%1、"/>
      <w:lvlJc w:val="left"/>
      <w:rPr>
        <w:rFonts w:hint="eastAsia"/>
      </w:rPr>
    </w:lvl>
  </w:abstractNum>
  <w:abstractNum w:abstractNumId="1">
    <w:nsid w:val="21185DF9"/>
    <w:multiLevelType w:val="singleLevel"/>
    <w:tmpl w:val="21185DF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OWU3NDM0NjM3ZDYzZGFlNGMwMzQ3YTRjNWU3YTMifQ=="/>
  </w:docVars>
  <w:rsids>
    <w:rsidRoot w:val="00000000"/>
    <w:rsid w:val="52866C84"/>
    <w:rsid w:val="794C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2023-09-04T06:12:00Z</dcterms:created>
  <dc:creator>Administrator</dc:creator>
  <cp:lastModifiedBy>1</cp:lastModifiedBy>
  <dcterms:modified xsi:type="dcterms:W3CDTF">2023-11-03T06:40:26Z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E9FA5E627D934E588E73C2AF6787F64D_12</vt:lpwstr>
  </property>
</Properties>
</file>