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一、秦皇岛市海港区人民政府文化路街道办事处本级收支预算</w:t>
      </w:r>
      <w:r>
        <w:tab/>
      </w:r>
      <w:r>
        <w:fldChar w:fldCharType="begin"/>
      </w:r>
      <w:r>
        <w:instrText xml:space="preserve">PAGEREF _Toc_4_4_0000000019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1537.33</w:t>
            </w:r>
          </w:p>
        </w:tc>
        <w:tc>
          <w:tcPr>
            <w:tcW w:w="4535" w:type="dxa"/>
            <w:vAlign w:val="center"/>
          </w:tcPr>
          <w:p>
            <w:pPr>
              <w:pStyle w:val="12"/>
            </w:pPr>
            <w:r>
              <w:t>一、一般公共服务支出</w:t>
            </w:r>
          </w:p>
        </w:tc>
        <w:tc>
          <w:tcPr>
            <w:tcW w:w="2126" w:type="dxa"/>
            <w:vAlign w:val="center"/>
          </w:tcPr>
          <w:p>
            <w:pPr>
              <w:pStyle w:val="11"/>
            </w:pPr>
            <w:r>
              <w:t>995.21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1537.33</w:t>
            </w:r>
          </w:p>
        </w:tc>
        <w:tc>
          <w:tcPr>
            <w:tcW w:w="4535" w:type="dxa"/>
            <w:vAlign w:val="center"/>
          </w:tcPr>
          <w:p>
            <w:pPr>
              <w:pStyle w:val="14"/>
            </w:pPr>
            <w:r>
              <w:t>本年支出合计</w:t>
            </w:r>
          </w:p>
        </w:tc>
        <w:tc>
          <w:tcPr>
            <w:tcW w:w="2126" w:type="dxa"/>
            <w:vAlign w:val="center"/>
          </w:tcPr>
          <w:p>
            <w:pPr>
              <w:pStyle w:val="15"/>
            </w:pPr>
            <w:r>
              <w:t>1537.33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1537.33</w:t>
            </w:r>
          </w:p>
        </w:tc>
        <w:tc>
          <w:tcPr>
            <w:tcW w:w="4535" w:type="dxa"/>
            <w:vAlign w:val="center"/>
          </w:tcPr>
          <w:p>
            <w:pPr>
              <w:pStyle w:val="14"/>
            </w:pPr>
            <w:r>
              <w:t>支出总计</w:t>
            </w:r>
          </w:p>
        </w:tc>
        <w:tc>
          <w:tcPr>
            <w:tcW w:w="2126" w:type="dxa"/>
            <w:vAlign w:val="center"/>
          </w:tcPr>
          <w:p>
            <w:pPr>
              <w:pStyle w:val="15"/>
            </w:pPr>
            <w:r>
              <w:t>1537.33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700"/>
        <w:gridCol w:w="992"/>
        <w:gridCol w:w="993"/>
        <w:gridCol w:w="992"/>
        <w:gridCol w:w="709"/>
        <w:gridCol w:w="708"/>
        <w:gridCol w:w="709"/>
        <w:gridCol w:w="694"/>
        <w:gridCol w:w="1134"/>
        <w:gridCol w:w="1134"/>
        <w:gridCol w:w="1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7" w:type="dxa"/>
            <w:gridSpan w:val="5"/>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409"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28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4692" w:type="dxa"/>
            <w:gridSpan w:val="2"/>
            <w:vAlign w:val="center"/>
          </w:tcPr>
          <w:p>
            <w:pPr>
              <w:pStyle w:val="10"/>
            </w:pPr>
            <w:r>
              <w:t>功能分类科目</w:t>
            </w:r>
          </w:p>
        </w:tc>
        <w:tc>
          <w:tcPr>
            <w:tcW w:w="992" w:type="dxa"/>
            <w:vMerge w:val="restart"/>
            <w:vAlign w:val="center"/>
          </w:tcPr>
          <w:p>
            <w:pPr>
              <w:pStyle w:val="10"/>
            </w:pPr>
            <w:r>
              <w:t>合计</w:t>
            </w:r>
          </w:p>
        </w:tc>
        <w:tc>
          <w:tcPr>
            <w:tcW w:w="7073" w:type="dxa"/>
            <w:gridSpan w:val="8"/>
            <w:vAlign w:val="center"/>
          </w:tcPr>
          <w:p>
            <w:pPr>
              <w:pStyle w:val="10"/>
            </w:pPr>
            <w:r>
              <w:t>本年收入</w:t>
            </w:r>
          </w:p>
        </w:tc>
        <w:tc>
          <w:tcPr>
            <w:tcW w:w="161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3700" w:type="dxa"/>
            <w:vAlign w:val="center"/>
          </w:tcPr>
          <w:p>
            <w:pPr>
              <w:pStyle w:val="10"/>
            </w:pPr>
            <w:r>
              <w:t>科目名称</w:t>
            </w:r>
          </w:p>
        </w:tc>
        <w:tc>
          <w:tcPr>
            <w:tcW w:w="992" w:type="dxa"/>
            <w:vMerge w:val="continue"/>
          </w:tcPr>
          <w:p/>
        </w:tc>
        <w:tc>
          <w:tcPr>
            <w:tcW w:w="993" w:type="dxa"/>
            <w:vAlign w:val="center"/>
          </w:tcPr>
          <w:p>
            <w:pPr>
              <w:pStyle w:val="10"/>
            </w:pPr>
            <w:r>
              <w:t>小计</w:t>
            </w:r>
          </w:p>
        </w:tc>
        <w:tc>
          <w:tcPr>
            <w:tcW w:w="992" w:type="dxa"/>
            <w:vAlign w:val="center"/>
          </w:tcPr>
          <w:p>
            <w:pPr>
              <w:pStyle w:val="10"/>
            </w:pPr>
            <w:r>
              <w:t>财政拨款 收入</w:t>
            </w:r>
          </w:p>
        </w:tc>
        <w:tc>
          <w:tcPr>
            <w:tcW w:w="709" w:type="dxa"/>
            <w:vAlign w:val="center"/>
          </w:tcPr>
          <w:p>
            <w:pPr>
              <w:pStyle w:val="10"/>
            </w:pPr>
            <w:r>
              <w:t>财政专户 收入</w:t>
            </w:r>
          </w:p>
        </w:tc>
        <w:tc>
          <w:tcPr>
            <w:tcW w:w="708" w:type="dxa"/>
            <w:vAlign w:val="center"/>
          </w:tcPr>
          <w:p>
            <w:pPr>
              <w:pStyle w:val="10"/>
            </w:pPr>
            <w:r>
              <w:t>事业收入</w:t>
            </w:r>
          </w:p>
        </w:tc>
        <w:tc>
          <w:tcPr>
            <w:tcW w:w="709" w:type="dxa"/>
            <w:vAlign w:val="center"/>
          </w:tcPr>
          <w:p>
            <w:pPr>
              <w:pStyle w:val="10"/>
            </w:pPr>
            <w:r>
              <w:t>经营收入</w:t>
            </w:r>
          </w:p>
        </w:tc>
        <w:tc>
          <w:tcPr>
            <w:tcW w:w="69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6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3700" w:type="dxa"/>
            <w:vAlign w:val="center"/>
          </w:tcPr>
          <w:p>
            <w:pPr>
              <w:pStyle w:val="10"/>
            </w:pPr>
            <w:r>
              <w:t>2</w:t>
            </w:r>
          </w:p>
        </w:tc>
        <w:tc>
          <w:tcPr>
            <w:tcW w:w="992" w:type="dxa"/>
            <w:vAlign w:val="center"/>
          </w:tcPr>
          <w:p>
            <w:pPr>
              <w:pStyle w:val="10"/>
            </w:pPr>
            <w:r>
              <w:t>3</w:t>
            </w:r>
          </w:p>
        </w:tc>
        <w:tc>
          <w:tcPr>
            <w:tcW w:w="993" w:type="dxa"/>
            <w:vAlign w:val="center"/>
          </w:tcPr>
          <w:p>
            <w:pPr>
              <w:pStyle w:val="10"/>
            </w:pPr>
            <w:r>
              <w:t>4</w:t>
            </w:r>
          </w:p>
        </w:tc>
        <w:tc>
          <w:tcPr>
            <w:tcW w:w="992" w:type="dxa"/>
            <w:vAlign w:val="center"/>
          </w:tcPr>
          <w:p>
            <w:pPr>
              <w:pStyle w:val="10"/>
            </w:pPr>
            <w:r>
              <w:t>5</w:t>
            </w:r>
          </w:p>
        </w:tc>
        <w:tc>
          <w:tcPr>
            <w:tcW w:w="709" w:type="dxa"/>
            <w:vAlign w:val="center"/>
          </w:tcPr>
          <w:p>
            <w:pPr>
              <w:pStyle w:val="10"/>
            </w:pPr>
            <w:r>
              <w:t>6</w:t>
            </w:r>
          </w:p>
        </w:tc>
        <w:tc>
          <w:tcPr>
            <w:tcW w:w="708" w:type="dxa"/>
            <w:vAlign w:val="center"/>
          </w:tcPr>
          <w:p>
            <w:pPr>
              <w:pStyle w:val="10"/>
            </w:pPr>
            <w:r>
              <w:t>7</w:t>
            </w:r>
          </w:p>
        </w:tc>
        <w:tc>
          <w:tcPr>
            <w:tcW w:w="709" w:type="dxa"/>
            <w:vAlign w:val="center"/>
          </w:tcPr>
          <w:p>
            <w:pPr>
              <w:pStyle w:val="10"/>
            </w:pPr>
            <w:r>
              <w:t>8</w:t>
            </w:r>
          </w:p>
        </w:tc>
        <w:tc>
          <w:tcPr>
            <w:tcW w:w="69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61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3700" w:type="dxa"/>
            <w:vAlign w:val="center"/>
          </w:tcPr>
          <w:p>
            <w:pPr>
              <w:pStyle w:val="14"/>
            </w:pPr>
            <w:r>
              <w:t>合计</w:t>
            </w:r>
          </w:p>
        </w:tc>
        <w:tc>
          <w:tcPr>
            <w:tcW w:w="992" w:type="dxa"/>
            <w:vAlign w:val="center"/>
          </w:tcPr>
          <w:p>
            <w:pPr>
              <w:pStyle w:val="15"/>
            </w:pPr>
            <w:r>
              <w:t>1537.33</w:t>
            </w:r>
          </w:p>
        </w:tc>
        <w:tc>
          <w:tcPr>
            <w:tcW w:w="993" w:type="dxa"/>
            <w:vAlign w:val="center"/>
          </w:tcPr>
          <w:p>
            <w:pPr>
              <w:pStyle w:val="15"/>
            </w:pPr>
            <w:r>
              <w:t>1537.33</w:t>
            </w:r>
          </w:p>
        </w:tc>
        <w:tc>
          <w:tcPr>
            <w:tcW w:w="992" w:type="dxa"/>
            <w:vAlign w:val="center"/>
          </w:tcPr>
          <w:p>
            <w:pPr>
              <w:pStyle w:val="15"/>
            </w:pPr>
            <w:r>
              <w:t>1537.33</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694" w:type="dxa"/>
            <w:vAlign w:val="center"/>
          </w:tcPr>
          <w:p>
            <w:pPr>
              <w:pStyle w:val="15"/>
            </w:pPr>
          </w:p>
        </w:tc>
        <w:tc>
          <w:tcPr>
            <w:tcW w:w="1134" w:type="dxa"/>
            <w:vAlign w:val="center"/>
          </w:tcPr>
          <w:p>
            <w:pPr>
              <w:pStyle w:val="15"/>
            </w:pPr>
          </w:p>
        </w:tc>
        <w:tc>
          <w:tcPr>
            <w:tcW w:w="1134" w:type="dxa"/>
            <w:vAlign w:val="center"/>
          </w:tcPr>
          <w:p>
            <w:pPr>
              <w:pStyle w:val="15"/>
            </w:pPr>
          </w:p>
        </w:tc>
        <w:tc>
          <w:tcPr>
            <w:tcW w:w="16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3700" w:type="dxa"/>
            <w:vAlign w:val="center"/>
          </w:tcPr>
          <w:p>
            <w:pPr>
              <w:pStyle w:val="12"/>
            </w:pPr>
            <w:r>
              <w:t>一般公共服务支出</w:t>
            </w:r>
          </w:p>
        </w:tc>
        <w:tc>
          <w:tcPr>
            <w:tcW w:w="992" w:type="dxa"/>
            <w:vAlign w:val="center"/>
          </w:tcPr>
          <w:p>
            <w:pPr>
              <w:pStyle w:val="11"/>
            </w:pPr>
            <w:r>
              <w:t>995.21</w:t>
            </w:r>
          </w:p>
        </w:tc>
        <w:tc>
          <w:tcPr>
            <w:tcW w:w="993" w:type="dxa"/>
            <w:vAlign w:val="center"/>
          </w:tcPr>
          <w:p>
            <w:pPr>
              <w:pStyle w:val="11"/>
            </w:pPr>
            <w:r>
              <w:t>995.21</w:t>
            </w:r>
          </w:p>
        </w:tc>
        <w:tc>
          <w:tcPr>
            <w:tcW w:w="992" w:type="dxa"/>
            <w:vAlign w:val="center"/>
          </w:tcPr>
          <w:p>
            <w:pPr>
              <w:pStyle w:val="11"/>
            </w:pPr>
            <w:r>
              <w:t>995.21</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3700" w:type="dxa"/>
            <w:vAlign w:val="center"/>
          </w:tcPr>
          <w:p>
            <w:pPr>
              <w:pStyle w:val="12"/>
            </w:pPr>
            <w:r>
              <w:t>人大事务</w:t>
            </w:r>
          </w:p>
        </w:tc>
        <w:tc>
          <w:tcPr>
            <w:tcW w:w="992" w:type="dxa"/>
            <w:vAlign w:val="center"/>
          </w:tcPr>
          <w:p>
            <w:pPr>
              <w:pStyle w:val="11"/>
            </w:pPr>
            <w:r>
              <w:t>4.00</w:t>
            </w:r>
          </w:p>
        </w:tc>
        <w:tc>
          <w:tcPr>
            <w:tcW w:w="993" w:type="dxa"/>
            <w:vAlign w:val="center"/>
          </w:tcPr>
          <w:p>
            <w:pPr>
              <w:pStyle w:val="11"/>
            </w:pPr>
            <w:r>
              <w:t>4.00</w:t>
            </w:r>
          </w:p>
        </w:tc>
        <w:tc>
          <w:tcPr>
            <w:tcW w:w="992" w:type="dxa"/>
            <w:vAlign w:val="center"/>
          </w:tcPr>
          <w:p>
            <w:pPr>
              <w:pStyle w:val="11"/>
            </w:pPr>
            <w:r>
              <w:t>4.00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3700" w:type="dxa"/>
            <w:vAlign w:val="center"/>
          </w:tcPr>
          <w:p>
            <w:pPr>
              <w:pStyle w:val="12"/>
            </w:pPr>
            <w:r>
              <w:t>代表工作</w:t>
            </w:r>
          </w:p>
        </w:tc>
        <w:tc>
          <w:tcPr>
            <w:tcW w:w="992" w:type="dxa"/>
            <w:vAlign w:val="center"/>
          </w:tcPr>
          <w:p>
            <w:pPr>
              <w:pStyle w:val="11"/>
            </w:pPr>
            <w:r>
              <w:t>4.00</w:t>
            </w:r>
          </w:p>
        </w:tc>
        <w:tc>
          <w:tcPr>
            <w:tcW w:w="993" w:type="dxa"/>
            <w:vAlign w:val="center"/>
          </w:tcPr>
          <w:p>
            <w:pPr>
              <w:pStyle w:val="11"/>
            </w:pPr>
            <w:r>
              <w:t>4.00</w:t>
            </w:r>
          </w:p>
        </w:tc>
        <w:tc>
          <w:tcPr>
            <w:tcW w:w="992" w:type="dxa"/>
            <w:vAlign w:val="center"/>
          </w:tcPr>
          <w:p>
            <w:pPr>
              <w:pStyle w:val="11"/>
            </w:pPr>
            <w:r>
              <w:t>4.00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3700" w:type="dxa"/>
            <w:vAlign w:val="center"/>
          </w:tcPr>
          <w:p>
            <w:pPr>
              <w:pStyle w:val="12"/>
            </w:pPr>
            <w:r>
              <w:t>政府办公厅（室）及相关机构事务</w:t>
            </w:r>
          </w:p>
        </w:tc>
        <w:tc>
          <w:tcPr>
            <w:tcW w:w="992" w:type="dxa"/>
            <w:vAlign w:val="center"/>
          </w:tcPr>
          <w:p>
            <w:pPr>
              <w:pStyle w:val="11"/>
            </w:pPr>
            <w:r>
              <w:t>986.21</w:t>
            </w:r>
          </w:p>
        </w:tc>
        <w:tc>
          <w:tcPr>
            <w:tcW w:w="993" w:type="dxa"/>
            <w:vAlign w:val="center"/>
          </w:tcPr>
          <w:p>
            <w:pPr>
              <w:pStyle w:val="11"/>
            </w:pPr>
            <w:r>
              <w:t>986.21</w:t>
            </w:r>
          </w:p>
        </w:tc>
        <w:tc>
          <w:tcPr>
            <w:tcW w:w="992" w:type="dxa"/>
            <w:vAlign w:val="center"/>
          </w:tcPr>
          <w:p>
            <w:pPr>
              <w:pStyle w:val="11"/>
            </w:pPr>
            <w:r>
              <w:t>986.21</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3700" w:type="dxa"/>
            <w:vAlign w:val="center"/>
          </w:tcPr>
          <w:p>
            <w:pPr>
              <w:pStyle w:val="12"/>
            </w:pPr>
            <w:r>
              <w:t>行政运行</w:t>
            </w:r>
          </w:p>
        </w:tc>
        <w:tc>
          <w:tcPr>
            <w:tcW w:w="992" w:type="dxa"/>
            <w:vAlign w:val="center"/>
          </w:tcPr>
          <w:p>
            <w:pPr>
              <w:pStyle w:val="11"/>
            </w:pPr>
            <w:r>
              <w:t>960.21</w:t>
            </w:r>
          </w:p>
        </w:tc>
        <w:tc>
          <w:tcPr>
            <w:tcW w:w="993" w:type="dxa"/>
            <w:vAlign w:val="center"/>
          </w:tcPr>
          <w:p>
            <w:pPr>
              <w:pStyle w:val="11"/>
            </w:pPr>
            <w:r>
              <w:t>960.21</w:t>
            </w:r>
          </w:p>
        </w:tc>
        <w:tc>
          <w:tcPr>
            <w:tcW w:w="992" w:type="dxa"/>
            <w:vAlign w:val="center"/>
          </w:tcPr>
          <w:p>
            <w:pPr>
              <w:pStyle w:val="11"/>
            </w:pPr>
            <w:r>
              <w:t>960.21</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3700" w:type="dxa"/>
            <w:vAlign w:val="center"/>
          </w:tcPr>
          <w:p>
            <w:pPr>
              <w:pStyle w:val="12"/>
            </w:pPr>
            <w:r>
              <w:t>一般行政管理事务</w:t>
            </w:r>
          </w:p>
        </w:tc>
        <w:tc>
          <w:tcPr>
            <w:tcW w:w="992" w:type="dxa"/>
            <w:vAlign w:val="center"/>
          </w:tcPr>
          <w:p>
            <w:pPr>
              <w:pStyle w:val="11"/>
            </w:pPr>
            <w:r>
              <w:t>26.00</w:t>
            </w:r>
          </w:p>
        </w:tc>
        <w:tc>
          <w:tcPr>
            <w:tcW w:w="993" w:type="dxa"/>
            <w:vAlign w:val="center"/>
          </w:tcPr>
          <w:p>
            <w:pPr>
              <w:pStyle w:val="11"/>
            </w:pPr>
            <w:r>
              <w:t>26.00</w:t>
            </w:r>
          </w:p>
        </w:tc>
        <w:tc>
          <w:tcPr>
            <w:tcW w:w="992" w:type="dxa"/>
            <w:vAlign w:val="center"/>
          </w:tcPr>
          <w:p>
            <w:pPr>
              <w:pStyle w:val="11"/>
            </w:pPr>
            <w:r>
              <w:t>26.00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20199</w:t>
            </w:r>
          </w:p>
        </w:tc>
        <w:tc>
          <w:tcPr>
            <w:tcW w:w="3700" w:type="dxa"/>
            <w:vAlign w:val="center"/>
          </w:tcPr>
          <w:p>
            <w:pPr>
              <w:pStyle w:val="12"/>
            </w:pPr>
            <w:r>
              <w:t>其他一般公共服务支出</w:t>
            </w:r>
          </w:p>
        </w:tc>
        <w:tc>
          <w:tcPr>
            <w:tcW w:w="992" w:type="dxa"/>
            <w:vAlign w:val="center"/>
          </w:tcPr>
          <w:p>
            <w:pPr>
              <w:pStyle w:val="11"/>
            </w:pPr>
            <w:r>
              <w:t>5.00</w:t>
            </w:r>
          </w:p>
        </w:tc>
        <w:tc>
          <w:tcPr>
            <w:tcW w:w="993" w:type="dxa"/>
            <w:vAlign w:val="center"/>
          </w:tcPr>
          <w:p>
            <w:pPr>
              <w:pStyle w:val="11"/>
            </w:pPr>
            <w:r>
              <w:t>5.00</w:t>
            </w:r>
          </w:p>
        </w:tc>
        <w:tc>
          <w:tcPr>
            <w:tcW w:w="992" w:type="dxa"/>
            <w:vAlign w:val="center"/>
          </w:tcPr>
          <w:p>
            <w:pPr>
              <w:pStyle w:val="11"/>
            </w:pPr>
            <w:r>
              <w:t>5.00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2019999</w:t>
            </w:r>
          </w:p>
        </w:tc>
        <w:tc>
          <w:tcPr>
            <w:tcW w:w="3700" w:type="dxa"/>
            <w:vAlign w:val="center"/>
          </w:tcPr>
          <w:p>
            <w:pPr>
              <w:pStyle w:val="12"/>
            </w:pPr>
            <w:r>
              <w:t>其他一般公共服务支出</w:t>
            </w:r>
          </w:p>
        </w:tc>
        <w:tc>
          <w:tcPr>
            <w:tcW w:w="992" w:type="dxa"/>
            <w:vAlign w:val="center"/>
          </w:tcPr>
          <w:p>
            <w:pPr>
              <w:pStyle w:val="11"/>
            </w:pPr>
            <w:r>
              <w:t>5.00</w:t>
            </w:r>
          </w:p>
        </w:tc>
        <w:tc>
          <w:tcPr>
            <w:tcW w:w="993" w:type="dxa"/>
            <w:vAlign w:val="center"/>
          </w:tcPr>
          <w:p>
            <w:pPr>
              <w:pStyle w:val="11"/>
            </w:pPr>
            <w:r>
              <w:t>5.00</w:t>
            </w:r>
          </w:p>
        </w:tc>
        <w:tc>
          <w:tcPr>
            <w:tcW w:w="992" w:type="dxa"/>
            <w:vAlign w:val="center"/>
          </w:tcPr>
          <w:p>
            <w:pPr>
              <w:pStyle w:val="11"/>
            </w:pPr>
            <w:r>
              <w:t>5.00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w:t>
            </w:r>
          </w:p>
        </w:tc>
        <w:tc>
          <w:tcPr>
            <w:tcW w:w="3700" w:type="dxa"/>
            <w:vAlign w:val="center"/>
          </w:tcPr>
          <w:p>
            <w:pPr>
              <w:pStyle w:val="12"/>
            </w:pPr>
            <w:r>
              <w:t>文化旅游体育与传媒支出</w:t>
            </w:r>
          </w:p>
        </w:tc>
        <w:tc>
          <w:tcPr>
            <w:tcW w:w="992" w:type="dxa"/>
            <w:vAlign w:val="center"/>
          </w:tcPr>
          <w:p>
            <w:pPr>
              <w:pStyle w:val="11"/>
            </w:pPr>
            <w:r>
              <w:t>1.00</w:t>
            </w:r>
          </w:p>
        </w:tc>
        <w:tc>
          <w:tcPr>
            <w:tcW w:w="993" w:type="dxa"/>
            <w:vAlign w:val="center"/>
          </w:tcPr>
          <w:p>
            <w:pPr>
              <w:pStyle w:val="11"/>
            </w:pPr>
            <w:r>
              <w:t>1.00</w:t>
            </w:r>
          </w:p>
        </w:tc>
        <w:tc>
          <w:tcPr>
            <w:tcW w:w="992" w:type="dxa"/>
            <w:vAlign w:val="center"/>
          </w:tcPr>
          <w:p>
            <w:pPr>
              <w:pStyle w:val="11"/>
            </w:pPr>
            <w:r>
              <w:t>1.00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w:t>
            </w:r>
          </w:p>
        </w:tc>
        <w:tc>
          <w:tcPr>
            <w:tcW w:w="3700" w:type="dxa"/>
            <w:vAlign w:val="center"/>
          </w:tcPr>
          <w:p>
            <w:pPr>
              <w:pStyle w:val="12"/>
            </w:pPr>
            <w:r>
              <w:t>文化和旅游</w:t>
            </w:r>
          </w:p>
        </w:tc>
        <w:tc>
          <w:tcPr>
            <w:tcW w:w="992" w:type="dxa"/>
            <w:vAlign w:val="center"/>
          </w:tcPr>
          <w:p>
            <w:pPr>
              <w:pStyle w:val="11"/>
            </w:pPr>
            <w:r>
              <w:t>1.00</w:t>
            </w:r>
          </w:p>
        </w:tc>
        <w:tc>
          <w:tcPr>
            <w:tcW w:w="993" w:type="dxa"/>
            <w:vAlign w:val="center"/>
          </w:tcPr>
          <w:p>
            <w:pPr>
              <w:pStyle w:val="11"/>
            </w:pPr>
            <w:r>
              <w:t>1.00</w:t>
            </w:r>
          </w:p>
        </w:tc>
        <w:tc>
          <w:tcPr>
            <w:tcW w:w="992" w:type="dxa"/>
            <w:vAlign w:val="center"/>
          </w:tcPr>
          <w:p>
            <w:pPr>
              <w:pStyle w:val="11"/>
            </w:pPr>
            <w:r>
              <w:t>1.00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2070109</w:t>
            </w:r>
          </w:p>
        </w:tc>
        <w:tc>
          <w:tcPr>
            <w:tcW w:w="3700" w:type="dxa"/>
            <w:vAlign w:val="center"/>
          </w:tcPr>
          <w:p>
            <w:pPr>
              <w:pStyle w:val="12"/>
            </w:pPr>
            <w:r>
              <w:t>群众文化</w:t>
            </w:r>
          </w:p>
        </w:tc>
        <w:tc>
          <w:tcPr>
            <w:tcW w:w="992" w:type="dxa"/>
            <w:vAlign w:val="center"/>
          </w:tcPr>
          <w:p>
            <w:pPr>
              <w:pStyle w:val="11"/>
            </w:pPr>
            <w:r>
              <w:t>1.00</w:t>
            </w:r>
          </w:p>
        </w:tc>
        <w:tc>
          <w:tcPr>
            <w:tcW w:w="993" w:type="dxa"/>
            <w:vAlign w:val="center"/>
          </w:tcPr>
          <w:p>
            <w:pPr>
              <w:pStyle w:val="11"/>
            </w:pPr>
            <w:r>
              <w:t>1.00</w:t>
            </w:r>
          </w:p>
        </w:tc>
        <w:tc>
          <w:tcPr>
            <w:tcW w:w="992" w:type="dxa"/>
            <w:vAlign w:val="center"/>
          </w:tcPr>
          <w:p>
            <w:pPr>
              <w:pStyle w:val="11"/>
            </w:pPr>
            <w:r>
              <w:t>1.00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3700" w:type="dxa"/>
            <w:vAlign w:val="center"/>
          </w:tcPr>
          <w:p>
            <w:pPr>
              <w:pStyle w:val="12"/>
            </w:pPr>
            <w:r>
              <w:t>社会保障和就业支出</w:t>
            </w:r>
          </w:p>
        </w:tc>
        <w:tc>
          <w:tcPr>
            <w:tcW w:w="992" w:type="dxa"/>
            <w:vAlign w:val="center"/>
          </w:tcPr>
          <w:p>
            <w:pPr>
              <w:pStyle w:val="11"/>
            </w:pPr>
            <w:r>
              <w:t>455.04</w:t>
            </w:r>
          </w:p>
        </w:tc>
        <w:tc>
          <w:tcPr>
            <w:tcW w:w="993" w:type="dxa"/>
            <w:vAlign w:val="center"/>
          </w:tcPr>
          <w:p>
            <w:pPr>
              <w:pStyle w:val="11"/>
            </w:pPr>
            <w:r>
              <w:t>455.04</w:t>
            </w:r>
          </w:p>
        </w:tc>
        <w:tc>
          <w:tcPr>
            <w:tcW w:w="992" w:type="dxa"/>
            <w:vAlign w:val="center"/>
          </w:tcPr>
          <w:p>
            <w:pPr>
              <w:pStyle w:val="11"/>
            </w:pPr>
            <w:r>
              <w:t>455.04</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20802</w:t>
            </w:r>
          </w:p>
        </w:tc>
        <w:tc>
          <w:tcPr>
            <w:tcW w:w="3700" w:type="dxa"/>
            <w:vAlign w:val="center"/>
          </w:tcPr>
          <w:p>
            <w:pPr>
              <w:pStyle w:val="12"/>
            </w:pPr>
            <w:r>
              <w:t>民政管理事务</w:t>
            </w:r>
          </w:p>
        </w:tc>
        <w:tc>
          <w:tcPr>
            <w:tcW w:w="992" w:type="dxa"/>
            <w:vAlign w:val="center"/>
          </w:tcPr>
          <w:p>
            <w:pPr>
              <w:pStyle w:val="11"/>
            </w:pPr>
            <w:r>
              <w:t>268.00</w:t>
            </w:r>
          </w:p>
        </w:tc>
        <w:tc>
          <w:tcPr>
            <w:tcW w:w="993" w:type="dxa"/>
            <w:vAlign w:val="center"/>
          </w:tcPr>
          <w:p>
            <w:pPr>
              <w:pStyle w:val="11"/>
            </w:pPr>
            <w:r>
              <w:t>268.00</w:t>
            </w:r>
          </w:p>
        </w:tc>
        <w:tc>
          <w:tcPr>
            <w:tcW w:w="992" w:type="dxa"/>
            <w:vAlign w:val="center"/>
          </w:tcPr>
          <w:p>
            <w:pPr>
              <w:pStyle w:val="11"/>
            </w:pPr>
            <w:r>
              <w:t>268.00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2080208</w:t>
            </w:r>
          </w:p>
        </w:tc>
        <w:tc>
          <w:tcPr>
            <w:tcW w:w="3700" w:type="dxa"/>
            <w:vAlign w:val="center"/>
          </w:tcPr>
          <w:p>
            <w:pPr>
              <w:pStyle w:val="12"/>
            </w:pPr>
            <w:r>
              <w:t>基层政权建设和社区治理</w:t>
            </w:r>
          </w:p>
        </w:tc>
        <w:tc>
          <w:tcPr>
            <w:tcW w:w="992" w:type="dxa"/>
            <w:vAlign w:val="center"/>
          </w:tcPr>
          <w:p>
            <w:pPr>
              <w:pStyle w:val="11"/>
            </w:pPr>
            <w:r>
              <w:t>268.00</w:t>
            </w:r>
          </w:p>
        </w:tc>
        <w:tc>
          <w:tcPr>
            <w:tcW w:w="993" w:type="dxa"/>
            <w:vAlign w:val="center"/>
          </w:tcPr>
          <w:p>
            <w:pPr>
              <w:pStyle w:val="11"/>
            </w:pPr>
            <w:r>
              <w:t>268.00</w:t>
            </w:r>
          </w:p>
        </w:tc>
        <w:tc>
          <w:tcPr>
            <w:tcW w:w="992" w:type="dxa"/>
            <w:vAlign w:val="center"/>
          </w:tcPr>
          <w:p>
            <w:pPr>
              <w:pStyle w:val="11"/>
            </w:pPr>
            <w:r>
              <w:t>268.00</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3700" w:type="dxa"/>
            <w:vAlign w:val="center"/>
          </w:tcPr>
          <w:p>
            <w:pPr>
              <w:pStyle w:val="12"/>
            </w:pPr>
            <w:r>
              <w:t>行政事业单位养老支出</w:t>
            </w:r>
          </w:p>
        </w:tc>
        <w:tc>
          <w:tcPr>
            <w:tcW w:w="992" w:type="dxa"/>
            <w:vAlign w:val="center"/>
          </w:tcPr>
          <w:p>
            <w:pPr>
              <w:pStyle w:val="11"/>
            </w:pPr>
            <w:r>
              <w:t>187.04</w:t>
            </w:r>
          </w:p>
        </w:tc>
        <w:tc>
          <w:tcPr>
            <w:tcW w:w="993" w:type="dxa"/>
            <w:vAlign w:val="center"/>
          </w:tcPr>
          <w:p>
            <w:pPr>
              <w:pStyle w:val="11"/>
            </w:pPr>
            <w:r>
              <w:t>187.04</w:t>
            </w:r>
          </w:p>
        </w:tc>
        <w:tc>
          <w:tcPr>
            <w:tcW w:w="992" w:type="dxa"/>
            <w:vAlign w:val="center"/>
          </w:tcPr>
          <w:p>
            <w:pPr>
              <w:pStyle w:val="11"/>
            </w:pPr>
            <w:r>
              <w:t>187.04</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3700" w:type="dxa"/>
            <w:vAlign w:val="center"/>
          </w:tcPr>
          <w:p>
            <w:pPr>
              <w:pStyle w:val="12"/>
            </w:pPr>
            <w:r>
              <w:t>行政单位离退休</w:t>
            </w:r>
          </w:p>
        </w:tc>
        <w:tc>
          <w:tcPr>
            <w:tcW w:w="992" w:type="dxa"/>
            <w:vAlign w:val="center"/>
          </w:tcPr>
          <w:p>
            <w:pPr>
              <w:pStyle w:val="11"/>
            </w:pPr>
            <w:r>
              <w:t>138.42</w:t>
            </w:r>
          </w:p>
        </w:tc>
        <w:tc>
          <w:tcPr>
            <w:tcW w:w="993" w:type="dxa"/>
            <w:vAlign w:val="center"/>
          </w:tcPr>
          <w:p>
            <w:pPr>
              <w:pStyle w:val="11"/>
            </w:pPr>
            <w:r>
              <w:t>138.42</w:t>
            </w:r>
          </w:p>
        </w:tc>
        <w:tc>
          <w:tcPr>
            <w:tcW w:w="992" w:type="dxa"/>
            <w:vAlign w:val="center"/>
          </w:tcPr>
          <w:p>
            <w:pPr>
              <w:pStyle w:val="11"/>
            </w:pPr>
            <w:r>
              <w:t>138.42</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3700" w:type="dxa"/>
            <w:vAlign w:val="center"/>
          </w:tcPr>
          <w:p>
            <w:pPr>
              <w:pStyle w:val="12"/>
            </w:pPr>
            <w:r>
              <w:t>机关事业单位基本养老保险缴费支出</w:t>
            </w:r>
          </w:p>
        </w:tc>
        <w:tc>
          <w:tcPr>
            <w:tcW w:w="992" w:type="dxa"/>
            <w:vAlign w:val="center"/>
          </w:tcPr>
          <w:p>
            <w:pPr>
              <w:pStyle w:val="11"/>
            </w:pPr>
            <w:r>
              <w:t>48.62</w:t>
            </w:r>
          </w:p>
        </w:tc>
        <w:tc>
          <w:tcPr>
            <w:tcW w:w="993" w:type="dxa"/>
            <w:vAlign w:val="center"/>
          </w:tcPr>
          <w:p>
            <w:pPr>
              <w:pStyle w:val="11"/>
            </w:pPr>
            <w:r>
              <w:t>48.62</w:t>
            </w:r>
          </w:p>
        </w:tc>
        <w:tc>
          <w:tcPr>
            <w:tcW w:w="992" w:type="dxa"/>
            <w:vAlign w:val="center"/>
          </w:tcPr>
          <w:p>
            <w:pPr>
              <w:pStyle w:val="11"/>
            </w:pPr>
            <w:r>
              <w:t>48.62</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w:t>
            </w:r>
          </w:p>
        </w:tc>
        <w:tc>
          <w:tcPr>
            <w:tcW w:w="3700" w:type="dxa"/>
            <w:vAlign w:val="center"/>
          </w:tcPr>
          <w:p>
            <w:pPr>
              <w:pStyle w:val="12"/>
            </w:pPr>
            <w:r>
              <w:t>卫生健康支出</w:t>
            </w:r>
          </w:p>
        </w:tc>
        <w:tc>
          <w:tcPr>
            <w:tcW w:w="992" w:type="dxa"/>
            <w:vAlign w:val="center"/>
          </w:tcPr>
          <w:p>
            <w:pPr>
              <w:pStyle w:val="11"/>
            </w:pPr>
            <w:r>
              <w:t>59.29</w:t>
            </w:r>
          </w:p>
        </w:tc>
        <w:tc>
          <w:tcPr>
            <w:tcW w:w="993" w:type="dxa"/>
            <w:vAlign w:val="center"/>
          </w:tcPr>
          <w:p>
            <w:pPr>
              <w:pStyle w:val="11"/>
            </w:pPr>
            <w:r>
              <w:t>59.29</w:t>
            </w:r>
          </w:p>
        </w:tc>
        <w:tc>
          <w:tcPr>
            <w:tcW w:w="992" w:type="dxa"/>
            <w:vAlign w:val="center"/>
          </w:tcPr>
          <w:p>
            <w:pPr>
              <w:pStyle w:val="11"/>
            </w:pPr>
            <w:r>
              <w:t>59.29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w:t>
            </w:r>
          </w:p>
        </w:tc>
        <w:tc>
          <w:tcPr>
            <w:tcW w:w="3700" w:type="dxa"/>
            <w:vAlign w:val="center"/>
          </w:tcPr>
          <w:p>
            <w:pPr>
              <w:pStyle w:val="12"/>
            </w:pPr>
            <w:r>
              <w:t>行政事业单位医疗</w:t>
            </w:r>
          </w:p>
        </w:tc>
        <w:tc>
          <w:tcPr>
            <w:tcW w:w="992" w:type="dxa"/>
            <w:vAlign w:val="center"/>
          </w:tcPr>
          <w:p>
            <w:pPr>
              <w:pStyle w:val="11"/>
            </w:pPr>
            <w:r>
              <w:t>59.29</w:t>
            </w:r>
          </w:p>
        </w:tc>
        <w:tc>
          <w:tcPr>
            <w:tcW w:w="993" w:type="dxa"/>
            <w:vAlign w:val="center"/>
          </w:tcPr>
          <w:p>
            <w:pPr>
              <w:pStyle w:val="11"/>
            </w:pPr>
            <w:r>
              <w:t>59.29</w:t>
            </w:r>
          </w:p>
        </w:tc>
        <w:tc>
          <w:tcPr>
            <w:tcW w:w="992" w:type="dxa"/>
            <w:vAlign w:val="center"/>
          </w:tcPr>
          <w:p>
            <w:pPr>
              <w:pStyle w:val="11"/>
            </w:pPr>
            <w:r>
              <w:t>59.29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2101101</w:t>
            </w:r>
          </w:p>
        </w:tc>
        <w:tc>
          <w:tcPr>
            <w:tcW w:w="3700" w:type="dxa"/>
            <w:vAlign w:val="center"/>
          </w:tcPr>
          <w:p>
            <w:pPr>
              <w:pStyle w:val="12"/>
            </w:pPr>
            <w:r>
              <w:t>行政单位医疗</w:t>
            </w:r>
          </w:p>
        </w:tc>
        <w:tc>
          <w:tcPr>
            <w:tcW w:w="992" w:type="dxa"/>
            <w:vAlign w:val="center"/>
          </w:tcPr>
          <w:p>
            <w:pPr>
              <w:pStyle w:val="11"/>
            </w:pPr>
            <w:r>
              <w:t>20.86</w:t>
            </w:r>
          </w:p>
        </w:tc>
        <w:tc>
          <w:tcPr>
            <w:tcW w:w="993" w:type="dxa"/>
            <w:vAlign w:val="center"/>
          </w:tcPr>
          <w:p>
            <w:pPr>
              <w:pStyle w:val="11"/>
            </w:pPr>
            <w:r>
              <w:t>20.86</w:t>
            </w:r>
          </w:p>
        </w:tc>
        <w:tc>
          <w:tcPr>
            <w:tcW w:w="992" w:type="dxa"/>
            <w:vAlign w:val="center"/>
          </w:tcPr>
          <w:p>
            <w:pPr>
              <w:pStyle w:val="11"/>
            </w:pPr>
            <w:r>
              <w:t>20.86</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2101103</w:t>
            </w:r>
          </w:p>
        </w:tc>
        <w:tc>
          <w:tcPr>
            <w:tcW w:w="3700" w:type="dxa"/>
            <w:vAlign w:val="center"/>
          </w:tcPr>
          <w:p>
            <w:pPr>
              <w:pStyle w:val="12"/>
            </w:pPr>
            <w:r>
              <w:t>公务员医疗补助</w:t>
            </w:r>
          </w:p>
        </w:tc>
        <w:tc>
          <w:tcPr>
            <w:tcW w:w="992" w:type="dxa"/>
            <w:vAlign w:val="center"/>
          </w:tcPr>
          <w:p>
            <w:pPr>
              <w:pStyle w:val="11"/>
            </w:pPr>
            <w:r>
              <w:t>38.43</w:t>
            </w:r>
          </w:p>
        </w:tc>
        <w:tc>
          <w:tcPr>
            <w:tcW w:w="993" w:type="dxa"/>
            <w:vAlign w:val="center"/>
          </w:tcPr>
          <w:p>
            <w:pPr>
              <w:pStyle w:val="11"/>
            </w:pPr>
            <w:r>
              <w:t>38.43</w:t>
            </w:r>
          </w:p>
        </w:tc>
        <w:tc>
          <w:tcPr>
            <w:tcW w:w="992" w:type="dxa"/>
            <w:vAlign w:val="center"/>
          </w:tcPr>
          <w:p>
            <w:pPr>
              <w:pStyle w:val="11"/>
            </w:pPr>
            <w:r>
              <w:t>38.43</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3700" w:type="dxa"/>
            <w:vAlign w:val="center"/>
          </w:tcPr>
          <w:p>
            <w:pPr>
              <w:pStyle w:val="12"/>
            </w:pPr>
            <w:r>
              <w:t>住房保障支出</w:t>
            </w:r>
          </w:p>
        </w:tc>
        <w:tc>
          <w:tcPr>
            <w:tcW w:w="992" w:type="dxa"/>
            <w:vAlign w:val="center"/>
          </w:tcPr>
          <w:p>
            <w:pPr>
              <w:pStyle w:val="11"/>
            </w:pPr>
            <w:r>
              <w:t>26.79</w:t>
            </w:r>
          </w:p>
        </w:tc>
        <w:tc>
          <w:tcPr>
            <w:tcW w:w="993" w:type="dxa"/>
            <w:vAlign w:val="center"/>
          </w:tcPr>
          <w:p>
            <w:pPr>
              <w:pStyle w:val="11"/>
            </w:pPr>
            <w:r>
              <w:t>26.79</w:t>
            </w:r>
          </w:p>
        </w:tc>
        <w:tc>
          <w:tcPr>
            <w:tcW w:w="992" w:type="dxa"/>
            <w:vAlign w:val="center"/>
          </w:tcPr>
          <w:p>
            <w:pPr>
              <w:pStyle w:val="11"/>
            </w:pPr>
            <w:r>
              <w:t>26.79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3700" w:type="dxa"/>
            <w:vAlign w:val="center"/>
          </w:tcPr>
          <w:p>
            <w:pPr>
              <w:pStyle w:val="12"/>
            </w:pPr>
            <w:r>
              <w:t>住房改革支出</w:t>
            </w:r>
          </w:p>
        </w:tc>
        <w:tc>
          <w:tcPr>
            <w:tcW w:w="992" w:type="dxa"/>
            <w:vAlign w:val="center"/>
          </w:tcPr>
          <w:p>
            <w:pPr>
              <w:pStyle w:val="11"/>
            </w:pPr>
            <w:r>
              <w:t>26.79</w:t>
            </w:r>
          </w:p>
        </w:tc>
        <w:tc>
          <w:tcPr>
            <w:tcW w:w="993" w:type="dxa"/>
            <w:vAlign w:val="center"/>
          </w:tcPr>
          <w:p>
            <w:pPr>
              <w:pStyle w:val="11"/>
            </w:pPr>
            <w:r>
              <w:t>26.79</w:t>
            </w:r>
          </w:p>
        </w:tc>
        <w:tc>
          <w:tcPr>
            <w:tcW w:w="992" w:type="dxa"/>
            <w:vAlign w:val="center"/>
          </w:tcPr>
          <w:p>
            <w:pPr>
              <w:pStyle w:val="11"/>
            </w:pPr>
            <w:r>
              <w:t>26.79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3700" w:type="dxa"/>
            <w:vAlign w:val="center"/>
          </w:tcPr>
          <w:p>
            <w:pPr>
              <w:pStyle w:val="12"/>
            </w:pPr>
            <w:r>
              <w:t>住房公积金</w:t>
            </w:r>
          </w:p>
        </w:tc>
        <w:tc>
          <w:tcPr>
            <w:tcW w:w="992" w:type="dxa"/>
            <w:vAlign w:val="center"/>
          </w:tcPr>
          <w:p>
            <w:pPr>
              <w:pStyle w:val="11"/>
            </w:pPr>
            <w:r>
              <w:t>26.79</w:t>
            </w:r>
          </w:p>
        </w:tc>
        <w:tc>
          <w:tcPr>
            <w:tcW w:w="993" w:type="dxa"/>
            <w:vAlign w:val="center"/>
          </w:tcPr>
          <w:p>
            <w:pPr>
              <w:pStyle w:val="11"/>
            </w:pPr>
            <w:r>
              <w:t>26.79</w:t>
            </w:r>
          </w:p>
        </w:tc>
        <w:tc>
          <w:tcPr>
            <w:tcW w:w="992" w:type="dxa"/>
            <w:vAlign w:val="center"/>
          </w:tcPr>
          <w:p>
            <w:pPr>
              <w:pStyle w:val="11"/>
            </w:pPr>
            <w:r>
              <w:t>26.79</w:t>
            </w:r>
          </w:p>
        </w:tc>
        <w:tc>
          <w:tcPr>
            <w:tcW w:w="709" w:type="dxa"/>
            <w:vAlign w:val="center"/>
          </w:tcPr>
          <w:p>
            <w:pPr>
              <w:pStyle w:val="11"/>
            </w:pPr>
          </w:p>
        </w:tc>
        <w:tc>
          <w:tcPr>
            <w:tcW w:w="708" w:type="dxa"/>
            <w:vAlign w:val="center"/>
          </w:tcPr>
          <w:p>
            <w:pPr>
              <w:pStyle w:val="11"/>
            </w:pPr>
          </w:p>
        </w:tc>
        <w:tc>
          <w:tcPr>
            <w:tcW w:w="709" w:type="dxa"/>
            <w:vAlign w:val="center"/>
          </w:tcPr>
          <w:p>
            <w:pPr>
              <w:pStyle w:val="11"/>
            </w:pPr>
          </w:p>
        </w:tc>
        <w:tc>
          <w:tcPr>
            <w:tcW w:w="694" w:type="dxa"/>
            <w:vAlign w:val="center"/>
          </w:tcPr>
          <w:p>
            <w:pPr>
              <w:pStyle w:val="11"/>
            </w:pPr>
          </w:p>
        </w:tc>
        <w:tc>
          <w:tcPr>
            <w:tcW w:w="1134" w:type="dxa"/>
            <w:vAlign w:val="center"/>
          </w:tcPr>
          <w:p>
            <w:pPr>
              <w:pStyle w:val="11"/>
            </w:pPr>
          </w:p>
        </w:tc>
        <w:tc>
          <w:tcPr>
            <w:tcW w:w="1134" w:type="dxa"/>
            <w:vAlign w:val="center"/>
          </w:tcPr>
          <w:p>
            <w:pPr>
              <w:pStyle w:val="11"/>
            </w:pPr>
          </w:p>
        </w:tc>
        <w:tc>
          <w:tcPr>
            <w:tcW w:w="1617"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1537.33</w:t>
            </w:r>
          </w:p>
        </w:tc>
        <w:tc>
          <w:tcPr>
            <w:tcW w:w="1361" w:type="dxa"/>
            <w:vAlign w:val="center"/>
          </w:tcPr>
          <w:p>
            <w:pPr>
              <w:pStyle w:val="15"/>
            </w:pPr>
            <w:r>
              <w:t>1233.33</w:t>
            </w:r>
          </w:p>
        </w:tc>
        <w:tc>
          <w:tcPr>
            <w:tcW w:w="1361" w:type="dxa"/>
            <w:vAlign w:val="center"/>
          </w:tcPr>
          <w:p>
            <w:pPr>
              <w:pStyle w:val="15"/>
            </w:pPr>
            <w:r>
              <w:t>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995.21</w:t>
            </w:r>
          </w:p>
        </w:tc>
        <w:tc>
          <w:tcPr>
            <w:tcW w:w="1361" w:type="dxa"/>
            <w:vAlign w:val="center"/>
          </w:tcPr>
          <w:p>
            <w:pPr>
              <w:pStyle w:val="11"/>
            </w:pPr>
            <w:r>
              <w:t>960.21</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986.21</w:t>
            </w:r>
          </w:p>
        </w:tc>
        <w:tc>
          <w:tcPr>
            <w:tcW w:w="1361" w:type="dxa"/>
            <w:vAlign w:val="center"/>
          </w:tcPr>
          <w:p>
            <w:pPr>
              <w:pStyle w:val="11"/>
            </w:pPr>
            <w:r>
              <w:t>960.21</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960.21</w:t>
            </w:r>
          </w:p>
        </w:tc>
        <w:tc>
          <w:tcPr>
            <w:tcW w:w="1361" w:type="dxa"/>
            <w:vAlign w:val="center"/>
          </w:tcPr>
          <w:p>
            <w:pPr>
              <w:pStyle w:val="11"/>
            </w:pPr>
            <w:r>
              <w:t>960.21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455.04</w:t>
            </w:r>
          </w:p>
        </w:tc>
        <w:tc>
          <w:tcPr>
            <w:tcW w:w="1361" w:type="dxa"/>
            <w:vAlign w:val="center"/>
          </w:tcPr>
          <w:p>
            <w:pPr>
              <w:pStyle w:val="11"/>
            </w:pPr>
            <w:r>
              <w:t>187.04</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187.04</w:t>
            </w:r>
          </w:p>
        </w:tc>
        <w:tc>
          <w:tcPr>
            <w:tcW w:w="1361" w:type="dxa"/>
            <w:vAlign w:val="center"/>
          </w:tcPr>
          <w:p>
            <w:pPr>
              <w:pStyle w:val="11"/>
            </w:pPr>
            <w:r>
              <w:t>187.04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138.42</w:t>
            </w:r>
          </w:p>
        </w:tc>
        <w:tc>
          <w:tcPr>
            <w:tcW w:w="1361" w:type="dxa"/>
            <w:vAlign w:val="center"/>
          </w:tcPr>
          <w:p>
            <w:pPr>
              <w:pStyle w:val="11"/>
            </w:pPr>
            <w:r>
              <w:t>138.42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48.62</w:t>
            </w:r>
          </w:p>
        </w:tc>
        <w:tc>
          <w:tcPr>
            <w:tcW w:w="1361" w:type="dxa"/>
            <w:vAlign w:val="center"/>
          </w:tcPr>
          <w:p>
            <w:pPr>
              <w:pStyle w:val="11"/>
            </w:pPr>
            <w:r>
              <w:t>48.62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59.29</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59.29</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20.86</w:t>
            </w:r>
          </w:p>
        </w:tc>
        <w:tc>
          <w:tcPr>
            <w:tcW w:w="1361" w:type="dxa"/>
            <w:vAlign w:val="center"/>
          </w:tcPr>
          <w:p>
            <w:pPr>
              <w:pStyle w:val="11"/>
            </w:pPr>
            <w:r>
              <w:t>20.86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38.43</w:t>
            </w:r>
          </w:p>
        </w:tc>
        <w:tc>
          <w:tcPr>
            <w:tcW w:w="1361" w:type="dxa"/>
            <w:vAlign w:val="center"/>
          </w:tcPr>
          <w:p>
            <w:pPr>
              <w:pStyle w:val="11"/>
            </w:pPr>
            <w:r>
              <w:t>38.43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1537.33</w:t>
            </w:r>
          </w:p>
        </w:tc>
        <w:tc>
          <w:tcPr>
            <w:tcW w:w="3402" w:type="dxa"/>
            <w:vAlign w:val="center"/>
          </w:tcPr>
          <w:p>
            <w:pPr>
              <w:pStyle w:val="12"/>
            </w:pPr>
            <w:r>
              <w:t>一、一般公共服务支出</w:t>
            </w:r>
          </w:p>
        </w:tc>
        <w:tc>
          <w:tcPr>
            <w:tcW w:w="1474" w:type="dxa"/>
            <w:vAlign w:val="center"/>
          </w:tcPr>
          <w:p>
            <w:pPr>
              <w:pStyle w:val="11"/>
            </w:pPr>
            <w:r>
              <w:t>995.21</w:t>
            </w:r>
          </w:p>
        </w:tc>
        <w:tc>
          <w:tcPr>
            <w:tcW w:w="1474" w:type="dxa"/>
            <w:vAlign w:val="center"/>
          </w:tcPr>
          <w:p>
            <w:pPr>
              <w:pStyle w:val="11"/>
            </w:pPr>
            <w:r>
              <w:t>995.21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455.04</w:t>
            </w:r>
          </w:p>
        </w:tc>
        <w:tc>
          <w:tcPr>
            <w:tcW w:w="1474" w:type="dxa"/>
            <w:vAlign w:val="center"/>
          </w:tcPr>
          <w:p>
            <w:pPr>
              <w:pStyle w:val="11"/>
            </w:pPr>
            <w:r>
              <w:t>455.04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59.29</w:t>
            </w:r>
          </w:p>
        </w:tc>
        <w:tc>
          <w:tcPr>
            <w:tcW w:w="1474" w:type="dxa"/>
            <w:vAlign w:val="center"/>
          </w:tcPr>
          <w:p>
            <w:pPr>
              <w:pStyle w:val="11"/>
            </w:pPr>
            <w:r>
              <w:t>59.29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26.79</w:t>
            </w:r>
          </w:p>
        </w:tc>
        <w:tc>
          <w:tcPr>
            <w:tcW w:w="1474" w:type="dxa"/>
            <w:vAlign w:val="center"/>
          </w:tcPr>
          <w:p>
            <w:pPr>
              <w:pStyle w:val="11"/>
            </w:pPr>
            <w:r>
              <w:t>26.79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1537.33</w:t>
            </w:r>
          </w:p>
        </w:tc>
        <w:tc>
          <w:tcPr>
            <w:tcW w:w="3402" w:type="dxa"/>
            <w:vAlign w:val="center"/>
          </w:tcPr>
          <w:p>
            <w:pPr>
              <w:pStyle w:val="14"/>
            </w:pPr>
            <w:r>
              <w:t>本年支出合计</w:t>
            </w:r>
          </w:p>
        </w:tc>
        <w:tc>
          <w:tcPr>
            <w:tcW w:w="1474" w:type="dxa"/>
            <w:vAlign w:val="center"/>
          </w:tcPr>
          <w:p>
            <w:pPr>
              <w:pStyle w:val="15"/>
            </w:pPr>
            <w:r>
              <w:t>1537.33</w:t>
            </w:r>
          </w:p>
        </w:tc>
        <w:tc>
          <w:tcPr>
            <w:tcW w:w="1474" w:type="dxa"/>
            <w:vAlign w:val="center"/>
          </w:tcPr>
          <w:p>
            <w:pPr>
              <w:pStyle w:val="15"/>
            </w:pPr>
            <w:r>
              <w:t>1537.33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1537.33</w:t>
            </w:r>
          </w:p>
        </w:tc>
        <w:tc>
          <w:tcPr>
            <w:tcW w:w="3402" w:type="dxa"/>
            <w:vAlign w:val="center"/>
          </w:tcPr>
          <w:p>
            <w:pPr>
              <w:pStyle w:val="14"/>
            </w:pPr>
            <w:r>
              <w:t>支出总计</w:t>
            </w:r>
          </w:p>
        </w:tc>
        <w:tc>
          <w:tcPr>
            <w:tcW w:w="1474" w:type="dxa"/>
            <w:vAlign w:val="center"/>
          </w:tcPr>
          <w:p>
            <w:pPr>
              <w:pStyle w:val="15"/>
            </w:pPr>
            <w:r>
              <w:t>1537.33</w:t>
            </w:r>
          </w:p>
        </w:tc>
        <w:tc>
          <w:tcPr>
            <w:tcW w:w="1474" w:type="dxa"/>
            <w:vAlign w:val="center"/>
          </w:tcPr>
          <w:p>
            <w:pPr>
              <w:pStyle w:val="15"/>
            </w:pPr>
            <w:r>
              <w:t>1537.33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1537.33</w:t>
            </w:r>
          </w:p>
        </w:tc>
        <w:tc>
          <w:tcPr>
            <w:tcW w:w="2551" w:type="dxa"/>
            <w:vAlign w:val="center"/>
          </w:tcPr>
          <w:p>
            <w:pPr>
              <w:pStyle w:val="15"/>
            </w:pPr>
            <w:r>
              <w:t>1233.33</w:t>
            </w:r>
          </w:p>
        </w:tc>
        <w:tc>
          <w:tcPr>
            <w:tcW w:w="2551" w:type="dxa"/>
            <w:vAlign w:val="center"/>
          </w:tcPr>
          <w:p>
            <w:pPr>
              <w:pStyle w:val="15"/>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995.21</w:t>
            </w:r>
          </w:p>
        </w:tc>
        <w:tc>
          <w:tcPr>
            <w:tcW w:w="2551" w:type="dxa"/>
            <w:vAlign w:val="center"/>
          </w:tcPr>
          <w:p>
            <w:pPr>
              <w:pStyle w:val="11"/>
            </w:pPr>
            <w:r>
              <w:t>960.21</w:t>
            </w: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986.21</w:t>
            </w:r>
          </w:p>
        </w:tc>
        <w:tc>
          <w:tcPr>
            <w:tcW w:w="2551" w:type="dxa"/>
            <w:vAlign w:val="center"/>
          </w:tcPr>
          <w:p>
            <w:pPr>
              <w:pStyle w:val="11"/>
            </w:pPr>
            <w:r>
              <w:t>960.21</w:t>
            </w: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960.21</w:t>
            </w:r>
          </w:p>
        </w:tc>
        <w:tc>
          <w:tcPr>
            <w:tcW w:w="2551" w:type="dxa"/>
            <w:vAlign w:val="center"/>
          </w:tcPr>
          <w:p>
            <w:pPr>
              <w:pStyle w:val="11"/>
            </w:pPr>
            <w:r>
              <w:t>960.21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455.04</w:t>
            </w:r>
          </w:p>
        </w:tc>
        <w:tc>
          <w:tcPr>
            <w:tcW w:w="2551" w:type="dxa"/>
            <w:vAlign w:val="center"/>
          </w:tcPr>
          <w:p>
            <w:pPr>
              <w:pStyle w:val="11"/>
            </w:pPr>
            <w:r>
              <w:t>187.04</w:t>
            </w: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268.00</w:t>
            </w:r>
          </w:p>
        </w:tc>
        <w:tc>
          <w:tcPr>
            <w:tcW w:w="2551" w:type="dxa"/>
            <w:vAlign w:val="center"/>
          </w:tcPr>
          <w:p>
            <w:pPr>
              <w:pStyle w:val="11"/>
            </w:pP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268.00</w:t>
            </w:r>
          </w:p>
        </w:tc>
        <w:tc>
          <w:tcPr>
            <w:tcW w:w="2551" w:type="dxa"/>
            <w:vAlign w:val="center"/>
          </w:tcPr>
          <w:p>
            <w:pPr>
              <w:pStyle w:val="11"/>
            </w:pP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187.04</w:t>
            </w:r>
          </w:p>
        </w:tc>
        <w:tc>
          <w:tcPr>
            <w:tcW w:w="2551" w:type="dxa"/>
            <w:vAlign w:val="center"/>
          </w:tcPr>
          <w:p>
            <w:pPr>
              <w:pStyle w:val="11"/>
            </w:pPr>
            <w:r>
              <w:t>187.04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138.42</w:t>
            </w:r>
          </w:p>
        </w:tc>
        <w:tc>
          <w:tcPr>
            <w:tcW w:w="2551" w:type="dxa"/>
            <w:vAlign w:val="center"/>
          </w:tcPr>
          <w:p>
            <w:pPr>
              <w:pStyle w:val="11"/>
            </w:pPr>
            <w:r>
              <w:t>138.42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48.62</w:t>
            </w:r>
          </w:p>
        </w:tc>
        <w:tc>
          <w:tcPr>
            <w:tcW w:w="2551" w:type="dxa"/>
            <w:vAlign w:val="center"/>
          </w:tcPr>
          <w:p>
            <w:pPr>
              <w:pStyle w:val="11"/>
            </w:pPr>
            <w:r>
              <w:t>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59.29</w:t>
            </w:r>
          </w:p>
        </w:tc>
        <w:tc>
          <w:tcPr>
            <w:tcW w:w="2551" w:type="dxa"/>
            <w:vAlign w:val="center"/>
          </w:tcPr>
          <w:p>
            <w:pPr>
              <w:pStyle w:val="11"/>
            </w:pPr>
            <w:r>
              <w:t>59.29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59.29</w:t>
            </w:r>
          </w:p>
        </w:tc>
        <w:tc>
          <w:tcPr>
            <w:tcW w:w="2551" w:type="dxa"/>
            <w:vAlign w:val="center"/>
          </w:tcPr>
          <w:p>
            <w:pPr>
              <w:pStyle w:val="11"/>
            </w:pPr>
            <w:r>
              <w:t>59.29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20.86</w:t>
            </w:r>
          </w:p>
        </w:tc>
        <w:tc>
          <w:tcPr>
            <w:tcW w:w="2551" w:type="dxa"/>
            <w:vAlign w:val="center"/>
          </w:tcPr>
          <w:p>
            <w:pPr>
              <w:pStyle w:val="11"/>
            </w:pPr>
            <w:r>
              <w:t>20.86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38.43</w:t>
            </w:r>
          </w:p>
        </w:tc>
        <w:tc>
          <w:tcPr>
            <w:tcW w:w="2551" w:type="dxa"/>
            <w:vAlign w:val="center"/>
          </w:tcPr>
          <w:p>
            <w:pPr>
              <w:pStyle w:val="11"/>
            </w:pPr>
            <w:r>
              <w:t>38.43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1233.33</w:t>
            </w:r>
          </w:p>
        </w:tc>
        <w:tc>
          <w:tcPr>
            <w:tcW w:w="2551" w:type="dxa"/>
            <w:vAlign w:val="center"/>
          </w:tcPr>
          <w:p>
            <w:pPr>
              <w:pStyle w:val="15"/>
            </w:pPr>
            <w:r>
              <w:t>1172.04</w:t>
            </w:r>
          </w:p>
        </w:tc>
        <w:tc>
          <w:tcPr>
            <w:tcW w:w="2551" w:type="dxa"/>
            <w:vAlign w:val="center"/>
          </w:tcPr>
          <w:p>
            <w:pPr>
              <w:pStyle w:val="15"/>
            </w:pPr>
            <w:r>
              <w:t>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1035.04</w:t>
            </w:r>
          </w:p>
        </w:tc>
        <w:tc>
          <w:tcPr>
            <w:tcW w:w="2551" w:type="dxa"/>
            <w:vAlign w:val="center"/>
          </w:tcPr>
          <w:p>
            <w:pPr>
              <w:pStyle w:val="11"/>
            </w:pPr>
            <w:r>
              <w:t>1035.04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126.97</w:t>
            </w:r>
          </w:p>
        </w:tc>
        <w:tc>
          <w:tcPr>
            <w:tcW w:w="2551" w:type="dxa"/>
            <w:vAlign w:val="center"/>
          </w:tcPr>
          <w:p>
            <w:pPr>
              <w:pStyle w:val="11"/>
            </w:pPr>
            <w:r>
              <w:t>126.97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84.53</w:t>
            </w:r>
          </w:p>
        </w:tc>
        <w:tc>
          <w:tcPr>
            <w:tcW w:w="2551" w:type="dxa"/>
            <w:vAlign w:val="center"/>
          </w:tcPr>
          <w:p>
            <w:pPr>
              <w:pStyle w:val="11"/>
            </w:pPr>
            <w:r>
              <w:t>84.53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71.98</w:t>
            </w:r>
          </w:p>
        </w:tc>
        <w:tc>
          <w:tcPr>
            <w:tcW w:w="2551" w:type="dxa"/>
            <w:vAlign w:val="center"/>
          </w:tcPr>
          <w:p>
            <w:pPr>
              <w:pStyle w:val="11"/>
            </w:pPr>
            <w:r>
              <w:t>71.98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52.11</w:t>
            </w:r>
          </w:p>
        </w:tc>
        <w:tc>
          <w:tcPr>
            <w:tcW w:w="2551" w:type="dxa"/>
            <w:vAlign w:val="center"/>
          </w:tcPr>
          <w:p>
            <w:pPr>
              <w:pStyle w:val="11"/>
            </w:pPr>
            <w:r>
              <w:t>52.11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48.62</w:t>
            </w:r>
          </w:p>
        </w:tc>
        <w:tc>
          <w:tcPr>
            <w:tcW w:w="2551" w:type="dxa"/>
            <w:vAlign w:val="center"/>
          </w:tcPr>
          <w:p>
            <w:pPr>
              <w:pStyle w:val="11"/>
            </w:pPr>
            <w:r>
              <w:t>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20.86</w:t>
            </w:r>
          </w:p>
        </w:tc>
        <w:tc>
          <w:tcPr>
            <w:tcW w:w="2551" w:type="dxa"/>
            <w:vAlign w:val="center"/>
          </w:tcPr>
          <w:p>
            <w:pPr>
              <w:pStyle w:val="11"/>
            </w:pPr>
            <w:r>
              <w:t>20.86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38.43</w:t>
            </w:r>
          </w:p>
        </w:tc>
        <w:tc>
          <w:tcPr>
            <w:tcW w:w="2551" w:type="dxa"/>
            <w:vAlign w:val="center"/>
          </w:tcPr>
          <w:p>
            <w:pPr>
              <w:pStyle w:val="11"/>
            </w:pPr>
            <w:r>
              <w:t>38.43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561.17</w:t>
            </w:r>
          </w:p>
        </w:tc>
        <w:tc>
          <w:tcPr>
            <w:tcW w:w="2551" w:type="dxa"/>
            <w:vAlign w:val="center"/>
          </w:tcPr>
          <w:p>
            <w:pPr>
              <w:pStyle w:val="11"/>
            </w:pPr>
            <w:r>
              <w:t>561.17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61.29</w:t>
            </w:r>
          </w:p>
        </w:tc>
        <w:tc>
          <w:tcPr>
            <w:tcW w:w="2551" w:type="dxa"/>
            <w:vAlign w:val="center"/>
          </w:tcPr>
          <w:p>
            <w:pPr>
              <w:pStyle w:val="11"/>
              <w:rPr>
                <w:lang w:eastAsia="zh-CN"/>
              </w:rPr>
            </w:pPr>
          </w:p>
        </w:tc>
        <w:tc>
          <w:tcPr>
            <w:tcW w:w="2551" w:type="dxa"/>
            <w:vAlign w:val="center"/>
          </w:tcPr>
          <w:p>
            <w:pPr>
              <w:pStyle w:val="11"/>
            </w:pPr>
            <w:r>
              <w:t>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w:t>
            </w:r>
          </w:p>
        </w:tc>
        <w:tc>
          <w:tcPr>
            <w:tcW w:w="2551" w:type="dxa"/>
            <w:vAlign w:val="center"/>
          </w:tcPr>
          <w:p>
            <w:pPr>
              <w:pStyle w:val="11"/>
            </w:pPr>
          </w:p>
        </w:tc>
        <w:tc>
          <w:tcPr>
            <w:tcW w:w="2551"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9.36</w:t>
            </w:r>
          </w:p>
        </w:tc>
        <w:tc>
          <w:tcPr>
            <w:tcW w:w="2551" w:type="dxa"/>
            <w:vAlign w:val="center"/>
          </w:tcPr>
          <w:p>
            <w:pPr>
              <w:pStyle w:val="11"/>
            </w:pPr>
          </w:p>
        </w:tc>
        <w:tc>
          <w:tcPr>
            <w:tcW w:w="2551" w:type="dxa"/>
            <w:vAlign w:val="center"/>
          </w:tcPr>
          <w:p>
            <w:pPr>
              <w:pStyle w:val="11"/>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7.77</w:t>
            </w:r>
          </w:p>
        </w:tc>
        <w:tc>
          <w:tcPr>
            <w:tcW w:w="2551" w:type="dxa"/>
            <w:vAlign w:val="center"/>
          </w:tcPr>
          <w:p>
            <w:pPr>
              <w:pStyle w:val="11"/>
            </w:pPr>
          </w:p>
        </w:tc>
        <w:tc>
          <w:tcPr>
            <w:tcW w:w="2551" w:type="dxa"/>
            <w:vAlign w:val="center"/>
          </w:tcPr>
          <w:p>
            <w:pPr>
              <w:pStyle w:val="11"/>
            </w:pPr>
            <w:r>
              <w:t>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9.68</w:t>
            </w:r>
          </w:p>
        </w:tc>
        <w:tc>
          <w:tcPr>
            <w:tcW w:w="2551" w:type="dxa"/>
            <w:vAlign w:val="center"/>
          </w:tcPr>
          <w:p>
            <w:pPr>
              <w:pStyle w:val="11"/>
            </w:pPr>
          </w:p>
        </w:tc>
        <w:tc>
          <w:tcPr>
            <w:tcW w:w="2551" w:type="dxa"/>
            <w:vAlign w:val="center"/>
          </w:tcPr>
          <w:p>
            <w:pPr>
              <w:pStyle w:val="11"/>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10.26</w:t>
            </w:r>
          </w:p>
        </w:tc>
        <w:tc>
          <w:tcPr>
            <w:tcW w:w="2551" w:type="dxa"/>
            <w:vAlign w:val="center"/>
          </w:tcPr>
          <w:p>
            <w:pPr>
              <w:pStyle w:val="11"/>
            </w:pPr>
          </w:p>
        </w:tc>
        <w:tc>
          <w:tcPr>
            <w:tcW w:w="2551" w:type="dxa"/>
            <w:vAlign w:val="center"/>
          </w:tcPr>
          <w:p>
            <w:pPr>
              <w:pStyle w:val="11"/>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137.00</w:t>
            </w:r>
          </w:p>
        </w:tc>
        <w:tc>
          <w:tcPr>
            <w:tcW w:w="2551" w:type="dxa"/>
            <w:vAlign w:val="center"/>
          </w:tcPr>
          <w:p>
            <w:pPr>
              <w:pStyle w:val="11"/>
            </w:pPr>
            <w:r>
              <w:t>137.00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135.97</w:t>
            </w:r>
          </w:p>
        </w:tc>
        <w:tc>
          <w:tcPr>
            <w:tcW w:w="2551" w:type="dxa"/>
            <w:vAlign w:val="center"/>
          </w:tcPr>
          <w:p>
            <w:pPr>
              <w:pStyle w:val="11"/>
            </w:pPr>
            <w:r>
              <w:t>135.97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rPr>
                <w:rFonts w:hint="eastAsia"/>
              </w:rPr>
              <w:t>一、</w:t>
            </w:r>
          </w:p>
        </w:tc>
        <w:tc>
          <w:tcPr>
            <w:tcW w:w="3798" w:type="dxa"/>
          </w:tcPr>
          <w:p>
            <w:pPr>
              <w:pStyle w:val="12"/>
              <w:rPr>
                <w:rFonts w:ascii="Calibri" w:hAnsi="Calibri" w:eastAsia="宋体" w:cs="Calibri"/>
                <w:color w:val="000000"/>
                <w:sz w:val="22"/>
                <w:szCs w:val="22"/>
              </w:rPr>
            </w:pPr>
            <w:r>
              <w:rPr>
                <w:rFonts w:hint="eastAsia"/>
              </w:rPr>
              <w:t>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hint="eastAsia"/>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rPr>
                <w:rFonts w:hint="eastAsia"/>
              </w:rPr>
              <w:t>二、</w:t>
            </w:r>
          </w:p>
        </w:tc>
        <w:tc>
          <w:tcPr>
            <w:tcW w:w="3798" w:type="dxa"/>
          </w:tcPr>
          <w:p>
            <w:pPr>
              <w:pStyle w:val="12"/>
            </w:pPr>
            <w:r>
              <w:rPr>
                <w:rFonts w:hint="eastAsia"/>
              </w:rPr>
              <w:t>公务用车购置及运维费</w:t>
            </w:r>
          </w:p>
        </w:tc>
        <w:tc>
          <w:tcPr>
            <w:tcW w:w="2382" w:type="dxa"/>
          </w:tcPr>
          <w:p>
            <w:pPr>
              <w:pStyle w:val="11"/>
            </w:pPr>
            <w:r>
              <w:t>2.250000</w:t>
            </w:r>
          </w:p>
        </w:tc>
        <w:tc>
          <w:tcPr>
            <w:tcW w:w="2381" w:type="dxa"/>
          </w:tcPr>
          <w:p>
            <w:pPr>
              <w:pStyle w:val="11"/>
            </w:pPr>
            <w:r>
              <w:t>2.250000</w:t>
            </w:r>
          </w:p>
        </w:tc>
        <w:tc>
          <w:tcPr>
            <w:tcW w:w="2381" w:type="dxa"/>
          </w:tcPr>
          <w:p>
            <w:pPr>
              <w:jc w:val="right"/>
              <w:rPr>
                <w:rFonts w:ascii="Calibri" w:hAnsi="Calibri" w:eastAsia="宋体" w:cs="Calibri"/>
                <w:color w:val="000000"/>
                <w:sz w:val="22"/>
                <w:szCs w:val="22"/>
              </w:rPr>
            </w:pP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公务用车运行维护费</w:t>
            </w:r>
          </w:p>
        </w:tc>
        <w:tc>
          <w:tcPr>
            <w:tcW w:w="2382" w:type="dxa"/>
          </w:tcPr>
          <w:p>
            <w:pPr>
              <w:pStyle w:val="11"/>
            </w:pPr>
            <w:r>
              <w:t>2.250000</w:t>
            </w:r>
          </w:p>
        </w:tc>
        <w:tc>
          <w:tcPr>
            <w:tcW w:w="2381" w:type="dxa"/>
          </w:tcPr>
          <w:p>
            <w:pPr>
              <w:pStyle w:val="11"/>
            </w:pPr>
            <w:r>
              <w:t>2.250000</w:t>
            </w:r>
          </w:p>
        </w:tc>
        <w:tc>
          <w:tcPr>
            <w:tcW w:w="2381" w:type="dxa"/>
          </w:tcPr>
          <w:p>
            <w:pPr>
              <w:jc w:val="right"/>
              <w:rPr>
                <w:rFonts w:ascii="Calibri" w:hAnsi="Calibri" w:eastAsia="宋体" w:cs="Calibri"/>
                <w:color w:val="000000"/>
                <w:sz w:val="22"/>
                <w:szCs w:val="22"/>
              </w:rPr>
            </w:pP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t>三、</w:t>
            </w:r>
          </w:p>
        </w:tc>
        <w:tc>
          <w:tcPr>
            <w:tcW w:w="3798" w:type="dxa"/>
            <w:vAlign w:val="center"/>
          </w:tcPr>
          <w:tbl>
            <w:tblPr>
              <w:tblStyle w:val="4"/>
              <w:tblW w:w="10760" w:type="dxa"/>
              <w:tblInd w:w="0" w:type="dxa"/>
              <w:tblLayout w:type="fixed"/>
              <w:tblCellMar>
                <w:top w:w="0" w:type="dxa"/>
                <w:left w:w="108" w:type="dxa"/>
                <w:bottom w:w="0" w:type="dxa"/>
                <w:right w:w="108" w:type="dxa"/>
              </w:tblCellMar>
            </w:tblPr>
            <w:tblGrid>
              <w:gridCol w:w="2160"/>
              <w:gridCol w:w="1720"/>
              <w:gridCol w:w="1720"/>
              <w:gridCol w:w="1720"/>
              <w:gridCol w:w="1720"/>
              <w:gridCol w:w="1720"/>
            </w:tblGrid>
            <w:tr>
              <w:tblPrEx>
                <w:tblCellMar>
                  <w:top w:w="0" w:type="dxa"/>
                  <w:left w:w="108" w:type="dxa"/>
                  <w:bottom w:w="0" w:type="dxa"/>
                  <w:right w:w="108" w:type="dxa"/>
                </w:tblCellMar>
              </w:tblPrEx>
              <w:trPr>
                <w:trHeight w:val="330" w:hRule="atLeast"/>
              </w:trPr>
              <w:tc>
                <w:tcPr>
                  <w:tcW w:w="2160" w:type="dxa"/>
                  <w:tcBorders>
                    <w:top w:val="nil"/>
                    <w:left w:val="nil"/>
                    <w:bottom w:val="nil"/>
                    <w:right w:val="nil"/>
                  </w:tcBorders>
                  <w:shd w:val="clear" w:color="auto" w:fill="auto"/>
                  <w:noWrap/>
                </w:tcPr>
                <w:p>
                  <w:pPr>
                    <w:pStyle w:val="12"/>
                    <w:rPr>
                      <w:rFonts w:ascii="Calibri" w:hAnsi="Calibri" w:eastAsia="宋体" w:cs="Calibri"/>
                      <w:color w:val="000000"/>
                      <w:sz w:val="22"/>
                      <w:szCs w:val="22"/>
                      <w:lang w:eastAsia="zh-CN"/>
                    </w:rPr>
                  </w:pPr>
                  <w:r>
                    <w:t>公务接待费</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r>
          </w:tbl>
          <w:p>
            <w:pPr>
              <w:pStyle w:val="12"/>
            </w:pPr>
          </w:p>
        </w:tc>
        <w:tc>
          <w:tcPr>
            <w:tcW w:w="2382" w:type="dxa"/>
            <w:vAlign w:val="center"/>
          </w:tcPr>
          <w:p>
            <w:pPr>
              <w:pStyle w:val="11"/>
            </w:pPr>
            <w:r>
              <w:t>0.42000</w:t>
            </w:r>
          </w:p>
        </w:tc>
        <w:tc>
          <w:tcPr>
            <w:tcW w:w="2381" w:type="dxa"/>
            <w:vAlign w:val="center"/>
          </w:tcPr>
          <w:p>
            <w:pPr>
              <w:pStyle w:val="11"/>
            </w:pPr>
            <w:r>
              <w:t>0.42000</w:t>
            </w:r>
          </w:p>
        </w:tc>
        <w:tc>
          <w:tcPr>
            <w:tcW w:w="2381" w:type="dxa"/>
            <w:vAlign w:val="center"/>
          </w:tcPr>
          <w:p>
            <w:pPr>
              <w:pStyle w:val="12"/>
            </w:pPr>
          </w:p>
        </w:tc>
        <w:tc>
          <w:tcPr>
            <w:tcW w:w="2381" w:type="dxa"/>
            <w:vAlign w:val="center"/>
          </w:tcPr>
          <w:p>
            <w:pPr>
              <w:pStyle w:val="11"/>
            </w:pPr>
          </w:p>
        </w:tc>
      </w:tr>
    </w:tbl>
    <w:p>
      <w:pPr>
        <w:pStyle w:val="11"/>
        <w:sectPr>
          <w:pgSz w:w="16840" w:h="11900" w:orient="landscape"/>
          <w:pgMar w:top="1361" w:right="1020" w:bottom="1361" w:left="1020" w:header="720" w:footer="720" w:gutter="0"/>
          <w:cols w:space="720" w:num="1"/>
        </w:sectPr>
      </w:pPr>
      <w:r>
        <w:rPr>
          <w:color w:val="FFFFFF"/>
        </w:rPr>
        <w:t>第一部分  秦皇岛市海港区人民政府文化路街道办事处2023</w:t>
      </w:r>
    </w:p>
    <w:p>
      <w:pPr>
        <w:jc w:val="center"/>
      </w:pPr>
      <w:r>
        <w:rPr>
          <w:rFonts w:ascii="方正小标宋_GBK" w:hAnsi="方正小标宋_GBK" w:eastAsia="方正小标宋_GBK" w:cs="方正小标宋_GBK"/>
          <w:color w:val="000000"/>
          <w:sz w:val="44"/>
        </w:rPr>
        <w:t>秦皇岛市海港区人民政府文化路街道办事处2023年部门预算信息公开情况</w:t>
      </w:r>
      <w:r>
        <w:rPr>
          <w:rFonts w:hint="eastAsia" w:ascii="方正小标宋_GBK" w:hAnsi="方正小标宋_GBK" w:eastAsia="方正小标宋_GBK" w:cs="方正小标宋_GBK"/>
          <w:color w:val="000000"/>
          <w:sz w:val="44"/>
          <w:lang w:eastAsia="zh-CN"/>
        </w:rPr>
        <w:t xml:space="preserve"> </w:t>
      </w:r>
      <w:r>
        <w:rPr>
          <w:rFonts w:ascii="方正小标宋_GBK" w:hAnsi="方正小标宋_GBK" w:eastAsia="方正小标宋_GBK" w:cs="方正小标宋_GBK"/>
          <w:color w:val="000000"/>
          <w:sz w:val="44"/>
        </w:rPr>
        <w:t>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、《地方预决算公开操作规程》和《关于进一步推进预算公开工作的实施意见》规定，现将秦皇岛市海港区人民政府文化路街道办事处2023年部门预算公开如下：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党建工作:宣传贯彻党的路线、方针、政策和执行党中央、上级党组织和本级党组织的决议，团结、组织党内外的干部、群众，努力完成本单位所担负的任务。负责街道党工委自身建设和基层党组织建设，以及其他隶属街道党工委的党组织建设。负责联系街道辖区内的人民代表大会代表，组织代表开展活动，反映代表的群众的建议、批评和意见。负责机构编制工作。负责离退休干部管理工作。负责党建联席会议日常工作。做好区域化党建服务、新时代文明实践服务、志愿服务、综合文化服务等工作。做好民族事务工作。负责人大、政协工作，以及工会、共青团、妇联等工作。</w:t>
      </w:r>
    </w:p>
    <w:p>
      <w:pPr>
        <w:pStyle w:val="17"/>
      </w:pPr>
      <w:r>
        <w:t>党政综:合负责公文运转、保密机要、人事管理、后勤保障、档案管理、信息、会务、党务政务公开、信息化、财务管理、内部审计、国资管理等工作。负责综合性重要文件起草工作。负责机关党务工作。负责辖区内统计工作。完成街道党工委、办事处交办的其他任务。</w:t>
      </w:r>
    </w:p>
    <w:p>
      <w:pPr>
        <w:pStyle w:val="17"/>
      </w:pPr>
      <w:r>
        <w:t>应急管理:负责辖区应急管理工作。依法做好辖区的突发事件应对工作。负责本辖区的消防工作。负责辖区防洪抗洪、抗旱、防灾减灾相关工作。负责本辖区内自然灾害救助工作。履行安全生产监督管理职责。负责辖区内食品安全监督管理工作。负责相关涉农服务工作。</w:t>
      </w:r>
    </w:p>
    <w:p>
      <w:pPr>
        <w:pStyle w:val="17"/>
      </w:pPr>
      <w:r>
        <w:t>城市综合治理管理: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pPr>
        <w:pStyle w:val="17"/>
      </w:pPr>
      <w:r>
        <w:t>综合行政执法:根据法律法规和省政府授权，承担综合行政执法工作。组织相关法律法规宣传普及。处理行政复议和行政诉讼事务。协助有关部门查处传销行为。负责与区直有关部门、派驻机构的沟通协调工作。</w:t>
      </w:r>
    </w:p>
    <w:p>
      <w:pPr>
        <w:pStyle w:val="17"/>
      </w:pPr>
      <w:r>
        <w:t>行政综合服务:承担行政审批服务工作。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pPr>
        <w:pStyle w:val="17"/>
      </w:pPr>
      <w:r>
        <w:t>综合指挥和信息化网络:负责监控监测、收集整理、核实辖区内城市管理、生态保护、信访维稳、应急管理等个方面信息或问题，并按照办理机制反馈督办；负责网格队伍建设与管理.负责12345政府服务热线办理工作。负责制定本辖区社会治安综合治理规划。承担民间纠纷调解相关工作。做好防范邪教工作，做好信访工作。组织相关单位开展社区矫正工作和对户籍或居住地在本辖区的刑满释放人员做好接受建档和安置帮教工作。负责社区戒毒、社区康复工作。</w:t>
      </w:r>
    </w:p>
    <w:p>
      <w:pPr>
        <w:pStyle w:val="17"/>
      </w:pPr>
      <w:r>
        <w:t>退役军人服务:依照法定权限，协助做好本辖区的征兵、民兵、预备役、国防教育、国民经济动员、人民防空、国防交通、国防设施保护等工作。负责退役军人信息采集、权益维护、就业创业扶持、褒扬纪念、拥军优属等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秦皇岛市海港区人民政府文化路街道办事处本级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按照预算管理有关规定，目前我省部门预算的编制实行综合预算管理，即全部收入和支出都反映在预算中。秦皇岛市海港区人民政府文化路街道办事处机关及所属事业单位的收支包含在部门预算中。</w:t>
      </w:r>
    </w:p>
    <w:p>
      <w:pPr>
        <w:pStyle w:val="18"/>
      </w:pP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机关运行费</w:t>
      </w:r>
      <w:r>
        <w:rPr>
          <w:rFonts w:eastAsia="方正仿宋_GBK"/>
          <w:color w:val="000000"/>
          <w:sz w:val="28"/>
        </w:rPr>
        <w:t>61.29</w:t>
      </w:r>
      <w:r>
        <w:rPr>
          <w:rFonts w:hint="eastAsia" w:eastAsia="方正仿宋_GBK"/>
          <w:color w:val="000000"/>
          <w:sz w:val="28"/>
        </w:rPr>
        <w:t>万元：办公费</w:t>
      </w:r>
      <w:r>
        <w:rPr>
          <w:rFonts w:eastAsia="方正仿宋_GBK"/>
          <w:color w:val="000000"/>
          <w:sz w:val="28"/>
        </w:rPr>
        <w:t>11.50</w:t>
      </w:r>
      <w:r>
        <w:rPr>
          <w:rFonts w:hint="eastAsia" w:eastAsia="方正仿宋_GBK"/>
          <w:color w:val="000000"/>
          <w:sz w:val="28"/>
        </w:rPr>
        <w:t>万元，邮电费</w:t>
      </w:r>
      <w:r>
        <w:rPr>
          <w:rFonts w:eastAsia="方正仿宋_GBK"/>
          <w:color w:val="000000"/>
          <w:sz w:val="28"/>
        </w:rPr>
        <w:t>9.36</w:t>
      </w:r>
      <w:r>
        <w:rPr>
          <w:rFonts w:hint="eastAsia" w:eastAsia="方正仿宋_GBK"/>
          <w:color w:val="000000"/>
          <w:sz w:val="28"/>
        </w:rPr>
        <w:t>万元，取暖费</w:t>
      </w:r>
      <w:r>
        <w:rPr>
          <w:rFonts w:eastAsia="方正仿宋_GBK"/>
          <w:color w:val="000000"/>
          <w:sz w:val="28"/>
        </w:rPr>
        <w:t>7.20</w:t>
      </w:r>
      <w:r>
        <w:rPr>
          <w:rFonts w:hint="eastAsia" w:eastAsia="方正仿宋_GBK"/>
          <w:color w:val="000000"/>
          <w:sz w:val="28"/>
        </w:rPr>
        <w:t>万元，公务接待费</w:t>
      </w:r>
      <w:r>
        <w:rPr>
          <w:rFonts w:eastAsia="方正仿宋_GBK"/>
          <w:color w:val="000000"/>
          <w:sz w:val="28"/>
        </w:rPr>
        <w:t>0.42</w:t>
      </w:r>
      <w:r>
        <w:rPr>
          <w:rFonts w:hint="eastAsia" w:eastAsia="方正仿宋_GBK"/>
          <w:color w:val="000000"/>
          <w:sz w:val="28"/>
        </w:rPr>
        <w:t>万元，工会经费</w:t>
      </w:r>
      <w:r>
        <w:rPr>
          <w:rFonts w:eastAsia="方正仿宋_GBK"/>
          <w:color w:val="000000"/>
          <w:sz w:val="28"/>
        </w:rPr>
        <w:t>7.77</w:t>
      </w:r>
      <w:r>
        <w:rPr>
          <w:rFonts w:hint="eastAsia" w:eastAsia="方正仿宋_GBK"/>
          <w:color w:val="000000"/>
          <w:sz w:val="28"/>
        </w:rPr>
        <w:t>万元，福利费</w:t>
      </w:r>
      <w:r>
        <w:rPr>
          <w:rFonts w:eastAsia="方正仿宋_GBK"/>
          <w:color w:val="000000"/>
          <w:sz w:val="28"/>
        </w:rPr>
        <w:t>9.68</w:t>
      </w:r>
      <w:r>
        <w:rPr>
          <w:rFonts w:hint="eastAsia" w:eastAsia="方正仿宋_GBK"/>
          <w:color w:val="000000"/>
          <w:sz w:val="28"/>
        </w:rPr>
        <w:t>万元，公务用车运行维护费</w:t>
      </w:r>
      <w:r>
        <w:rPr>
          <w:rFonts w:eastAsia="方正仿宋_GBK"/>
          <w:color w:val="000000"/>
          <w:sz w:val="28"/>
        </w:rPr>
        <w:t>2.25</w:t>
      </w:r>
      <w:r>
        <w:rPr>
          <w:rFonts w:hint="eastAsia" w:eastAsia="方正仿宋_GBK"/>
          <w:color w:val="000000"/>
          <w:sz w:val="28"/>
        </w:rPr>
        <w:t>万元，其他交通费用</w:t>
      </w:r>
      <w:r>
        <w:rPr>
          <w:rFonts w:eastAsia="方正仿宋_GBK"/>
          <w:color w:val="000000"/>
          <w:sz w:val="28"/>
        </w:rPr>
        <w:t>10.26</w:t>
      </w:r>
      <w:r>
        <w:rPr>
          <w:rFonts w:hint="eastAsia" w:eastAsia="方正仿宋_GBK"/>
          <w:color w:val="000000"/>
          <w:sz w:val="28"/>
        </w:rPr>
        <w:t>万元，其他商品和服务支出</w:t>
      </w:r>
      <w:r>
        <w:rPr>
          <w:rFonts w:eastAsia="方正仿宋_GBK"/>
          <w:color w:val="000000"/>
          <w:sz w:val="28"/>
        </w:rPr>
        <w:t>2.85</w:t>
      </w:r>
      <w:r>
        <w:rPr>
          <w:rFonts w:hint="eastAsia" w:eastAsia="方正仿宋_GBK"/>
          <w:color w:val="000000"/>
          <w:sz w:val="28"/>
        </w:rPr>
        <w:t>万元。</w:t>
      </w:r>
    </w:p>
    <w:p>
      <w:pPr>
        <w:pStyle w:val="19"/>
      </w:pP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hint="eastAsia"/>
          <w:lang w:eastAsia="zh-CN"/>
        </w:rPr>
      </w:pPr>
      <w:r>
        <w:rPr>
          <w:rFonts w:hint="eastAsia" w:eastAsia="方正仿宋_GBK"/>
          <w:color w:val="000000"/>
          <w:sz w:val="28"/>
        </w:rPr>
        <w:t>2023年，我部门财政拨款“三公”经费预算安排2.67万元，其中因公出国（境）费0万元；公务用车购置及运维费2.25万元（其中：公务用车购置费为0万元，公务用车运行费2.25万元)；公务接待费0.42万元。比202</w:t>
      </w:r>
      <w:r>
        <w:rPr>
          <w:rFonts w:hint="eastAsia" w:eastAsia="方正仿宋_GBK"/>
          <w:color w:val="000000"/>
          <w:sz w:val="28"/>
          <w:lang w:eastAsia="zh-CN"/>
        </w:rPr>
        <w:t>2</w:t>
      </w:r>
      <w:r>
        <w:rPr>
          <w:rFonts w:hint="eastAsia" w:eastAsia="方正仿宋_GBK"/>
          <w:color w:val="000000"/>
          <w:sz w:val="28"/>
        </w:rPr>
        <w:t>“三公”经费预算</w:t>
      </w:r>
      <w:r>
        <w:rPr>
          <w:rFonts w:hint="eastAsia" w:eastAsia="方正仿宋_GBK"/>
          <w:color w:val="000000"/>
          <w:sz w:val="28"/>
          <w:lang w:eastAsia="zh-CN"/>
        </w:rPr>
        <w:t>无变化。</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贯彻执行党和国家的法律、法规、政策，在区委、区政府和街道党工委领导下开展各项工作。对社区的工作给予指导、协调和帮助。动员和领导辖区居民及各单位、部门开展社区建设工作。密切联系群众，做好群众工作，向上级人民政府反映居民群众的意见和要求,及时化解各种不稳定因素，确保街道社区的安宁。保障辖区街巷路卫生保洁达到“七净、五无、三根请”的标准，保障市容秩序规范有序。开展网格化社会治理工作，推动社会治理向基层延伸。体察民情、反映民意，关注人民群众普遍关心的热点难点问题，围绕全市经济社会发展的中心工作开展活动，提出建议、批评和意见。保障综合指挥和信息化网络中心网络正常运转。通过小马坊河水质提升治理工程，实现不让一滴污水入海的治理目标。加强街道城市管理、提高行政服务中心建设和服务水平，加强街居精神文明建设、解决社会治安综合治理等问题。全面提高行政服务中心、执法大队、城管、信访维稳、团建、妇联、安监等工作的服务及管理水平。提升街道武装部及民兵硬件建设水平。</w:t>
      </w:r>
    </w:p>
    <w:p>
      <w:pPr>
        <w:spacing w:line="500" w:lineRule="exact"/>
        <w:ind w:firstLine="560"/>
      </w:pPr>
      <w:r>
        <w:rPr>
          <w:rFonts w:eastAsia="方正仿宋_GBK"/>
          <w:color w:val="000000"/>
          <w:sz w:val="28"/>
        </w:rPr>
        <w:t>（二）分项绩效目标</w:t>
      </w:r>
    </w:p>
    <w:p>
      <w:pPr>
        <w:pStyle w:val="22"/>
      </w:pPr>
      <w:r>
        <w:t>（一）日常保障及运维工作</w:t>
      </w:r>
    </w:p>
    <w:p>
      <w:pPr>
        <w:pStyle w:val="22"/>
      </w:pPr>
      <w:r>
        <w:t>1.绩效目标：保障人员工资及时发放</w:t>
      </w:r>
    </w:p>
    <w:p>
      <w:pPr>
        <w:pStyle w:val="22"/>
      </w:pPr>
      <w:r>
        <w:t>绩效指标：按月及时足额发放=34人</w:t>
      </w:r>
    </w:p>
    <w:p>
      <w:pPr>
        <w:pStyle w:val="22"/>
      </w:pPr>
      <w:r>
        <w:t>2.绩效目标：保障公用设备正常运行，保证办事处工作正常运行</w:t>
      </w:r>
    </w:p>
    <w:p>
      <w:pPr>
        <w:pStyle w:val="22"/>
      </w:pPr>
      <w:r>
        <w:t>绩效指标：设备正常运转，有效保障</w:t>
      </w:r>
    </w:p>
    <w:p>
      <w:pPr>
        <w:pStyle w:val="22"/>
      </w:pPr>
      <w:r>
        <w:t>3.绩效目标：提高服务质量</w:t>
      </w:r>
    </w:p>
    <w:p>
      <w:pPr>
        <w:pStyle w:val="22"/>
      </w:pPr>
      <w:r>
        <w:t>绩效指标：保证办事处各项业务顺利开展，有效提升</w:t>
      </w:r>
    </w:p>
    <w:p>
      <w:pPr>
        <w:pStyle w:val="22"/>
      </w:pPr>
      <w:r>
        <w:t>（二）辖区环境、网格化社会治理</w:t>
      </w:r>
    </w:p>
    <w:p>
      <w:pPr>
        <w:pStyle w:val="22"/>
      </w:pPr>
      <w:r>
        <w:t>1.绩效目标：清扫街巷路数量达标</w:t>
      </w:r>
    </w:p>
    <w:p>
      <w:pPr>
        <w:pStyle w:val="22"/>
      </w:pPr>
      <w:r>
        <w:t>绩效指标：清扫保洁街巷路数量≥26条</w:t>
      </w:r>
    </w:p>
    <w:p>
      <w:pPr>
        <w:pStyle w:val="22"/>
      </w:pPr>
      <w:r>
        <w:t>2.绩效目标：环卫保洁率达标</w:t>
      </w:r>
    </w:p>
    <w:p>
      <w:pPr>
        <w:pStyle w:val="22"/>
      </w:pPr>
      <w:r>
        <w:t>绩效指标：达到“七净五无”“三根清”的卫生标准率≥95%</w:t>
      </w:r>
      <w:r>
        <w:tab/>
      </w:r>
    </w:p>
    <w:p>
      <w:pPr>
        <w:pStyle w:val="22"/>
      </w:pPr>
      <w:r>
        <w:t>3.绩效目标:网格数量达标</w:t>
      </w:r>
    </w:p>
    <w:p>
      <w:pPr>
        <w:pStyle w:val="22"/>
      </w:pPr>
      <w:r>
        <w:t>绩效指标：保证网格数量=48个</w:t>
      </w:r>
    </w:p>
    <w:p>
      <w:pPr>
        <w:pStyle w:val="22"/>
      </w:pPr>
      <w:r>
        <w:t>（三）人大代表之家建设</w:t>
      </w:r>
    </w:p>
    <w:p>
      <w:pPr>
        <w:pStyle w:val="22"/>
      </w:pPr>
      <w:r>
        <w:t>1.绩效目标：</w:t>
      </w:r>
      <w:r>
        <w:rPr>
          <w:rFonts w:hint="eastAsia"/>
          <w:lang w:eastAsia="zh-CN"/>
        </w:rPr>
        <w:t>密切联系群众</w:t>
      </w:r>
      <w:r>
        <w:t>联系</w:t>
      </w:r>
    </w:p>
    <w:p>
      <w:pPr>
        <w:pStyle w:val="22"/>
      </w:pPr>
      <w:r>
        <w:t>绩效指标：视察调研培训等活动的次数≥1次</w:t>
      </w:r>
    </w:p>
    <w:p>
      <w:pPr>
        <w:pStyle w:val="22"/>
      </w:pPr>
      <w:r>
        <w:t>2.绩效目标：人大代表活动宣传品制作</w:t>
      </w:r>
    </w:p>
    <w:p>
      <w:pPr>
        <w:pStyle w:val="22"/>
      </w:pPr>
      <w:r>
        <w:t>绩效指标：人大代表活动宣传品制作数量≥100册</w:t>
      </w:r>
    </w:p>
    <w:p>
      <w:pPr>
        <w:pStyle w:val="22"/>
      </w:pPr>
      <w:r>
        <w:t>3.绩效目标：代表之家、代表联络站建设合格</w:t>
      </w:r>
    </w:p>
    <w:p>
      <w:pPr>
        <w:pStyle w:val="22"/>
      </w:pPr>
      <w:r>
        <w:t>绩效指标：完成代表之家、代表联络站软（硬）件≥90%</w:t>
      </w:r>
    </w:p>
    <w:p>
      <w:pPr>
        <w:pStyle w:val="22"/>
      </w:pPr>
      <w:r>
        <w:t>（四）三馆一站免费开放</w:t>
      </w:r>
    </w:p>
    <w:p>
      <w:pPr>
        <w:pStyle w:val="22"/>
      </w:pPr>
      <w:r>
        <w:t>1.绩效目标：组织公益文化活动</w:t>
      </w:r>
    </w:p>
    <w:p>
      <w:pPr>
        <w:pStyle w:val="22"/>
      </w:pPr>
      <w:r>
        <w:t>绩效指标：组织公益活动次数 ≥1次</w:t>
      </w:r>
    </w:p>
    <w:p>
      <w:pPr>
        <w:pStyle w:val="22"/>
      </w:pPr>
      <w:r>
        <w:t>2.绩效目标：购买图书</w:t>
      </w:r>
    </w:p>
    <w:p>
      <w:pPr>
        <w:pStyle w:val="22"/>
      </w:pPr>
      <w:r>
        <w:t>绩效指标：购买图书数量≥100册</w:t>
      </w:r>
    </w:p>
    <w:p>
      <w:pPr>
        <w:pStyle w:val="22"/>
      </w:pPr>
      <w:r>
        <w:t>3.绩效目标：文化站图书馆建设合格</w:t>
      </w:r>
    </w:p>
    <w:p>
      <w:pPr>
        <w:pStyle w:val="22"/>
      </w:pPr>
      <w:r>
        <w:t>绩效指标：文化站图书馆建设合格率=100%</w:t>
      </w:r>
    </w:p>
    <w:p>
      <w:pPr>
        <w:pStyle w:val="22"/>
      </w:pPr>
      <w:r>
        <w:t>（五）改善办公环境，提高居民满意度</w:t>
      </w:r>
    </w:p>
    <w:p>
      <w:pPr>
        <w:pStyle w:val="22"/>
      </w:pPr>
      <w:r>
        <w:t>1.绩效目标：办公用房维修改造</w:t>
      </w:r>
    </w:p>
    <w:p>
      <w:pPr>
        <w:pStyle w:val="22"/>
      </w:pPr>
      <w:r>
        <w:t>绩效指标：修缮改造任务完成率=100%</w:t>
      </w:r>
    </w:p>
    <w:p>
      <w:pPr>
        <w:pStyle w:val="22"/>
      </w:pPr>
      <w:r>
        <w:t>2.绩效目标：电力增容改造</w:t>
      </w:r>
    </w:p>
    <w:p>
      <w:pPr>
        <w:pStyle w:val="22"/>
      </w:pPr>
      <w:r>
        <w:t>绩效指标：电力增容改造完成率=100%</w:t>
      </w:r>
      <w:r>
        <w:tab/>
      </w:r>
    </w:p>
    <w:p>
      <w:pPr>
        <w:pStyle w:val="22"/>
      </w:pPr>
      <w:r>
        <w:t>3.绩效目标：服务对象满意</w:t>
      </w:r>
    </w:p>
    <w:p>
      <w:pPr>
        <w:pStyle w:val="22"/>
      </w:pPr>
      <w:r>
        <w:t>绩效指标：服务对象满意度，有效保障</w:t>
      </w:r>
    </w:p>
    <w:p>
      <w:pPr>
        <w:pStyle w:val="22"/>
      </w:pPr>
      <w:r>
        <w:t>（六）综合指挥和信息化网络中心建设</w:t>
      </w:r>
    </w:p>
    <w:p>
      <w:pPr>
        <w:pStyle w:val="22"/>
      </w:pPr>
      <w:r>
        <w:t>1.绩效目标：指挥和信息化网络中心</w:t>
      </w:r>
    </w:p>
    <w:p>
      <w:pPr>
        <w:pStyle w:val="22"/>
      </w:pPr>
      <w:r>
        <w:t>绩效指标：指挥和信息化网络中心数量=1个</w:t>
      </w:r>
    </w:p>
    <w:p>
      <w:pPr>
        <w:pStyle w:val="22"/>
      </w:pPr>
      <w:r>
        <w:t>2.绩效目标：指挥中心正常运转</w:t>
      </w:r>
    </w:p>
    <w:p>
      <w:pPr>
        <w:pStyle w:val="22"/>
      </w:pPr>
      <w:r>
        <w:t>绩效指标：指挥中心正常运转率=100%</w:t>
      </w:r>
    </w:p>
    <w:p>
      <w:pPr>
        <w:pStyle w:val="22"/>
      </w:pPr>
      <w:r>
        <w:t>3.绩效目标：服务对象满意</w:t>
      </w:r>
    </w:p>
    <w:p>
      <w:pPr>
        <w:pStyle w:val="22"/>
      </w:pPr>
      <w:r>
        <w:t>绩效指标：实际调查满意人数/总调查人数≥90%</w:t>
      </w:r>
    </w:p>
    <w:p>
      <w:pPr>
        <w:pStyle w:val="22"/>
      </w:pPr>
      <w:r>
        <w:t>（七）小马坊河水质提升工程</w:t>
      </w:r>
    </w:p>
    <w:p>
      <w:pPr>
        <w:pStyle w:val="22"/>
      </w:pPr>
      <w:r>
        <w:t>1.绩效目标：河道治理</w:t>
      </w:r>
    </w:p>
    <w:p>
      <w:pPr>
        <w:pStyle w:val="22"/>
      </w:pPr>
      <w:r>
        <w:t>绩效指标：治理河流数量=1个</w:t>
      </w:r>
    </w:p>
    <w:p>
      <w:pPr>
        <w:pStyle w:val="22"/>
      </w:pPr>
      <w:r>
        <w:t>2.绩效目标：改造工程完成</w:t>
      </w:r>
    </w:p>
    <w:p>
      <w:pPr>
        <w:pStyle w:val="22"/>
      </w:pPr>
      <w:r>
        <w:t>绩效指标：改造工程完成率=100%</w:t>
      </w:r>
    </w:p>
    <w:p>
      <w:pPr>
        <w:pStyle w:val="22"/>
      </w:pPr>
      <w:r>
        <w:t>3.绩效目标：服务对象满意</w:t>
      </w:r>
    </w:p>
    <w:p>
      <w:pPr>
        <w:pStyle w:val="22"/>
      </w:pPr>
      <w:r>
        <w:t>绩效指标：服务对象满意度≥90%</w:t>
      </w:r>
    </w:p>
    <w:p>
      <w:pPr>
        <w:pStyle w:val="22"/>
      </w:pPr>
      <w:r>
        <w:t>（八）武装部、民兵、退役军人工作</w:t>
      </w:r>
    </w:p>
    <w:p>
      <w:pPr>
        <w:pStyle w:val="22"/>
      </w:pPr>
      <w:r>
        <w:t>1.绩效目标：民兵训练</w:t>
      </w:r>
    </w:p>
    <w:p>
      <w:pPr>
        <w:pStyle w:val="22"/>
      </w:pPr>
      <w:r>
        <w:t xml:space="preserve">绩效指标：民兵定期学习训练，响应上级拉动次数≥2次 </w:t>
      </w:r>
    </w:p>
    <w:p>
      <w:pPr>
        <w:pStyle w:val="22"/>
      </w:pPr>
      <w:r>
        <w:t>2.绩效目标：服装装备购置</w:t>
      </w:r>
    </w:p>
    <w:p>
      <w:pPr>
        <w:pStyle w:val="22"/>
      </w:pPr>
      <w:r>
        <w:t>绩效指标：购置服装装备的应急民兵排的人数≥40人</w:t>
      </w:r>
    </w:p>
    <w:p>
      <w:pPr>
        <w:pStyle w:val="22"/>
      </w:pPr>
      <w:r>
        <w:t>3.绩效目标：做好退役军人服务</w:t>
      </w:r>
    </w:p>
    <w:p>
      <w:pPr>
        <w:pStyle w:val="22"/>
      </w:pPr>
      <w:r>
        <w:t>绩效指标：退役军人慰问、民兵演练，有效保障</w:t>
      </w:r>
    </w:p>
    <w:p>
      <w:pPr>
        <w:pStyle w:val="22"/>
      </w:pPr>
      <w:r>
        <w:t>（九）党工委党政办工作</w:t>
      </w:r>
    </w:p>
    <w:p>
      <w:pPr>
        <w:pStyle w:val="22"/>
      </w:pPr>
      <w:r>
        <w:t>1.绩效目标：宣传贯彻党的路线、方针、政策和国家的法律法规</w:t>
      </w:r>
    </w:p>
    <w:p>
      <w:pPr>
        <w:pStyle w:val="22"/>
      </w:pPr>
      <w:r>
        <w:t>绩效指标：开展主题教育活动，有效保障</w:t>
      </w:r>
    </w:p>
    <w:p>
      <w:pPr>
        <w:pStyle w:val="22"/>
      </w:pPr>
      <w:r>
        <w:t>2.绩效目标：做好社区党建工作</w:t>
      </w:r>
    </w:p>
    <w:p>
      <w:pPr>
        <w:pStyle w:val="22"/>
      </w:pPr>
      <w:r>
        <w:t>绩效指标：组织学员学习，对发展党员工作专项检查，有效保障</w:t>
      </w:r>
    </w:p>
    <w:p>
      <w:pPr>
        <w:pStyle w:val="22"/>
      </w:pPr>
      <w:r>
        <w:t>3.绩效目标：做到上呈下达、保证政令畅通</w:t>
      </w:r>
    </w:p>
    <w:p>
      <w:pPr>
        <w:pStyle w:val="22"/>
      </w:pPr>
      <w:r>
        <w:t>绩效指标：做到上呈下达、保证政令畅通，有效保障</w:t>
      </w:r>
    </w:p>
    <w:p>
      <w:pPr>
        <w:pStyle w:val="22"/>
      </w:pPr>
      <w:r>
        <w:t>（十）应急管理工作</w:t>
      </w:r>
    </w:p>
    <w:p>
      <w:pPr>
        <w:pStyle w:val="22"/>
      </w:pPr>
      <w:r>
        <w:t>1.绩效目标：安全形势总体稳定可控</w:t>
      </w:r>
    </w:p>
    <w:p>
      <w:pPr>
        <w:pStyle w:val="22"/>
      </w:pPr>
      <w:r>
        <w:t>绩效指标：安全排查，有效保障</w:t>
      </w:r>
    </w:p>
    <w:p>
      <w:pPr>
        <w:pStyle w:val="22"/>
      </w:pPr>
      <w:r>
        <w:t>2.绩效目标：确保安全生产</w:t>
      </w:r>
    </w:p>
    <w:p>
      <w:pPr>
        <w:pStyle w:val="22"/>
      </w:pPr>
      <w:r>
        <w:t>绩效指标：安全生产教育培训，有效保障</w:t>
      </w:r>
    </w:p>
    <w:p>
      <w:pPr>
        <w:pStyle w:val="22"/>
      </w:pPr>
      <w:r>
        <w:t>3.绩效目标：确保人员安全</w:t>
      </w:r>
    </w:p>
    <w:p>
      <w:pPr>
        <w:pStyle w:val="22"/>
      </w:pPr>
      <w:r>
        <w:t>绩效指标：应急疏散演练，有效保障</w:t>
      </w:r>
    </w:p>
    <w:p>
      <w:pPr>
        <w:pStyle w:val="22"/>
        <w:ind w:firstLine="0"/>
        <w:rPr>
          <w:rFonts w:hint="eastAsia"/>
          <w:lang w:eastAsia="zh-CN"/>
        </w:rPr>
      </w:pPr>
    </w:p>
    <w:p>
      <w:pPr>
        <w:spacing w:line="500" w:lineRule="exact"/>
        <w:ind w:firstLine="560"/>
      </w:pPr>
      <w:r>
        <w:rPr>
          <w:rFonts w:eastAsia="方正仿宋_GBK"/>
          <w:color w:val="000000"/>
          <w:sz w:val="28"/>
        </w:rPr>
        <w:t>（三）工作保障措施</w:t>
      </w:r>
    </w:p>
    <w:p>
      <w:pPr>
        <w:pStyle w:val="23"/>
      </w:pPr>
      <w:r>
        <w:t>一.完善制度建设 </w:t>
      </w:r>
    </w:p>
    <w:p>
      <w:pPr>
        <w:pStyle w:val="23"/>
      </w:pPr>
      <w:r>
        <w:t>进一步落实预算绩效管理制度、资金管理办法、工作保障等相关制度，为全年有序开展各项工作奠定制度基础。 </w:t>
      </w:r>
    </w:p>
    <w:p>
      <w:pPr>
        <w:pStyle w:val="23"/>
      </w:pPr>
      <w:r>
        <w:t>   </w:t>
      </w:r>
    </w:p>
    <w:p>
      <w:pPr>
        <w:pStyle w:val="23"/>
      </w:pPr>
      <w:r>
        <w:t>二.加强支出管理 </w:t>
      </w:r>
    </w:p>
    <w:p>
      <w:pPr>
        <w:pStyle w:val="23"/>
      </w:pPr>
      <w:r>
        <w:t>针对我单位项目多、资金支付流程复杂的特点，我单位进一步完善了相关制度，在保障工作质量的同时提高了工作效率。我单位召开培训，提高业务人员对《内部控制手册》涉及的采购、付款审批相关流程和制度的理解，实现内部控制全覆盖。我单位通过优化支出结构、编细编实预算，加快履行政府采购手续，尽快启动项目，及时支付资金，确保支出进度达标。</w:t>
      </w:r>
    </w:p>
    <w:p>
      <w:pPr>
        <w:pStyle w:val="23"/>
      </w:pPr>
      <w:r>
        <w:t>    </w:t>
      </w:r>
    </w:p>
    <w:p>
      <w:pPr>
        <w:pStyle w:val="23"/>
      </w:pPr>
      <w:r>
        <w:t>三.加强绩效运行监控</w:t>
      </w:r>
    </w:p>
    <w:p>
      <w:pPr>
        <w:pStyle w:val="23"/>
      </w:pPr>
      <w:r>
        <w:t>按照要求开展绩效运转监控，发现问题及时采取措施，确保绩效目标如期质保实现。预算绩效管理工作纳入部门考核，自评结果与年度预算安排挂钩，建立“优胜劣汰”的激励约束机制”。    </w:t>
      </w:r>
    </w:p>
    <w:p>
      <w:pPr>
        <w:pStyle w:val="23"/>
      </w:pPr>
      <w:r>
        <w:t>四.做好绩效自评 </w:t>
      </w:r>
    </w:p>
    <w:p>
      <w:pPr>
        <w:pStyle w:val="23"/>
      </w:pPr>
      <w:r>
        <w:t>按照要求，开展上年度部门预算绩效自评和重点评价工作，对评价中发现的问题及时整改，调整优化支出结构，提高财政资金使用效益。严格按照绩效评估管理办法的有关规定开展事前、事中和事后监督，定期开展绩效运行监控。进一步完善绩效目标，确保绩效目标和具体指标明确、可量化、可考核。</w:t>
      </w:r>
    </w:p>
    <w:p>
      <w:pPr>
        <w:pStyle w:val="23"/>
      </w:pPr>
      <w:r>
        <w:t>    </w:t>
      </w:r>
    </w:p>
    <w:p>
      <w:pPr>
        <w:pStyle w:val="23"/>
      </w:pPr>
      <w:r>
        <w:t>五.规范财务资产管理 </w:t>
      </w:r>
    </w:p>
    <w:p>
      <w:pPr>
        <w:pStyle w:val="23"/>
      </w:pPr>
      <w:r>
        <w:t>完善财务管理制度、严格审批程序，加强固定资产登记、使用和报废处置管理，做到支出合理、物尽其用。做好采购和建设项目管理，确保物资质量、工程质量能够满足实际需要并符合有关规定。</w:t>
      </w:r>
    </w:p>
    <w:p>
      <w:pPr>
        <w:pStyle w:val="23"/>
      </w:pPr>
      <w:r>
        <w:t>    </w:t>
      </w:r>
    </w:p>
    <w:p>
      <w:pPr>
        <w:pStyle w:val="23"/>
      </w:pPr>
      <w:r>
        <w:t>六.加强内部监督 </w:t>
      </w:r>
    </w:p>
    <w:p>
      <w:pPr>
        <w:pStyle w:val="23"/>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    </w:t>
      </w:r>
    </w:p>
    <w:p>
      <w:pPr>
        <w:pStyle w:val="23"/>
      </w:pPr>
      <w:r>
        <w:t>七.加强宣传培训调研等 </w:t>
      </w:r>
    </w:p>
    <w:p>
      <w:pPr>
        <w:pStyle w:val="23"/>
      </w:pPr>
      <w:r>
        <w:t>加强人员培训，提高本单位职工业务素质；加强调研，提出优化财政资金配置、提高资金使用效益的意见；加大宣传力度，强化预算绩效管理意识，促进预算绩效管理水平进一步提升。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1.以社区居民为主体开展各项活动，做好街道美化及政策宣传工作。</w:t>
            </w:r>
          </w:p>
          <w:p>
            <w:pPr>
              <w:pStyle w:val="12"/>
            </w:pPr>
            <w:r>
              <w:t xml:space="preserve">2.保障行政服务中心、执法大队、城管车辆、信访维稳、基层团建、妇联、基层安监等工作顺利开展。 </w:t>
            </w:r>
          </w:p>
          <w:p>
            <w:pPr>
              <w:pStyle w:val="12"/>
            </w:pPr>
            <w:r>
              <w:t>3.加强街道城市管理、社区建设和服务水平，加强街居精神文明建设、解决社会治安综合治理等问题。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办理证照数量</w:t>
            </w:r>
          </w:p>
        </w:tc>
        <w:tc>
          <w:tcPr>
            <w:tcW w:w="2835" w:type="dxa"/>
            <w:vAlign w:val="center"/>
          </w:tcPr>
          <w:p>
            <w:pPr>
              <w:pStyle w:val="12"/>
            </w:pPr>
            <w:r>
              <w:t>每年办理各类证照数量</w:t>
            </w:r>
          </w:p>
        </w:tc>
        <w:tc>
          <w:tcPr>
            <w:tcW w:w="2551" w:type="dxa"/>
            <w:vAlign w:val="center"/>
          </w:tcPr>
          <w:p>
            <w:pPr>
              <w:pStyle w:val="12"/>
            </w:pPr>
            <w:r>
              <w:t>≥4000份</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需要保障的车辆数量</w:t>
            </w:r>
          </w:p>
        </w:tc>
        <w:tc>
          <w:tcPr>
            <w:tcW w:w="2835" w:type="dxa"/>
            <w:vAlign w:val="center"/>
          </w:tcPr>
          <w:p>
            <w:pPr>
              <w:pStyle w:val="12"/>
            </w:pPr>
            <w:r>
              <w:t>需要保障的车辆数量</w:t>
            </w:r>
          </w:p>
        </w:tc>
        <w:tc>
          <w:tcPr>
            <w:tcW w:w="2551" w:type="dxa"/>
            <w:vAlign w:val="center"/>
          </w:tcPr>
          <w:p>
            <w:pPr>
              <w:pStyle w:val="12"/>
            </w:pPr>
            <w:r>
              <w:t>≥2辆</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开展居民文化活动次数</w:t>
            </w:r>
          </w:p>
        </w:tc>
        <w:tc>
          <w:tcPr>
            <w:tcW w:w="2835" w:type="dxa"/>
            <w:vAlign w:val="center"/>
          </w:tcPr>
          <w:p>
            <w:pPr>
              <w:pStyle w:val="12"/>
            </w:pPr>
            <w:r>
              <w:t>开展居民文化活动次数</w:t>
            </w:r>
          </w:p>
        </w:tc>
        <w:tc>
          <w:tcPr>
            <w:tcW w:w="2551" w:type="dxa"/>
            <w:vAlign w:val="center"/>
          </w:tcPr>
          <w:p>
            <w:pPr>
              <w:pStyle w:val="12"/>
            </w:pPr>
            <w:r>
              <w:t>≥5次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信访值班天数</w:t>
            </w:r>
          </w:p>
        </w:tc>
        <w:tc>
          <w:tcPr>
            <w:tcW w:w="2835" w:type="dxa"/>
            <w:vAlign w:val="center"/>
          </w:tcPr>
          <w:p>
            <w:pPr>
              <w:pStyle w:val="12"/>
            </w:pPr>
            <w:r>
              <w:t>重要时间节点到北京，石家庄、北戴河等地信访维稳值班天数</w:t>
            </w:r>
          </w:p>
        </w:tc>
        <w:tc>
          <w:tcPr>
            <w:tcW w:w="2551" w:type="dxa"/>
            <w:vAlign w:val="center"/>
          </w:tcPr>
          <w:p>
            <w:pPr>
              <w:pStyle w:val="12"/>
            </w:pPr>
            <w:r>
              <w:t>≥90天</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制作宣传品数量</w:t>
            </w:r>
          </w:p>
        </w:tc>
        <w:tc>
          <w:tcPr>
            <w:tcW w:w="2835" w:type="dxa"/>
            <w:vAlign w:val="center"/>
          </w:tcPr>
          <w:p>
            <w:pPr>
              <w:pStyle w:val="12"/>
            </w:pPr>
            <w:r>
              <w:t>制作宣传品数量</w:t>
            </w:r>
          </w:p>
        </w:tc>
        <w:tc>
          <w:tcPr>
            <w:tcW w:w="2551" w:type="dxa"/>
            <w:vAlign w:val="center"/>
          </w:tcPr>
          <w:p>
            <w:pPr>
              <w:pStyle w:val="12"/>
            </w:pPr>
            <w:r>
              <w:t>≥1000份</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各项工作完成率</w:t>
            </w:r>
          </w:p>
        </w:tc>
        <w:tc>
          <w:tcPr>
            <w:tcW w:w="2835" w:type="dxa"/>
            <w:vAlign w:val="center"/>
          </w:tcPr>
          <w:p>
            <w:pPr>
              <w:pStyle w:val="12"/>
            </w:pPr>
            <w:r>
              <w:t>各项工作完成率</w:t>
            </w:r>
          </w:p>
        </w:tc>
        <w:tc>
          <w:tcPr>
            <w:tcW w:w="2551" w:type="dxa"/>
            <w:vAlign w:val="center"/>
          </w:tcPr>
          <w:p>
            <w:pPr>
              <w:pStyle w:val="12"/>
            </w:pPr>
            <w:r>
              <w:t>≥95%</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≥95%</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日常业务支出控制在预算内</w:t>
            </w:r>
          </w:p>
        </w:tc>
        <w:tc>
          <w:tcPr>
            <w:tcW w:w="2835" w:type="dxa"/>
            <w:vAlign w:val="center"/>
          </w:tcPr>
          <w:p>
            <w:pPr>
              <w:pStyle w:val="12"/>
            </w:pPr>
            <w:r>
              <w:t>日常业务支出控制在预算内</w:t>
            </w:r>
          </w:p>
        </w:tc>
        <w:tc>
          <w:tcPr>
            <w:tcW w:w="2551" w:type="dxa"/>
            <w:vAlign w:val="center"/>
          </w:tcPr>
          <w:p>
            <w:pPr>
              <w:pStyle w:val="12"/>
            </w:pPr>
            <w:r>
              <w:t>≤26万</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保障全年信访稳定</w:t>
            </w:r>
          </w:p>
        </w:tc>
        <w:tc>
          <w:tcPr>
            <w:tcW w:w="2835" w:type="dxa"/>
            <w:vAlign w:val="center"/>
          </w:tcPr>
          <w:p>
            <w:pPr>
              <w:pStyle w:val="12"/>
            </w:pPr>
            <w:r>
              <w:t>保障全年信访稳定，促进社会和谐</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促进辖区经济环境稳定</w:t>
            </w:r>
          </w:p>
        </w:tc>
        <w:tc>
          <w:tcPr>
            <w:tcW w:w="2835" w:type="dxa"/>
            <w:vAlign w:val="center"/>
          </w:tcPr>
          <w:p>
            <w:pPr>
              <w:pStyle w:val="12"/>
            </w:pPr>
            <w:r>
              <w:t>文明执法、改善街巷路经济秩序，促进辖区经济环境稳定</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不断提高居民文化生活水平</w:t>
            </w:r>
          </w:p>
        </w:tc>
        <w:tc>
          <w:tcPr>
            <w:tcW w:w="2835" w:type="dxa"/>
            <w:vAlign w:val="center"/>
          </w:tcPr>
          <w:p>
            <w:pPr>
              <w:pStyle w:val="12"/>
            </w:pPr>
            <w:r>
              <w:t>不断提高居民文化生活水平</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保障妇女、青年权益</w:t>
            </w:r>
          </w:p>
        </w:tc>
        <w:tc>
          <w:tcPr>
            <w:tcW w:w="2835" w:type="dxa"/>
            <w:vAlign w:val="center"/>
          </w:tcPr>
          <w:p>
            <w:pPr>
              <w:pStyle w:val="12"/>
            </w:pPr>
            <w:r>
              <w:t>保障妇女、青年权益</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1.规范基层武装工作，提升应急处置能力，保障基层人民武装部在国防后备力量建设中的重要作用发挥。</w:t>
            </w:r>
            <w:r>
              <w:tab/>
            </w:r>
            <w:r>
              <w:tab/>
            </w:r>
            <w:r>
              <w:tab/>
            </w:r>
            <w:r>
              <w:tab/>
            </w:r>
            <w:r>
              <w:tab/>
            </w:r>
            <w:r>
              <w:tab/>
            </w:r>
            <w:r>
              <w:tab/>
            </w:r>
            <w:r>
              <w:tab/>
            </w:r>
            <w:r>
              <w:tab/>
            </w:r>
            <w:r>
              <w:tab/>
            </w:r>
            <w:r>
              <w:tab/>
            </w:r>
            <w:r>
              <w:tab/>
            </w:r>
          </w:p>
          <w:p>
            <w:pPr>
              <w:pStyle w:val="12"/>
            </w:pPr>
          </w:p>
          <w:p>
            <w:pPr>
              <w:pStyle w:val="12"/>
            </w:pPr>
            <w:r>
              <w:t>2.加强民兵建设和民兵训练，提高民兵素质，努力开创武装工作新局面，加强基层武装和民兵“两个建设”。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需要购置服装装备的应急民兵排的人数</w:t>
            </w:r>
          </w:p>
        </w:tc>
        <w:tc>
          <w:tcPr>
            <w:tcW w:w="2835" w:type="dxa"/>
            <w:vAlign w:val="center"/>
          </w:tcPr>
          <w:p>
            <w:pPr>
              <w:pStyle w:val="12"/>
            </w:pPr>
            <w:r>
              <w:t>需要购置服装装备的应急民兵排的人数</w:t>
            </w:r>
          </w:p>
        </w:tc>
        <w:tc>
          <w:tcPr>
            <w:tcW w:w="2551" w:type="dxa"/>
            <w:vAlign w:val="center"/>
          </w:tcPr>
          <w:p>
            <w:pPr>
              <w:pStyle w:val="12"/>
            </w:pPr>
            <w:r>
              <w:t>≥40人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组织民兵活动训练次数</w:t>
            </w:r>
          </w:p>
        </w:tc>
        <w:tc>
          <w:tcPr>
            <w:tcW w:w="2835" w:type="dxa"/>
            <w:vAlign w:val="center"/>
          </w:tcPr>
          <w:p>
            <w:pPr>
              <w:pStyle w:val="12"/>
            </w:pPr>
            <w:r>
              <w:t>组织民兵定期学习训练，响应上级拉动次数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物资采购验收合格率</w:t>
            </w:r>
          </w:p>
        </w:tc>
        <w:tc>
          <w:tcPr>
            <w:tcW w:w="2835" w:type="dxa"/>
            <w:vAlign w:val="center"/>
          </w:tcPr>
          <w:p>
            <w:pPr>
              <w:pStyle w:val="12"/>
            </w:pPr>
            <w:r>
              <w:t>物资采购验收合格率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工作完成的及时率</w:t>
            </w:r>
          </w:p>
        </w:tc>
        <w:tc>
          <w:tcPr>
            <w:tcW w:w="2835" w:type="dxa"/>
            <w:vAlign w:val="center"/>
          </w:tcPr>
          <w:p>
            <w:pPr>
              <w:pStyle w:val="12"/>
            </w:pPr>
            <w:r>
              <w:t>工作完成的及时率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成本费用总额控制在预算内</w:t>
            </w:r>
          </w:p>
        </w:tc>
        <w:tc>
          <w:tcPr>
            <w:tcW w:w="2835" w:type="dxa"/>
            <w:vAlign w:val="center"/>
          </w:tcPr>
          <w:p>
            <w:pPr>
              <w:pStyle w:val="12"/>
            </w:pPr>
            <w:r>
              <w:t>成本费用总额控制在预算内</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民兵应急能力提升建设</w:t>
            </w:r>
          </w:p>
        </w:tc>
        <w:tc>
          <w:tcPr>
            <w:tcW w:w="2835" w:type="dxa"/>
            <w:vAlign w:val="center"/>
          </w:tcPr>
          <w:p>
            <w:pPr>
              <w:pStyle w:val="12"/>
            </w:pPr>
            <w:r>
              <w:t>民兵应急能力提升建设</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受益对象满意度</w:t>
            </w:r>
          </w:p>
        </w:tc>
        <w:tc>
          <w:tcPr>
            <w:tcW w:w="2551" w:type="dxa"/>
            <w:vAlign w:val="center"/>
          </w:tcPr>
          <w:p>
            <w:pPr>
              <w:pStyle w:val="12"/>
            </w:pPr>
            <w:r>
              <w:t>≥95%</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1.1.密切与人民群众的联系,组织活动与选民零距离接触 </w:t>
            </w:r>
          </w:p>
          <w:p>
            <w:pPr>
              <w:pStyle w:val="12"/>
            </w:pPr>
            <w:r>
              <w:t>2.2.定期到"人大代表之家"接待群众,维护"人大代表之家"建设</w:t>
            </w:r>
          </w:p>
          <w:p>
            <w:pPr>
              <w:pStyle w:val="12"/>
            </w:pPr>
            <w:r>
              <w:t>3.3.组织人大代表视察活动，做好人大代表服务工作，确保各项人大工作顺利完成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人大代表活动宣传品制作数量</w:t>
            </w:r>
          </w:p>
        </w:tc>
        <w:tc>
          <w:tcPr>
            <w:tcW w:w="2835" w:type="dxa"/>
            <w:vAlign w:val="center"/>
          </w:tcPr>
          <w:p>
            <w:pPr>
              <w:pStyle w:val="12"/>
            </w:pPr>
            <w:r>
              <w:t>人大代表活动宣传品制作数量</w:t>
            </w:r>
          </w:p>
        </w:tc>
        <w:tc>
          <w:tcPr>
            <w:tcW w:w="2551" w:type="dxa"/>
            <w:vAlign w:val="center"/>
          </w:tcPr>
          <w:p>
            <w:pPr>
              <w:pStyle w:val="12"/>
            </w:pPr>
            <w:r>
              <w:t>≥100册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视察调研培训等活动的次数</w:t>
            </w:r>
          </w:p>
        </w:tc>
        <w:tc>
          <w:tcPr>
            <w:tcW w:w="2835" w:type="dxa"/>
            <w:vAlign w:val="center"/>
          </w:tcPr>
          <w:p>
            <w:pPr>
              <w:pStyle w:val="12"/>
            </w:pPr>
            <w:r>
              <w:t>视察调研培训等活动的次数</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代表之家、代表联络站建设合格率</w:t>
            </w:r>
          </w:p>
        </w:tc>
        <w:tc>
          <w:tcPr>
            <w:tcW w:w="2835" w:type="dxa"/>
            <w:vAlign w:val="center"/>
          </w:tcPr>
          <w:p>
            <w:pPr>
              <w:pStyle w:val="12"/>
            </w:pPr>
            <w:r>
              <w:t>完成代表之家、代表联络站软（硬）件条件，为人大代表密切联系群众提供平台。</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各项活动支出小于等于预算数</w:t>
            </w:r>
          </w:p>
        </w:tc>
        <w:tc>
          <w:tcPr>
            <w:tcW w:w="2835" w:type="dxa"/>
            <w:vAlign w:val="center"/>
          </w:tcPr>
          <w:p>
            <w:pPr>
              <w:pStyle w:val="12"/>
            </w:pPr>
            <w:r>
              <w:t>各项活动支出小于等于预算数</w:t>
            </w:r>
          </w:p>
        </w:tc>
        <w:tc>
          <w:tcPr>
            <w:tcW w:w="2551" w:type="dxa"/>
            <w:vAlign w:val="center"/>
          </w:tcPr>
          <w:p>
            <w:pPr>
              <w:pStyle w:val="12"/>
            </w:pPr>
            <w:r>
              <w:t>≤4万元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积极开展代表活动，提升代表履职水平</w:t>
            </w:r>
          </w:p>
        </w:tc>
        <w:tc>
          <w:tcPr>
            <w:tcW w:w="2835" w:type="dxa"/>
            <w:vAlign w:val="center"/>
          </w:tcPr>
          <w:p>
            <w:pPr>
              <w:pStyle w:val="12"/>
            </w:pPr>
            <w:r>
              <w:t>积极开展代表活动，提升代表履职水平</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群众满意度占比</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1.举办公益文化活动，提高居民素养，增强居民对文化生活的向往</w:t>
            </w:r>
          </w:p>
          <w:p>
            <w:pPr>
              <w:pStyle w:val="12"/>
            </w:pPr>
            <w:r>
              <w:t>2.购买图书补充图书室用于免费开放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购买图书数量</w:t>
            </w:r>
          </w:p>
        </w:tc>
        <w:tc>
          <w:tcPr>
            <w:tcW w:w="2835" w:type="dxa"/>
            <w:vAlign w:val="center"/>
          </w:tcPr>
          <w:p>
            <w:pPr>
              <w:pStyle w:val="12"/>
            </w:pPr>
            <w:r>
              <w:t>购买图书数量</w:t>
            </w:r>
          </w:p>
        </w:tc>
        <w:tc>
          <w:tcPr>
            <w:tcW w:w="2551" w:type="dxa"/>
            <w:vAlign w:val="center"/>
          </w:tcPr>
          <w:p>
            <w:pPr>
              <w:pStyle w:val="12"/>
            </w:pPr>
            <w:r>
              <w:t>≥100册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组织活动次数</w:t>
            </w:r>
          </w:p>
        </w:tc>
        <w:tc>
          <w:tcPr>
            <w:tcW w:w="2835" w:type="dxa"/>
            <w:vAlign w:val="center"/>
          </w:tcPr>
          <w:p>
            <w:pPr>
              <w:pStyle w:val="12"/>
            </w:pPr>
            <w:r>
              <w:t>组织公益文化活动次数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文化站图书馆建设合格率</w:t>
            </w:r>
          </w:p>
        </w:tc>
        <w:tc>
          <w:tcPr>
            <w:tcW w:w="2835" w:type="dxa"/>
            <w:vAlign w:val="center"/>
          </w:tcPr>
          <w:p>
            <w:pPr>
              <w:pStyle w:val="12"/>
            </w:pPr>
            <w:r>
              <w:t>文化站图书馆建设合格率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免费开放时间</w:t>
            </w:r>
          </w:p>
        </w:tc>
        <w:tc>
          <w:tcPr>
            <w:tcW w:w="2835" w:type="dxa"/>
            <w:vAlign w:val="center"/>
          </w:tcPr>
          <w:p>
            <w:pPr>
              <w:pStyle w:val="12"/>
            </w:pPr>
            <w:r>
              <w:t>图书馆免费开放时间</w:t>
            </w:r>
          </w:p>
        </w:tc>
        <w:tc>
          <w:tcPr>
            <w:tcW w:w="2551" w:type="dxa"/>
            <w:vAlign w:val="center"/>
          </w:tcPr>
          <w:p>
            <w:pPr>
              <w:pStyle w:val="12"/>
            </w:pPr>
            <w:r>
              <w:t>1全年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各项活动支出</w:t>
            </w:r>
          </w:p>
        </w:tc>
        <w:tc>
          <w:tcPr>
            <w:tcW w:w="2835" w:type="dxa"/>
            <w:vAlign w:val="center"/>
          </w:tcPr>
          <w:p>
            <w:pPr>
              <w:pStyle w:val="12"/>
            </w:pPr>
            <w:r>
              <w:t>活动用品、图书费用等支出</w:t>
            </w:r>
          </w:p>
        </w:tc>
        <w:tc>
          <w:tcPr>
            <w:tcW w:w="2551" w:type="dxa"/>
            <w:vAlign w:val="center"/>
          </w:tcPr>
          <w:p>
            <w:pPr>
              <w:pStyle w:val="12"/>
            </w:pPr>
            <w:r>
              <w:t>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提高居民文化素养效果</w:t>
            </w:r>
          </w:p>
        </w:tc>
        <w:tc>
          <w:tcPr>
            <w:tcW w:w="2835" w:type="dxa"/>
            <w:vAlign w:val="center"/>
          </w:tcPr>
          <w:p>
            <w:pPr>
              <w:pStyle w:val="12"/>
            </w:pPr>
            <w:r>
              <w:t>提高居民文化素养效果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提高街居群文骨干理论水平效果</w:t>
            </w:r>
          </w:p>
        </w:tc>
        <w:tc>
          <w:tcPr>
            <w:tcW w:w="2835" w:type="dxa"/>
            <w:vAlign w:val="center"/>
          </w:tcPr>
          <w:p>
            <w:pPr>
              <w:pStyle w:val="12"/>
            </w:pPr>
            <w:r>
              <w:t>提高街居群文骨干理论水平效果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服务对象满意度指标</w:t>
            </w:r>
          </w:p>
        </w:tc>
        <w:tc>
          <w:tcPr>
            <w:tcW w:w="2551" w:type="dxa"/>
            <w:vAlign w:val="center"/>
          </w:tcPr>
          <w:p>
            <w:pPr>
              <w:pStyle w:val="12"/>
            </w:pPr>
            <w:r>
              <w:t>≥90%</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1.及时支付街巷路环卫保洁垃圾收运服务费用，确保辖区环境干净整洁，市容秩序规范有序。</w:t>
            </w:r>
          </w:p>
          <w:p>
            <w:pPr>
              <w:pStyle w:val="12"/>
            </w:pPr>
            <w:r>
              <w:t>2.保障社区网格服务管理经费，开展网格化社会治理工作，推动社会治理向基层延伸，不断提升社会治理水平。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街巷路数量</w:t>
            </w:r>
          </w:p>
        </w:tc>
        <w:tc>
          <w:tcPr>
            <w:tcW w:w="2835" w:type="dxa"/>
            <w:vAlign w:val="center"/>
          </w:tcPr>
          <w:p>
            <w:pPr>
              <w:pStyle w:val="12"/>
            </w:pPr>
            <w:r>
              <w:t>清扫和保洁街巷路数量</w:t>
            </w:r>
          </w:p>
        </w:tc>
        <w:tc>
          <w:tcPr>
            <w:tcW w:w="2551" w:type="dxa"/>
            <w:vAlign w:val="center"/>
          </w:tcPr>
          <w:p>
            <w:pPr>
              <w:pStyle w:val="12"/>
            </w:pPr>
            <w:r>
              <w:t>≥26条</w:t>
            </w:r>
          </w:p>
        </w:tc>
        <w:tc>
          <w:tcPr>
            <w:tcW w:w="2268" w:type="dxa"/>
            <w:vAlign w:val="center"/>
          </w:tcPr>
          <w:p>
            <w:pPr>
              <w:pStyle w:val="12"/>
            </w:pPr>
            <w:r>
              <w:t>实际工作标准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网格数量</w:t>
            </w:r>
          </w:p>
        </w:tc>
        <w:tc>
          <w:tcPr>
            <w:tcW w:w="2835" w:type="dxa"/>
            <w:vAlign w:val="center"/>
          </w:tcPr>
          <w:p>
            <w:pPr>
              <w:pStyle w:val="12"/>
            </w:pPr>
            <w:r>
              <w:t>保障网格数量</w:t>
            </w:r>
          </w:p>
        </w:tc>
        <w:tc>
          <w:tcPr>
            <w:tcW w:w="2551" w:type="dxa"/>
            <w:vAlign w:val="center"/>
          </w:tcPr>
          <w:p>
            <w:pPr>
              <w:pStyle w:val="12"/>
            </w:pPr>
            <w:r>
              <w:t>48个</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环卫保洁达标率</w:t>
            </w:r>
          </w:p>
        </w:tc>
        <w:tc>
          <w:tcPr>
            <w:tcW w:w="2835" w:type="dxa"/>
            <w:vAlign w:val="center"/>
          </w:tcPr>
          <w:p>
            <w:pPr>
              <w:pStyle w:val="12"/>
            </w:pPr>
            <w:r>
              <w:t>达到“七净五无”“三根清”的卫生标准率</w:t>
            </w:r>
          </w:p>
        </w:tc>
        <w:tc>
          <w:tcPr>
            <w:tcW w:w="2551" w:type="dxa"/>
            <w:vAlign w:val="center"/>
          </w:tcPr>
          <w:p>
            <w:pPr>
              <w:pStyle w:val="12"/>
            </w:pPr>
            <w:r>
              <w:t>≥95%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放发工资及时率</w:t>
            </w:r>
          </w:p>
        </w:tc>
        <w:tc>
          <w:tcPr>
            <w:tcW w:w="2835" w:type="dxa"/>
            <w:vAlign w:val="center"/>
          </w:tcPr>
          <w:p>
            <w:pPr>
              <w:pStyle w:val="12"/>
            </w:pPr>
            <w:r>
              <w:t>放发环卫保洁人员工资及时率</w:t>
            </w:r>
          </w:p>
        </w:tc>
        <w:tc>
          <w:tcPr>
            <w:tcW w:w="2551" w:type="dxa"/>
            <w:vAlign w:val="center"/>
          </w:tcPr>
          <w:p>
            <w:pPr>
              <w:pStyle w:val="12"/>
            </w:pPr>
            <w:r>
              <w:t>≥95%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发放网格员补贴及时率</w:t>
            </w:r>
          </w:p>
        </w:tc>
        <w:tc>
          <w:tcPr>
            <w:tcW w:w="2835" w:type="dxa"/>
            <w:vAlign w:val="center"/>
          </w:tcPr>
          <w:p>
            <w:pPr>
              <w:pStyle w:val="12"/>
            </w:pPr>
            <w:r>
              <w:t>发放网格员补贴及时率</w:t>
            </w:r>
          </w:p>
        </w:tc>
        <w:tc>
          <w:tcPr>
            <w:tcW w:w="2551" w:type="dxa"/>
            <w:vAlign w:val="center"/>
          </w:tcPr>
          <w:p>
            <w:pPr>
              <w:pStyle w:val="12"/>
            </w:pPr>
            <w:r>
              <w:t>≥96%</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网格服务保障经费标准</w:t>
            </w:r>
          </w:p>
        </w:tc>
        <w:tc>
          <w:tcPr>
            <w:tcW w:w="2835" w:type="dxa"/>
            <w:vAlign w:val="center"/>
          </w:tcPr>
          <w:p>
            <w:pPr>
              <w:pStyle w:val="12"/>
            </w:pPr>
            <w:r>
              <w:t>网格员意外伤害保险、制作网格员证件等基础保障</w:t>
            </w:r>
          </w:p>
        </w:tc>
        <w:tc>
          <w:tcPr>
            <w:tcW w:w="2551" w:type="dxa"/>
            <w:vAlign w:val="center"/>
          </w:tcPr>
          <w:p>
            <w:pPr>
              <w:pStyle w:val="12"/>
            </w:pPr>
            <w:r>
              <w:t>1000每年每个网格</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网格服务管理经费标准</w:t>
            </w:r>
          </w:p>
        </w:tc>
        <w:tc>
          <w:tcPr>
            <w:tcW w:w="2835" w:type="dxa"/>
            <w:vAlign w:val="center"/>
          </w:tcPr>
          <w:p>
            <w:pPr>
              <w:pStyle w:val="12"/>
            </w:pPr>
            <w:r>
              <w:t>网格员工作补贴及服务群众费用</w:t>
            </w:r>
          </w:p>
        </w:tc>
        <w:tc>
          <w:tcPr>
            <w:tcW w:w="2551" w:type="dxa"/>
            <w:vAlign w:val="center"/>
          </w:tcPr>
          <w:p>
            <w:pPr>
              <w:pStyle w:val="12"/>
            </w:pPr>
            <w:r>
              <w:t>1000元每月</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提升城市环境</w:t>
            </w:r>
          </w:p>
        </w:tc>
        <w:tc>
          <w:tcPr>
            <w:tcW w:w="2835" w:type="dxa"/>
            <w:vAlign w:val="center"/>
          </w:tcPr>
          <w:p>
            <w:pPr>
              <w:pStyle w:val="12"/>
            </w:pPr>
            <w:r>
              <w:t>维护街巷道路的干净卫生，提升城市环境</w:t>
            </w:r>
          </w:p>
        </w:tc>
        <w:tc>
          <w:tcPr>
            <w:tcW w:w="2551" w:type="dxa"/>
            <w:vAlign w:val="center"/>
          </w:tcPr>
          <w:p>
            <w:pPr>
              <w:pStyle w:val="12"/>
            </w:pPr>
            <w:r>
              <w:t>进一步提高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提高社区治理能力水平</w:t>
            </w:r>
          </w:p>
        </w:tc>
        <w:tc>
          <w:tcPr>
            <w:tcW w:w="2835" w:type="dxa"/>
            <w:vAlign w:val="center"/>
          </w:tcPr>
          <w:p>
            <w:pPr>
              <w:pStyle w:val="12"/>
            </w:pPr>
            <w:r>
              <w:t>打造基础网格治理体系，提高社区治理能力水平</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服务对象满意度指标</w:t>
            </w:r>
          </w:p>
        </w:tc>
        <w:tc>
          <w:tcPr>
            <w:tcW w:w="2551" w:type="dxa"/>
            <w:vAlign w:val="center"/>
          </w:tcPr>
          <w:p>
            <w:pPr>
              <w:pStyle w:val="12"/>
            </w:pPr>
            <w:r>
              <w:t>≥90%</w:t>
            </w:r>
          </w:p>
        </w:tc>
        <w:tc>
          <w:tcPr>
            <w:tcW w:w="2268"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1.保障社区日常运转，完成全年各项工作任务。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2835" w:type="dxa"/>
            <w:vAlign w:val="center"/>
          </w:tcPr>
          <w:p>
            <w:pPr>
              <w:pStyle w:val="12"/>
            </w:pPr>
            <w:r>
              <w:t>保障办公人数</w:t>
            </w:r>
          </w:p>
        </w:tc>
        <w:tc>
          <w:tcPr>
            <w:tcW w:w="2551" w:type="dxa"/>
            <w:vAlign w:val="center"/>
          </w:tcPr>
          <w:p>
            <w:pPr>
              <w:pStyle w:val="12"/>
            </w:pPr>
            <w:r>
              <w:t>≥46人</w:t>
            </w:r>
          </w:p>
        </w:tc>
        <w:tc>
          <w:tcPr>
            <w:tcW w:w="2268" w:type="dxa"/>
            <w:vAlign w:val="center"/>
          </w:tcPr>
          <w:p>
            <w:pPr>
              <w:pStyle w:val="12"/>
            </w:pPr>
            <w:r>
              <w:t>办公实际人数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保障办公社区数量</w:t>
            </w:r>
          </w:p>
        </w:tc>
        <w:tc>
          <w:tcPr>
            <w:tcW w:w="2835" w:type="dxa"/>
            <w:vAlign w:val="center"/>
          </w:tcPr>
          <w:p>
            <w:pPr>
              <w:pStyle w:val="12"/>
            </w:pPr>
            <w:r>
              <w:t>保障办公社区数量</w:t>
            </w:r>
          </w:p>
        </w:tc>
        <w:tc>
          <w:tcPr>
            <w:tcW w:w="2551" w:type="dxa"/>
            <w:vAlign w:val="center"/>
          </w:tcPr>
          <w:p>
            <w:pPr>
              <w:pStyle w:val="12"/>
            </w:pPr>
            <w:r>
              <w:t>7个</w:t>
            </w:r>
          </w:p>
        </w:tc>
        <w:tc>
          <w:tcPr>
            <w:tcW w:w="2268" w:type="dxa"/>
            <w:vAlign w:val="center"/>
          </w:tcPr>
          <w:p>
            <w:pPr>
              <w:pStyle w:val="12"/>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2835" w:type="dxa"/>
            <w:vAlign w:val="center"/>
          </w:tcPr>
          <w:p>
            <w:pPr>
              <w:pStyle w:val="12"/>
            </w:pPr>
            <w:r>
              <w:t>各项日常工作运转保障率</w:t>
            </w:r>
          </w:p>
        </w:tc>
        <w:tc>
          <w:tcPr>
            <w:tcW w:w="2551" w:type="dxa"/>
            <w:vAlign w:val="center"/>
          </w:tcPr>
          <w:p>
            <w:pPr>
              <w:pStyle w:val="12"/>
            </w:pPr>
            <w:r>
              <w:t>≥90%</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2835" w:type="dxa"/>
            <w:vAlign w:val="center"/>
          </w:tcPr>
          <w:p>
            <w:pPr>
              <w:pStyle w:val="12"/>
            </w:pPr>
            <w:r>
              <w:t>及时保障各项日常办公需要</w:t>
            </w:r>
          </w:p>
        </w:tc>
        <w:tc>
          <w:tcPr>
            <w:tcW w:w="2551" w:type="dxa"/>
            <w:vAlign w:val="center"/>
          </w:tcPr>
          <w:p>
            <w:pPr>
              <w:pStyle w:val="12"/>
            </w:pPr>
            <w:r>
              <w:t>及时保障</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各社区日常经费标准</w:t>
            </w:r>
          </w:p>
        </w:tc>
        <w:tc>
          <w:tcPr>
            <w:tcW w:w="2835" w:type="dxa"/>
            <w:vAlign w:val="center"/>
          </w:tcPr>
          <w:p>
            <w:pPr>
              <w:pStyle w:val="12"/>
            </w:pPr>
            <w:r>
              <w:t>各社区日常经费标准</w:t>
            </w:r>
          </w:p>
        </w:tc>
        <w:tc>
          <w:tcPr>
            <w:tcW w:w="2551" w:type="dxa"/>
            <w:vAlign w:val="center"/>
          </w:tcPr>
          <w:p>
            <w:pPr>
              <w:pStyle w:val="12"/>
            </w:pPr>
            <w:r>
              <w:t>10万/社区</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2835" w:type="dxa"/>
            <w:vAlign w:val="center"/>
          </w:tcPr>
          <w:p>
            <w:pPr>
              <w:pStyle w:val="12"/>
            </w:pPr>
            <w:r>
              <w:t>保障日常办公需要，维持单位正常运转</w:t>
            </w:r>
          </w:p>
        </w:tc>
        <w:tc>
          <w:tcPr>
            <w:tcW w:w="2551" w:type="dxa"/>
            <w:vAlign w:val="center"/>
          </w:tcPr>
          <w:p>
            <w:pPr>
              <w:pStyle w:val="12"/>
            </w:pPr>
            <w:r>
              <w:t>单位运转情况</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2835" w:type="dxa"/>
            <w:vAlign w:val="center"/>
          </w:tcPr>
          <w:p>
            <w:pPr>
              <w:pStyle w:val="12"/>
            </w:pPr>
            <w:r>
              <w:t>单位办公人员对保障工作的满意程度</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2023年，秦皇岛市海港区人民政府文化路街道办事处安排政府采购预算170.59万元。具体内容见下表。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530秦皇岛市海港区人民政府文化路街道办事处</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170.59</w:t>
            </w:r>
          </w:p>
        </w:tc>
        <w:tc>
          <w:tcPr>
            <w:tcW w:w="964" w:type="dxa"/>
            <w:vAlign w:val="center"/>
          </w:tcPr>
          <w:p>
            <w:pPr>
              <w:pStyle w:val="15"/>
            </w:pPr>
            <w:r>
              <w:t>170.59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秦皇岛市海港区人民政府文化路街道办事处本级小计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170.59</w:t>
            </w:r>
          </w:p>
        </w:tc>
        <w:tc>
          <w:tcPr>
            <w:tcW w:w="964" w:type="dxa"/>
            <w:vAlign w:val="center"/>
          </w:tcPr>
          <w:p>
            <w:pPr>
              <w:pStyle w:val="15"/>
            </w:pPr>
            <w:r>
              <w:t>170.59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0.60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0.20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文件(图文)传真机</w:t>
            </w:r>
          </w:p>
        </w:tc>
        <w:tc>
          <w:tcPr>
            <w:tcW w:w="1134" w:type="dxa"/>
            <w:vAlign w:val="center"/>
          </w:tcPr>
          <w:p>
            <w:pPr>
              <w:pStyle w:val="12"/>
            </w:pPr>
            <w:r>
              <w:t>A02081001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0.04</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0.30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6.75</w:t>
            </w:r>
          </w:p>
        </w:tc>
        <w:tc>
          <w:tcPr>
            <w:tcW w:w="964" w:type="dxa"/>
            <w:vAlign w:val="center"/>
          </w:tcPr>
          <w:p>
            <w:pPr>
              <w:pStyle w:val="11"/>
            </w:pPr>
            <w:r>
              <w:t>6.75</w:t>
            </w:r>
          </w:p>
        </w:tc>
        <w:tc>
          <w:tcPr>
            <w:tcW w:w="964" w:type="dxa"/>
            <w:vAlign w:val="center"/>
          </w:tcPr>
          <w:p>
            <w:pPr>
              <w:pStyle w:val="11"/>
            </w:pPr>
            <w:r>
              <w:t>6.75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基层武装工作经费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人大代表之家经费</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120.00</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70.00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70.00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秦皇岛市海港区人民政府文化路街道办事处（含所属单位）上年末固定资产金额为</w:t>
      </w:r>
      <w:r>
        <w:rPr>
          <w:rFonts w:hint="eastAsia" w:eastAsia="方正仿宋_GBK"/>
          <w:color w:val="000000"/>
          <w:sz w:val="28"/>
          <w:lang w:eastAsia="zh-CN"/>
        </w:rPr>
        <w:t>6006.92227</w:t>
      </w:r>
      <w:r>
        <w:rPr>
          <w:rFonts w:eastAsia="方正仿宋_GBK"/>
          <w:color w:val="000000"/>
          <w:sz w:val="28"/>
        </w:rPr>
        <w:t>万元（详见下表）。本年度拟购置固定资产总额为</w:t>
      </w:r>
      <w:r>
        <w:rPr>
          <w:rFonts w:hint="eastAsia" w:eastAsia="方正仿宋_GBK"/>
          <w:color w:val="000000"/>
          <w:sz w:val="28"/>
          <w:lang w:eastAsia="zh-CN"/>
        </w:rPr>
        <w:t>10</w:t>
      </w:r>
      <w:r>
        <w:rPr>
          <w:rFonts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pPr>
              <w:pStyle w:val="9"/>
              <w:jc w:val="both"/>
            </w:pPr>
            <w:r>
              <w:t>530001秦皇岛市海港区人民政府文化路街道办事处本级</w:t>
            </w:r>
          </w:p>
        </w:tc>
        <w:tc>
          <w:tcPr>
            <w:tcW w:w="5670" w:type="dxa"/>
            <w:tcBorders>
              <w:top w:val="single" w:color="FFFFFF" w:sz="6" w:space="0"/>
              <w:left w:val="single" w:color="FFFFFF" w:sz="6" w:space="0"/>
              <w:right w:val="single" w:color="FFFFFF" w:sz="6" w:space="0"/>
            </w:tcBorders>
            <w:vAlign w:val="center"/>
          </w:tcPr>
          <w:p>
            <w:pPr>
              <w:pStyle w:val="7"/>
            </w:pPr>
            <w:r>
              <w:t>截止时间：202</w:t>
            </w:r>
            <w:r>
              <w:rPr>
                <w:rFonts w:hint="eastAsia"/>
                <w:lang w:eastAsia="zh-CN"/>
              </w:rPr>
              <w:t>2</w:t>
            </w:r>
            <w:r>
              <w:t>-12-31</w:t>
            </w:r>
          </w:p>
        </w:tc>
      </w:tr>
    </w:tbl>
    <w:tbl>
      <w:tblPr>
        <w:tblStyle w:val="35"/>
        <w:tblW w:w="13483" w:type="dxa"/>
        <w:tblInd w:w="-14" w:type="dxa"/>
        <w:tblLayout w:type="fixed"/>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价值（金额单位：万元）</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6006.92227</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1881</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91.793661</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1881</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91.793661</w:t>
            </w:r>
          </w:p>
        </w:tc>
      </w:tr>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23.3194</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eastAsiaTheme="minorEastAsia"/>
                <w:sz w:val="28"/>
                <w:lang w:eastAsia="zh-CN"/>
              </w:rPr>
            </w:pPr>
            <w:r>
              <w:rPr>
                <w:rFonts w:hint="eastAsia" w:ascii="Times New Roman" w:hAnsi="Times New Roman" w:cs="Times New Roman" w:eastAsiaTheme="minorEastAsia"/>
                <w:sz w:val="28"/>
                <w:lang w:eastAsia="zh-CN"/>
              </w:rPr>
              <w:t>1544</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5891.809209</w:t>
            </w:r>
          </w:p>
        </w:tc>
      </w:tr>
    </w:tbl>
    <w:p>
      <w:pPr>
        <w:jc w:val="center"/>
        <w:rPr>
          <w:rFonts w:hint="eastAsia"/>
          <w:lang w:eastAsia="zh-CN"/>
        </w:rPr>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一、秦皇岛市海港区人民政府文化路街道办事处本级收支预算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1537.33</w:t>
            </w:r>
          </w:p>
        </w:tc>
        <w:tc>
          <w:tcPr>
            <w:tcW w:w="4535" w:type="dxa"/>
            <w:vAlign w:val="center"/>
          </w:tcPr>
          <w:p>
            <w:pPr>
              <w:pStyle w:val="12"/>
            </w:pPr>
            <w:r>
              <w:t>一、一般公共服务支出</w:t>
            </w:r>
          </w:p>
        </w:tc>
        <w:tc>
          <w:tcPr>
            <w:tcW w:w="2126" w:type="dxa"/>
            <w:vAlign w:val="center"/>
          </w:tcPr>
          <w:p>
            <w:pPr>
              <w:pStyle w:val="11"/>
            </w:pPr>
            <w:r>
              <w:t>995.21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1537.33</w:t>
            </w:r>
          </w:p>
        </w:tc>
        <w:tc>
          <w:tcPr>
            <w:tcW w:w="4535" w:type="dxa"/>
            <w:vAlign w:val="center"/>
          </w:tcPr>
          <w:p>
            <w:pPr>
              <w:pStyle w:val="14"/>
            </w:pPr>
            <w:r>
              <w:t>本年支出合计</w:t>
            </w:r>
          </w:p>
        </w:tc>
        <w:tc>
          <w:tcPr>
            <w:tcW w:w="2126" w:type="dxa"/>
            <w:vAlign w:val="center"/>
          </w:tcPr>
          <w:p>
            <w:pPr>
              <w:pStyle w:val="15"/>
            </w:pPr>
            <w:r>
              <w:t>1537.33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1537.33</w:t>
            </w:r>
          </w:p>
        </w:tc>
        <w:tc>
          <w:tcPr>
            <w:tcW w:w="4535" w:type="dxa"/>
            <w:vAlign w:val="center"/>
          </w:tcPr>
          <w:p>
            <w:pPr>
              <w:pStyle w:val="14"/>
            </w:pPr>
            <w:r>
              <w:t>支出总计</w:t>
            </w:r>
          </w:p>
        </w:tc>
        <w:tc>
          <w:tcPr>
            <w:tcW w:w="2126" w:type="dxa"/>
            <w:vAlign w:val="center"/>
          </w:tcPr>
          <w:p>
            <w:pPr>
              <w:pStyle w:val="15"/>
            </w:pPr>
            <w:r>
              <w:t>1537.33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01"/>
        <w:gridCol w:w="992"/>
        <w:gridCol w:w="992"/>
        <w:gridCol w:w="993"/>
        <w:gridCol w:w="708"/>
        <w:gridCol w:w="993"/>
        <w:gridCol w:w="567"/>
        <w:gridCol w:w="708"/>
        <w:gridCol w:w="1077"/>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7" w:type="dxa"/>
            <w:gridSpan w:val="5"/>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69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4593" w:type="dxa"/>
            <w:gridSpan w:val="2"/>
            <w:vAlign w:val="center"/>
          </w:tcPr>
          <w:p>
            <w:pPr>
              <w:pStyle w:val="10"/>
            </w:pPr>
            <w:r>
              <w:t>功能分类科目</w:t>
            </w:r>
          </w:p>
        </w:tc>
        <w:tc>
          <w:tcPr>
            <w:tcW w:w="992" w:type="dxa"/>
            <w:vMerge w:val="restart"/>
            <w:vAlign w:val="center"/>
          </w:tcPr>
          <w:p>
            <w:pPr>
              <w:pStyle w:val="10"/>
            </w:pPr>
            <w:r>
              <w:t>合计</w:t>
            </w:r>
          </w:p>
        </w:tc>
        <w:tc>
          <w:tcPr>
            <w:tcW w:w="71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3601" w:type="dxa"/>
            <w:vAlign w:val="center"/>
          </w:tcPr>
          <w:p>
            <w:pPr>
              <w:pStyle w:val="10"/>
            </w:pPr>
            <w:r>
              <w:t>科目名称</w:t>
            </w:r>
          </w:p>
        </w:tc>
        <w:tc>
          <w:tcPr>
            <w:tcW w:w="992" w:type="dxa"/>
            <w:vMerge w:val="continue"/>
          </w:tcPr>
          <w:p/>
        </w:tc>
        <w:tc>
          <w:tcPr>
            <w:tcW w:w="992" w:type="dxa"/>
            <w:vAlign w:val="center"/>
          </w:tcPr>
          <w:p>
            <w:pPr>
              <w:pStyle w:val="10"/>
            </w:pPr>
            <w:r>
              <w:t>小计</w:t>
            </w:r>
          </w:p>
        </w:tc>
        <w:tc>
          <w:tcPr>
            <w:tcW w:w="993" w:type="dxa"/>
            <w:vAlign w:val="center"/>
          </w:tcPr>
          <w:p>
            <w:pPr>
              <w:pStyle w:val="10"/>
            </w:pPr>
            <w:r>
              <w:t>财政拨款 收入</w:t>
            </w:r>
          </w:p>
        </w:tc>
        <w:tc>
          <w:tcPr>
            <w:tcW w:w="708" w:type="dxa"/>
            <w:vAlign w:val="center"/>
          </w:tcPr>
          <w:p>
            <w:pPr>
              <w:pStyle w:val="10"/>
            </w:pPr>
            <w:r>
              <w:t>财政专户 收入</w:t>
            </w:r>
          </w:p>
        </w:tc>
        <w:tc>
          <w:tcPr>
            <w:tcW w:w="993" w:type="dxa"/>
            <w:vAlign w:val="center"/>
          </w:tcPr>
          <w:p>
            <w:pPr>
              <w:pStyle w:val="10"/>
            </w:pPr>
            <w:r>
              <w:t>事业收入</w:t>
            </w:r>
          </w:p>
        </w:tc>
        <w:tc>
          <w:tcPr>
            <w:tcW w:w="567" w:type="dxa"/>
            <w:vAlign w:val="center"/>
          </w:tcPr>
          <w:p>
            <w:pPr>
              <w:pStyle w:val="10"/>
            </w:pPr>
            <w:r>
              <w:t>经营收入</w:t>
            </w:r>
          </w:p>
        </w:tc>
        <w:tc>
          <w:tcPr>
            <w:tcW w:w="708" w:type="dxa"/>
            <w:vAlign w:val="center"/>
          </w:tcPr>
          <w:p>
            <w:pPr>
              <w:pStyle w:val="10"/>
            </w:pPr>
            <w:r>
              <w:t>上级补助收入</w:t>
            </w:r>
          </w:p>
        </w:tc>
        <w:tc>
          <w:tcPr>
            <w:tcW w:w="1077"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680" w:type="dxa"/>
            <w:vAlign w:val="center"/>
          </w:tcPr>
          <w:p>
            <w:pPr>
              <w:pStyle w:val="10"/>
            </w:pPr>
            <w:r>
              <w:t>栏次</w:t>
            </w:r>
          </w:p>
        </w:tc>
        <w:tc>
          <w:tcPr>
            <w:tcW w:w="992" w:type="dxa"/>
            <w:vAlign w:val="center"/>
          </w:tcPr>
          <w:p>
            <w:pPr>
              <w:pStyle w:val="10"/>
            </w:pPr>
            <w:r>
              <w:t>1</w:t>
            </w:r>
          </w:p>
        </w:tc>
        <w:tc>
          <w:tcPr>
            <w:tcW w:w="3601" w:type="dxa"/>
            <w:vAlign w:val="center"/>
          </w:tcPr>
          <w:p>
            <w:pPr>
              <w:pStyle w:val="10"/>
            </w:pPr>
            <w:r>
              <w:t>2</w:t>
            </w:r>
          </w:p>
        </w:tc>
        <w:tc>
          <w:tcPr>
            <w:tcW w:w="992" w:type="dxa"/>
            <w:vAlign w:val="center"/>
          </w:tcPr>
          <w:p>
            <w:pPr>
              <w:pStyle w:val="10"/>
            </w:pPr>
            <w:r>
              <w:t>3</w:t>
            </w:r>
          </w:p>
        </w:tc>
        <w:tc>
          <w:tcPr>
            <w:tcW w:w="992" w:type="dxa"/>
            <w:vAlign w:val="center"/>
          </w:tcPr>
          <w:p>
            <w:pPr>
              <w:pStyle w:val="10"/>
            </w:pPr>
            <w:r>
              <w:t>4</w:t>
            </w:r>
          </w:p>
        </w:tc>
        <w:tc>
          <w:tcPr>
            <w:tcW w:w="993" w:type="dxa"/>
            <w:vAlign w:val="center"/>
          </w:tcPr>
          <w:p>
            <w:pPr>
              <w:pStyle w:val="10"/>
            </w:pPr>
            <w:r>
              <w:t>5</w:t>
            </w:r>
          </w:p>
        </w:tc>
        <w:tc>
          <w:tcPr>
            <w:tcW w:w="708" w:type="dxa"/>
            <w:vAlign w:val="center"/>
          </w:tcPr>
          <w:p>
            <w:pPr>
              <w:pStyle w:val="10"/>
            </w:pPr>
            <w:r>
              <w:t>6</w:t>
            </w:r>
          </w:p>
        </w:tc>
        <w:tc>
          <w:tcPr>
            <w:tcW w:w="993" w:type="dxa"/>
            <w:vAlign w:val="center"/>
          </w:tcPr>
          <w:p>
            <w:pPr>
              <w:pStyle w:val="10"/>
            </w:pPr>
            <w:r>
              <w:t>7</w:t>
            </w:r>
          </w:p>
        </w:tc>
        <w:tc>
          <w:tcPr>
            <w:tcW w:w="567" w:type="dxa"/>
            <w:vAlign w:val="center"/>
          </w:tcPr>
          <w:p>
            <w:pPr>
              <w:pStyle w:val="10"/>
            </w:pPr>
            <w:r>
              <w:t>8</w:t>
            </w:r>
          </w:p>
        </w:tc>
        <w:tc>
          <w:tcPr>
            <w:tcW w:w="708" w:type="dxa"/>
            <w:vAlign w:val="center"/>
          </w:tcPr>
          <w:p>
            <w:pPr>
              <w:pStyle w:val="10"/>
            </w:pPr>
            <w:r>
              <w:t>9</w:t>
            </w:r>
          </w:p>
        </w:tc>
        <w:tc>
          <w:tcPr>
            <w:tcW w:w="1077"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3601" w:type="dxa"/>
            <w:vAlign w:val="center"/>
          </w:tcPr>
          <w:p>
            <w:pPr>
              <w:pStyle w:val="14"/>
            </w:pPr>
            <w:r>
              <w:t>合计</w:t>
            </w:r>
          </w:p>
        </w:tc>
        <w:tc>
          <w:tcPr>
            <w:tcW w:w="992" w:type="dxa"/>
            <w:vAlign w:val="center"/>
          </w:tcPr>
          <w:p>
            <w:pPr>
              <w:pStyle w:val="15"/>
            </w:pPr>
            <w:r>
              <w:t>1537.33</w:t>
            </w:r>
          </w:p>
        </w:tc>
        <w:tc>
          <w:tcPr>
            <w:tcW w:w="992" w:type="dxa"/>
            <w:vAlign w:val="center"/>
          </w:tcPr>
          <w:p>
            <w:pPr>
              <w:pStyle w:val="15"/>
            </w:pPr>
            <w:r>
              <w:t>1537.33</w:t>
            </w:r>
          </w:p>
        </w:tc>
        <w:tc>
          <w:tcPr>
            <w:tcW w:w="993" w:type="dxa"/>
            <w:vAlign w:val="center"/>
          </w:tcPr>
          <w:p>
            <w:pPr>
              <w:pStyle w:val="15"/>
            </w:pPr>
            <w:r>
              <w:t>1537.33</w:t>
            </w:r>
          </w:p>
        </w:tc>
        <w:tc>
          <w:tcPr>
            <w:tcW w:w="708" w:type="dxa"/>
            <w:vAlign w:val="center"/>
          </w:tcPr>
          <w:p>
            <w:pPr>
              <w:pStyle w:val="15"/>
            </w:pPr>
          </w:p>
        </w:tc>
        <w:tc>
          <w:tcPr>
            <w:tcW w:w="993" w:type="dxa"/>
            <w:vAlign w:val="center"/>
          </w:tcPr>
          <w:p>
            <w:pPr>
              <w:pStyle w:val="15"/>
            </w:pPr>
          </w:p>
        </w:tc>
        <w:tc>
          <w:tcPr>
            <w:tcW w:w="567" w:type="dxa"/>
            <w:vAlign w:val="center"/>
          </w:tcPr>
          <w:p>
            <w:pPr>
              <w:pStyle w:val="15"/>
            </w:pPr>
          </w:p>
        </w:tc>
        <w:tc>
          <w:tcPr>
            <w:tcW w:w="708" w:type="dxa"/>
            <w:vAlign w:val="center"/>
          </w:tcPr>
          <w:p>
            <w:pPr>
              <w:pStyle w:val="15"/>
            </w:pPr>
          </w:p>
        </w:tc>
        <w:tc>
          <w:tcPr>
            <w:tcW w:w="1077"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3601" w:type="dxa"/>
            <w:vAlign w:val="center"/>
          </w:tcPr>
          <w:p>
            <w:pPr>
              <w:pStyle w:val="12"/>
            </w:pPr>
            <w:r>
              <w:t>一般公共服务支出</w:t>
            </w:r>
          </w:p>
        </w:tc>
        <w:tc>
          <w:tcPr>
            <w:tcW w:w="992" w:type="dxa"/>
            <w:vAlign w:val="center"/>
          </w:tcPr>
          <w:p>
            <w:pPr>
              <w:pStyle w:val="11"/>
            </w:pPr>
            <w:r>
              <w:t>995.21</w:t>
            </w:r>
          </w:p>
        </w:tc>
        <w:tc>
          <w:tcPr>
            <w:tcW w:w="992" w:type="dxa"/>
            <w:vAlign w:val="center"/>
          </w:tcPr>
          <w:p>
            <w:pPr>
              <w:pStyle w:val="11"/>
            </w:pPr>
            <w:r>
              <w:t>995.21</w:t>
            </w:r>
          </w:p>
        </w:tc>
        <w:tc>
          <w:tcPr>
            <w:tcW w:w="993" w:type="dxa"/>
            <w:vAlign w:val="center"/>
          </w:tcPr>
          <w:p>
            <w:pPr>
              <w:pStyle w:val="11"/>
            </w:pPr>
            <w:r>
              <w:t>995.21</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3601" w:type="dxa"/>
            <w:vAlign w:val="center"/>
          </w:tcPr>
          <w:p>
            <w:pPr>
              <w:pStyle w:val="12"/>
            </w:pPr>
            <w:r>
              <w:t>人大事务</w:t>
            </w:r>
          </w:p>
        </w:tc>
        <w:tc>
          <w:tcPr>
            <w:tcW w:w="992" w:type="dxa"/>
            <w:vAlign w:val="center"/>
          </w:tcPr>
          <w:p>
            <w:pPr>
              <w:pStyle w:val="11"/>
            </w:pPr>
            <w:r>
              <w:t>4.00</w:t>
            </w:r>
          </w:p>
        </w:tc>
        <w:tc>
          <w:tcPr>
            <w:tcW w:w="992" w:type="dxa"/>
            <w:vAlign w:val="center"/>
          </w:tcPr>
          <w:p>
            <w:pPr>
              <w:pStyle w:val="11"/>
            </w:pPr>
            <w:r>
              <w:t>4.00</w:t>
            </w:r>
          </w:p>
        </w:tc>
        <w:tc>
          <w:tcPr>
            <w:tcW w:w="993" w:type="dxa"/>
            <w:vAlign w:val="center"/>
          </w:tcPr>
          <w:p>
            <w:pPr>
              <w:pStyle w:val="11"/>
            </w:pPr>
            <w:r>
              <w:t>4.00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3601" w:type="dxa"/>
            <w:vAlign w:val="center"/>
          </w:tcPr>
          <w:p>
            <w:pPr>
              <w:pStyle w:val="12"/>
            </w:pPr>
            <w:r>
              <w:t>代表工作</w:t>
            </w:r>
          </w:p>
        </w:tc>
        <w:tc>
          <w:tcPr>
            <w:tcW w:w="992" w:type="dxa"/>
            <w:vAlign w:val="center"/>
          </w:tcPr>
          <w:p>
            <w:pPr>
              <w:pStyle w:val="11"/>
            </w:pPr>
            <w:r>
              <w:t>4.00</w:t>
            </w:r>
          </w:p>
        </w:tc>
        <w:tc>
          <w:tcPr>
            <w:tcW w:w="992" w:type="dxa"/>
            <w:vAlign w:val="center"/>
          </w:tcPr>
          <w:p>
            <w:pPr>
              <w:pStyle w:val="11"/>
            </w:pPr>
            <w:r>
              <w:t>4.00</w:t>
            </w:r>
          </w:p>
        </w:tc>
        <w:tc>
          <w:tcPr>
            <w:tcW w:w="993" w:type="dxa"/>
            <w:vAlign w:val="center"/>
          </w:tcPr>
          <w:p>
            <w:pPr>
              <w:pStyle w:val="11"/>
            </w:pPr>
            <w:r>
              <w:t>4.00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3601" w:type="dxa"/>
            <w:vAlign w:val="center"/>
          </w:tcPr>
          <w:p>
            <w:pPr>
              <w:pStyle w:val="12"/>
            </w:pPr>
            <w:r>
              <w:t>政府办公厅（室）及相关机构事务</w:t>
            </w:r>
          </w:p>
        </w:tc>
        <w:tc>
          <w:tcPr>
            <w:tcW w:w="992" w:type="dxa"/>
            <w:vAlign w:val="center"/>
          </w:tcPr>
          <w:p>
            <w:pPr>
              <w:pStyle w:val="11"/>
            </w:pPr>
            <w:r>
              <w:t>986.21</w:t>
            </w:r>
          </w:p>
        </w:tc>
        <w:tc>
          <w:tcPr>
            <w:tcW w:w="992" w:type="dxa"/>
            <w:vAlign w:val="center"/>
          </w:tcPr>
          <w:p>
            <w:pPr>
              <w:pStyle w:val="11"/>
            </w:pPr>
            <w:r>
              <w:t>986.21</w:t>
            </w:r>
          </w:p>
        </w:tc>
        <w:tc>
          <w:tcPr>
            <w:tcW w:w="993" w:type="dxa"/>
            <w:vAlign w:val="center"/>
          </w:tcPr>
          <w:p>
            <w:pPr>
              <w:pStyle w:val="11"/>
            </w:pPr>
            <w:r>
              <w:t>986.21</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3601" w:type="dxa"/>
            <w:vAlign w:val="center"/>
          </w:tcPr>
          <w:p>
            <w:pPr>
              <w:pStyle w:val="12"/>
            </w:pPr>
            <w:r>
              <w:t>行政运行</w:t>
            </w:r>
          </w:p>
        </w:tc>
        <w:tc>
          <w:tcPr>
            <w:tcW w:w="992" w:type="dxa"/>
            <w:vAlign w:val="center"/>
          </w:tcPr>
          <w:p>
            <w:pPr>
              <w:pStyle w:val="11"/>
            </w:pPr>
            <w:r>
              <w:t>960.21</w:t>
            </w:r>
          </w:p>
        </w:tc>
        <w:tc>
          <w:tcPr>
            <w:tcW w:w="992" w:type="dxa"/>
            <w:vAlign w:val="center"/>
          </w:tcPr>
          <w:p>
            <w:pPr>
              <w:pStyle w:val="11"/>
            </w:pPr>
            <w:r>
              <w:t>960.21</w:t>
            </w:r>
          </w:p>
        </w:tc>
        <w:tc>
          <w:tcPr>
            <w:tcW w:w="993" w:type="dxa"/>
            <w:vAlign w:val="center"/>
          </w:tcPr>
          <w:p>
            <w:pPr>
              <w:pStyle w:val="11"/>
            </w:pPr>
            <w:r>
              <w:t>960.21</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3601" w:type="dxa"/>
            <w:vAlign w:val="center"/>
          </w:tcPr>
          <w:p>
            <w:pPr>
              <w:pStyle w:val="12"/>
            </w:pPr>
            <w:r>
              <w:t>一般行政管理事务</w:t>
            </w:r>
          </w:p>
        </w:tc>
        <w:tc>
          <w:tcPr>
            <w:tcW w:w="992" w:type="dxa"/>
            <w:vAlign w:val="center"/>
          </w:tcPr>
          <w:p>
            <w:pPr>
              <w:pStyle w:val="11"/>
            </w:pPr>
            <w:r>
              <w:t>26.00</w:t>
            </w:r>
          </w:p>
        </w:tc>
        <w:tc>
          <w:tcPr>
            <w:tcW w:w="992" w:type="dxa"/>
            <w:vAlign w:val="center"/>
          </w:tcPr>
          <w:p>
            <w:pPr>
              <w:pStyle w:val="11"/>
            </w:pPr>
            <w:r>
              <w:t>26.00</w:t>
            </w:r>
          </w:p>
        </w:tc>
        <w:tc>
          <w:tcPr>
            <w:tcW w:w="993" w:type="dxa"/>
            <w:vAlign w:val="center"/>
          </w:tcPr>
          <w:p>
            <w:pPr>
              <w:pStyle w:val="11"/>
            </w:pPr>
            <w:r>
              <w:t>26.00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20199</w:t>
            </w:r>
          </w:p>
        </w:tc>
        <w:tc>
          <w:tcPr>
            <w:tcW w:w="3601" w:type="dxa"/>
            <w:vAlign w:val="center"/>
          </w:tcPr>
          <w:p>
            <w:pPr>
              <w:pStyle w:val="12"/>
            </w:pPr>
            <w:r>
              <w:t>其他一般公共服务支出</w:t>
            </w:r>
          </w:p>
        </w:tc>
        <w:tc>
          <w:tcPr>
            <w:tcW w:w="992" w:type="dxa"/>
            <w:vAlign w:val="center"/>
          </w:tcPr>
          <w:p>
            <w:pPr>
              <w:pStyle w:val="11"/>
            </w:pPr>
            <w:r>
              <w:t>5.00</w:t>
            </w:r>
          </w:p>
        </w:tc>
        <w:tc>
          <w:tcPr>
            <w:tcW w:w="992" w:type="dxa"/>
            <w:vAlign w:val="center"/>
          </w:tcPr>
          <w:p>
            <w:pPr>
              <w:pStyle w:val="11"/>
            </w:pPr>
            <w:r>
              <w:t>5.00</w:t>
            </w:r>
          </w:p>
        </w:tc>
        <w:tc>
          <w:tcPr>
            <w:tcW w:w="993" w:type="dxa"/>
            <w:vAlign w:val="center"/>
          </w:tcPr>
          <w:p>
            <w:pPr>
              <w:pStyle w:val="11"/>
            </w:pPr>
            <w:r>
              <w:t>5.00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2019999</w:t>
            </w:r>
          </w:p>
        </w:tc>
        <w:tc>
          <w:tcPr>
            <w:tcW w:w="3601" w:type="dxa"/>
            <w:vAlign w:val="center"/>
          </w:tcPr>
          <w:p>
            <w:pPr>
              <w:pStyle w:val="12"/>
            </w:pPr>
            <w:r>
              <w:t>其他一般公共服务支出</w:t>
            </w:r>
          </w:p>
        </w:tc>
        <w:tc>
          <w:tcPr>
            <w:tcW w:w="992" w:type="dxa"/>
            <w:vAlign w:val="center"/>
          </w:tcPr>
          <w:p>
            <w:pPr>
              <w:pStyle w:val="11"/>
            </w:pPr>
            <w:r>
              <w:t>5.00</w:t>
            </w:r>
          </w:p>
        </w:tc>
        <w:tc>
          <w:tcPr>
            <w:tcW w:w="992" w:type="dxa"/>
            <w:vAlign w:val="center"/>
          </w:tcPr>
          <w:p>
            <w:pPr>
              <w:pStyle w:val="11"/>
            </w:pPr>
            <w:r>
              <w:t>5.00</w:t>
            </w:r>
          </w:p>
        </w:tc>
        <w:tc>
          <w:tcPr>
            <w:tcW w:w="993" w:type="dxa"/>
            <w:vAlign w:val="center"/>
          </w:tcPr>
          <w:p>
            <w:pPr>
              <w:pStyle w:val="11"/>
            </w:pPr>
            <w:r>
              <w:t>5.00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w:t>
            </w:r>
          </w:p>
        </w:tc>
        <w:tc>
          <w:tcPr>
            <w:tcW w:w="3601" w:type="dxa"/>
            <w:vAlign w:val="center"/>
          </w:tcPr>
          <w:p>
            <w:pPr>
              <w:pStyle w:val="12"/>
            </w:pPr>
            <w:r>
              <w:t>文化旅游体育与传媒支出</w:t>
            </w:r>
          </w:p>
        </w:tc>
        <w:tc>
          <w:tcPr>
            <w:tcW w:w="992" w:type="dxa"/>
            <w:vAlign w:val="center"/>
          </w:tcPr>
          <w:p>
            <w:pPr>
              <w:pStyle w:val="11"/>
            </w:pPr>
            <w:r>
              <w:t>1.00</w:t>
            </w:r>
          </w:p>
        </w:tc>
        <w:tc>
          <w:tcPr>
            <w:tcW w:w="992" w:type="dxa"/>
            <w:vAlign w:val="center"/>
          </w:tcPr>
          <w:p>
            <w:pPr>
              <w:pStyle w:val="11"/>
            </w:pPr>
            <w:r>
              <w:t>1.00</w:t>
            </w:r>
          </w:p>
        </w:tc>
        <w:tc>
          <w:tcPr>
            <w:tcW w:w="993" w:type="dxa"/>
            <w:vAlign w:val="center"/>
          </w:tcPr>
          <w:p>
            <w:pPr>
              <w:pStyle w:val="11"/>
            </w:pPr>
            <w:r>
              <w:t>1.00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w:t>
            </w:r>
          </w:p>
        </w:tc>
        <w:tc>
          <w:tcPr>
            <w:tcW w:w="3601" w:type="dxa"/>
            <w:vAlign w:val="center"/>
          </w:tcPr>
          <w:p>
            <w:pPr>
              <w:pStyle w:val="12"/>
            </w:pPr>
            <w:r>
              <w:t>文化和旅游</w:t>
            </w:r>
          </w:p>
        </w:tc>
        <w:tc>
          <w:tcPr>
            <w:tcW w:w="992" w:type="dxa"/>
            <w:vAlign w:val="center"/>
          </w:tcPr>
          <w:p>
            <w:pPr>
              <w:pStyle w:val="11"/>
            </w:pPr>
            <w:r>
              <w:t>1.00</w:t>
            </w:r>
          </w:p>
        </w:tc>
        <w:tc>
          <w:tcPr>
            <w:tcW w:w="992" w:type="dxa"/>
            <w:vAlign w:val="center"/>
          </w:tcPr>
          <w:p>
            <w:pPr>
              <w:pStyle w:val="11"/>
            </w:pPr>
            <w:r>
              <w:t>1.00</w:t>
            </w:r>
          </w:p>
        </w:tc>
        <w:tc>
          <w:tcPr>
            <w:tcW w:w="993" w:type="dxa"/>
            <w:vAlign w:val="center"/>
          </w:tcPr>
          <w:p>
            <w:pPr>
              <w:pStyle w:val="11"/>
            </w:pPr>
            <w:r>
              <w:t>1.00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2070109</w:t>
            </w:r>
          </w:p>
        </w:tc>
        <w:tc>
          <w:tcPr>
            <w:tcW w:w="3601" w:type="dxa"/>
            <w:vAlign w:val="center"/>
          </w:tcPr>
          <w:p>
            <w:pPr>
              <w:pStyle w:val="12"/>
            </w:pPr>
            <w:r>
              <w:t>群众文化</w:t>
            </w:r>
          </w:p>
        </w:tc>
        <w:tc>
          <w:tcPr>
            <w:tcW w:w="992" w:type="dxa"/>
            <w:vAlign w:val="center"/>
          </w:tcPr>
          <w:p>
            <w:pPr>
              <w:pStyle w:val="11"/>
            </w:pPr>
            <w:r>
              <w:t>1.00</w:t>
            </w:r>
          </w:p>
        </w:tc>
        <w:tc>
          <w:tcPr>
            <w:tcW w:w="992" w:type="dxa"/>
            <w:vAlign w:val="center"/>
          </w:tcPr>
          <w:p>
            <w:pPr>
              <w:pStyle w:val="11"/>
            </w:pPr>
            <w:r>
              <w:t>1.00</w:t>
            </w:r>
          </w:p>
        </w:tc>
        <w:tc>
          <w:tcPr>
            <w:tcW w:w="993" w:type="dxa"/>
            <w:vAlign w:val="center"/>
          </w:tcPr>
          <w:p>
            <w:pPr>
              <w:pStyle w:val="11"/>
            </w:pPr>
            <w:r>
              <w:t>1.00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3601" w:type="dxa"/>
            <w:vAlign w:val="center"/>
          </w:tcPr>
          <w:p>
            <w:pPr>
              <w:pStyle w:val="12"/>
            </w:pPr>
            <w:r>
              <w:t>社会保障和就业支出</w:t>
            </w:r>
          </w:p>
        </w:tc>
        <w:tc>
          <w:tcPr>
            <w:tcW w:w="992" w:type="dxa"/>
            <w:vAlign w:val="center"/>
          </w:tcPr>
          <w:p>
            <w:pPr>
              <w:pStyle w:val="11"/>
            </w:pPr>
            <w:r>
              <w:t>455.04</w:t>
            </w:r>
          </w:p>
        </w:tc>
        <w:tc>
          <w:tcPr>
            <w:tcW w:w="992" w:type="dxa"/>
            <w:vAlign w:val="center"/>
          </w:tcPr>
          <w:p>
            <w:pPr>
              <w:pStyle w:val="11"/>
            </w:pPr>
            <w:r>
              <w:t>455.04</w:t>
            </w:r>
          </w:p>
        </w:tc>
        <w:tc>
          <w:tcPr>
            <w:tcW w:w="993" w:type="dxa"/>
            <w:vAlign w:val="center"/>
          </w:tcPr>
          <w:p>
            <w:pPr>
              <w:pStyle w:val="11"/>
            </w:pPr>
            <w:r>
              <w:t>455.04</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20802</w:t>
            </w:r>
          </w:p>
        </w:tc>
        <w:tc>
          <w:tcPr>
            <w:tcW w:w="3601" w:type="dxa"/>
            <w:vAlign w:val="center"/>
          </w:tcPr>
          <w:p>
            <w:pPr>
              <w:pStyle w:val="12"/>
            </w:pPr>
            <w:r>
              <w:t>民政管理事务</w:t>
            </w:r>
          </w:p>
        </w:tc>
        <w:tc>
          <w:tcPr>
            <w:tcW w:w="992" w:type="dxa"/>
            <w:vAlign w:val="center"/>
          </w:tcPr>
          <w:p>
            <w:pPr>
              <w:pStyle w:val="11"/>
            </w:pPr>
            <w:r>
              <w:t>268.00</w:t>
            </w:r>
          </w:p>
        </w:tc>
        <w:tc>
          <w:tcPr>
            <w:tcW w:w="992" w:type="dxa"/>
            <w:vAlign w:val="center"/>
          </w:tcPr>
          <w:p>
            <w:pPr>
              <w:pStyle w:val="11"/>
            </w:pPr>
            <w:r>
              <w:t>268.00</w:t>
            </w:r>
          </w:p>
        </w:tc>
        <w:tc>
          <w:tcPr>
            <w:tcW w:w="993" w:type="dxa"/>
            <w:vAlign w:val="center"/>
          </w:tcPr>
          <w:p>
            <w:pPr>
              <w:pStyle w:val="11"/>
            </w:pPr>
            <w:r>
              <w:t>268.00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2080208</w:t>
            </w:r>
          </w:p>
        </w:tc>
        <w:tc>
          <w:tcPr>
            <w:tcW w:w="3601" w:type="dxa"/>
            <w:vAlign w:val="center"/>
          </w:tcPr>
          <w:p>
            <w:pPr>
              <w:pStyle w:val="12"/>
            </w:pPr>
            <w:r>
              <w:t>基层政权建设和社区治理</w:t>
            </w:r>
          </w:p>
        </w:tc>
        <w:tc>
          <w:tcPr>
            <w:tcW w:w="992" w:type="dxa"/>
            <w:vAlign w:val="center"/>
          </w:tcPr>
          <w:p>
            <w:pPr>
              <w:pStyle w:val="11"/>
            </w:pPr>
            <w:r>
              <w:t>268.00</w:t>
            </w:r>
          </w:p>
        </w:tc>
        <w:tc>
          <w:tcPr>
            <w:tcW w:w="992" w:type="dxa"/>
            <w:vAlign w:val="center"/>
          </w:tcPr>
          <w:p>
            <w:pPr>
              <w:pStyle w:val="11"/>
            </w:pPr>
            <w:r>
              <w:t>268.00</w:t>
            </w:r>
          </w:p>
        </w:tc>
        <w:tc>
          <w:tcPr>
            <w:tcW w:w="993" w:type="dxa"/>
            <w:vAlign w:val="center"/>
          </w:tcPr>
          <w:p>
            <w:pPr>
              <w:pStyle w:val="11"/>
            </w:pPr>
            <w:r>
              <w:t>268.00</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3601" w:type="dxa"/>
            <w:vAlign w:val="center"/>
          </w:tcPr>
          <w:p>
            <w:pPr>
              <w:pStyle w:val="12"/>
            </w:pPr>
            <w:r>
              <w:t>行政事业单位养老支出</w:t>
            </w:r>
          </w:p>
        </w:tc>
        <w:tc>
          <w:tcPr>
            <w:tcW w:w="992" w:type="dxa"/>
            <w:vAlign w:val="center"/>
          </w:tcPr>
          <w:p>
            <w:pPr>
              <w:pStyle w:val="11"/>
            </w:pPr>
            <w:r>
              <w:t>187.04</w:t>
            </w:r>
          </w:p>
        </w:tc>
        <w:tc>
          <w:tcPr>
            <w:tcW w:w="992" w:type="dxa"/>
            <w:vAlign w:val="center"/>
          </w:tcPr>
          <w:p>
            <w:pPr>
              <w:pStyle w:val="11"/>
            </w:pPr>
            <w:r>
              <w:t>187.04</w:t>
            </w:r>
          </w:p>
        </w:tc>
        <w:tc>
          <w:tcPr>
            <w:tcW w:w="993" w:type="dxa"/>
            <w:vAlign w:val="center"/>
          </w:tcPr>
          <w:p>
            <w:pPr>
              <w:pStyle w:val="11"/>
            </w:pPr>
            <w:r>
              <w:t>187.04</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3601" w:type="dxa"/>
            <w:vAlign w:val="center"/>
          </w:tcPr>
          <w:p>
            <w:pPr>
              <w:pStyle w:val="12"/>
            </w:pPr>
            <w:r>
              <w:t>行政单位离退休</w:t>
            </w:r>
          </w:p>
        </w:tc>
        <w:tc>
          <w:tcPr>
            <w:tcW w:w="992" w:type="dxa"/>
            <w:vAlign w:val="center"/>
          </w:tcPr>
          <w:p>
            <w:pPr>
              <w:pStyle w:val="11"/>
            </w:pPr>
            <w:r>
              <w:t>138.42</w:t>
            </w:r>
          </w:p>
        </w:tc>
        <w:tc>
          <w:tcPr>
            <w:tcW w:w="992" w:type="dxa"/>
            <w:vAlign w:val="center"/>
          </w:tcPr>
          <w:p>
            <w:pPr>
              <w:pStyle w:val="11"/>
            </w:pPr>
            <w:r>
              <w:t>138.42</w:t>
            </w:r>
          </w:p>
        </w:tc>
        <w:tc>
          <w:tcPr>
            <w:tcW w:w="993" w:type="dxa"/>
            <w:vAlign w:val="center"/>
          </w:tcPr>
          <w:p>
            <w:pPr>
              <w:pStyle w:val="11"/>
            </w:pPr>
            <w:r>
              <w:t>138.42</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3601" w:type="dxa"/>
            <w:vAlign w:val="center"/>
          </w:tcPr>
          <w:p>
            <w:pPr>
              <w:pStyle w:val="12"/>
            </w:pPr>
            <w:r>
              <w:t>机关事业单位基本养老保险缴费支出</w:t>
            </w:r>
          </w:p>
        </w:tc>
        <w:tc>
          <w:tcPr>
            <w:tcW w:w="992" w:type="dxa"/>
            <w:vAlign w:val="center"/>
          </w:tcPr>
          <w:p>
            <w:pPr>
              <w:pStyle w:val="11"/>
            </w:pPr>
            <w:r>
              <w:t>48.62</w:t>
            </w:r>
          </w:p>
        </w:tc>
        <w:tc>
          <w:tcPr>
            <w:tcW w:w="992" w:type="dxa"/>
            <w:vAlign w:val="center"/>
          </w:tcPr>
          <w:p>
            <w:pPr>
              <w:pStyle w:val="11"/>
            </w:pPr>
            <w:r>
              <w:t>48.62</w:t>
            </w:r>
          </w:p>
        </w:tc>
        <w:tc>
          <w:tcPr>
            <w:tcW w:w="993" w:type="dxa"/>
            <w:vAlign w:val="center"/>
          </w:tcPr>
          <w:p>
            <w:pPr>
              <w:pStyle w:val="11"/>
            </w:pPr>
            <w:r>
              <w:t>48.62</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w:t>
            </w:r>
          </w:p>
        </w:tc>
        <w:tc>
          <w:tcPr>
            <w:tcW w:w="3601" w:type="dxa"/>
            <w:vAlign w:val="center"/>
          </w:tcPr>
          <w:p>
            <w:pPr>
              <w:pStyle w:val="12"/>
            </w:pPr>
            <w:r>
              <w:t>卫生健康支出</w:t>
            </w:r>
          </w:p>
        </w:tc>
        <w:tc>
          <w:tcPr>
            <w:tcW w:w="992" w:type="dxa"/>
            <w:vAlign w:val="center"/>
          </w:tcPr>
          <w:p>
            <w:pPr>
              <w:pStyle w:val="11"/>
            </w:pPr>
            <w:r>
              <w:t>59.29</w:t>
            </w:r>
          </w:p>
        </w:tc>
        <w:tc>
          <w:tcPr>
            <w:tcW w:w="992" w:type="dxa"/>
            <w:vAlign w:val="center"/>
          </w:tcPr>
          <w:p>
            <w:pPr>
              <w:pStyle w:val="11"/>
            </w:pPr>
            <w:r>
              <w:t>59.29</w:t>
            </w:r>
          </w:p>
        </w:tc>
        <w:tc>
          <w:tcPr>
            <w:tcW w:w="993" w:type="dxa"/>
            <w:vAlign w:val="center"/>
          </w:tcPr>
          <w:p>
            <w:pPr>
              <w:pStyle w:val="11"/>
            </w:pPr>
            <w:r>
              <w:t>59.29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w:t>
            </w:r>
          </w:p>
        </w:tc>
        <w:tc>
          <w:tcPr>
            <w:tcW w:w="3601" w:type="dxa"/>
            <w:vAlign w:val="center"/>
          </w:tcPr>
          <w:p>
            <w:pPr>
              <w:pStyle w:val="12"/>
            </w:pPr>
            <w:r>
              <w:t>行政事业单位医疗</w:t>
            </w:r>
          </w:p>
        </w:tc>
        <w:tc>
          <w:tcPr>
            <w:tcW w:w="992" w:type="dxa"/>
            <w:vAlign w:val="center"/>
          </w:tcPr>
          <w:p>
            <w:pPr>
              <w:pStyle w:val="11"/>
            </w:pPr>
            <w:r>
              <w:t>59.29</w:t>
            </w:r>
          </w:p>
        </w:tc>
        <w:tc>
          <w:tcPr>
            <w:tcW w:w="992" w:type="dxa"/>
            <w:vAlign w:val="center"/>
          </w:tcPr>
          <w:p>
            <w:pPr>
              <w:pStyle w:val="11"/>
            </w:pPr>
            <w:r>
              <w:t>59.29</w:t>
            </w:r>
          </w:p>
        </w:tc>
        <w:tc>
          <w:tcPr>
            <w:tcW w:w="993" w:type="dxa"/>
            <w:vAlign w:val="center"/>
          </w:tcPr>
          <w:p>
            <w:pPr>
              <w:pStyle w:val="11"/>
            </w:pPr>
            <w:r>
              <w:t>59.29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2101101</w:t>
            </w:r>
          </w:p>
        </w:tc>
        <w:tc>
          <w:tcPr>
            <w:tcW w:w="3601" w:type="dxa"/>
            <w:vAlign w:val="center"/>
          </w:tcPr>
          <w:p>
            <w:pPr>
              <w:pStyle w:val="12"/>
            </w:pPr>
            <w:r>
              <w:t>行政单位医疗</w:t>
            </w:r>
          </w:p>
        </w:tc>
        <w:tc>
          <w:tcPr>
            <w:tcW w:w="992" w:type="dxa"/>
            <w:vAlign w:val="center"/>
          </w:tcPr>
          <w:p>
            <w:pPr>
              <w:pStyle w:val="11"/>
            </w:pPr>
            <w:r>
              <w:t>20.86</w:t>
            </w:r>
          </w:p>
        </w:tc>
        <w:tc>
          <w:tcPr>
            <w:tcW w:w="992" w:type="dxa"/>
            <w:vAlign w:val="center"/>
          </w:tcPr>
          <w:p>
            <w:pPr>
              <w:pStyle w:val="11"/>
            </w:pPr>
            <w:r>
              <w:t>20.86</w:t>
            </w:r>
          </w:p>
        </w:tc>
        <w:tc>
          <w:tcPr>
            <w:tcW w:w="993" w:type="dxa"/>
            <w:vAlign w:val="center"/>
          </w:tcPr>
          <w:p>
            <w:pPr>
              <w:pStyle w:val="11"/>
            </w:pPr>
            <w:r>
              <w:t>20.86</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2101103</w:t>
            </w:r>
          </w:p>
        </w:tc>
        <w:tc>
          <w:tcPr>
            <w:tcW w:w="3601" w:type="dxa"/>
            <w:vAlign w:val="center"/>
          </w:tcPr>
          <w:p>
            <w:pPr>
              <w:pStyle w:val="12"/>
            </w:pPr>
            <w:r>
              <w:t>公务员医疗补助</w:t>
            </w:r>
          </w:p>
        </w:tc>
        <w:tc>
          <w:tcPr>
            <w:tcW w:w="992" w:type="dxa"/>
            <w:vAlign w:val="center"/>
          </w:tcPr>
          <w:p>
            <w:pPr>
              <w:pStyle w:val="11"/>
            </w:pPr>
            <w:r>
              <w:t>38.43</w:t>
            </w:r>
          </w:p>
        </w:tc>
        <w:tc>
          <w:tcPr>
            <w:tcW w:w="992" w:type="dxa"/>
            <w:vAlign w:val="center"/>
          </w:tcPr>
          <w:p>
            <w:pPr>
              <w:pStyle w:val="11"/>
            </w:pPr>
            <w:r>
              <w:t>38.43</w:t>
            </w:r>
          </w:p>
        </w:tc>
        <w:tc>
          <w:tcPr>
            <w:tcW w:w="993" w:type="dxa"/>
            <w:vAlign w:val="center"/>
          </w:tcPr>
          <w:p>
            <w:pPr>
              <w:pStyle w:val="11"/>
            </w:pPr>
            <w:r>
              <w:t>38.43</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3601" w:type="dxa"/>
            <w:vAlign w:val="center"/>
          </w:tcPr>
          <w:p>
            <w:pPr>
              <w:pStyle w:val="12"/>
            </w:pPr>
            <w:r>
              <w:t>住房保障支出</w:t>
            </w:r>
          </w:p>
        </w:tc>
        <w:tc>
          <w:tcPr>
            <w:tcW w:w="992" w:type="dxa"/>
            <w:vAlign w:val="center"/>
          </w:tcPr>
          <w:p>
            <w:pPr>
              <w:pStyle w:val="11"/>
            </w:pPr>
            <w:r>
              <w:t>26.79</w:t>
            </w:r>
          </w:p>
        </w:tc>
        <w:tc>
          <w:tcPr>
            <w:tcW w:w="992" w:type="dxa"/>
            <w:vAlign w:val="center"/>
          </w:tcPr>
          <w:p>
            <w:pPr>
              <w:pStyle w:val="11"/>
            </w:pPr>
            <w:r>
              <w:t>26.79</w:t>
            </w:r>
          </w:p>
        </w:tc>
        <w:tc>
          <w:tcPr>
            <w:tcW w:w="993" w:type="dxa"/>
            <w:vAlign w:val="center"/>
          </w:tcPr>
          <w:p>
            <w:pPr>
              <w:pStyle w:val="11"/>
            </w:pPr>
            <w:r>
              <w:t>26.79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3601" w:type="dxa"/>
            <w:vAlign w:val="center"/>
          </w:tcPr>
          <w:p>
            <w:pPr>
              <w:pStyle w:val="12"/>
            </w:pPr>
            <w:r>
              <w:t>住房改革支出</w:t>
            </w:r>
          </w:p>
        </w:tc>
        <w:tc>
          <w:tcPr>
            <w:tcW w:w="992" w:type="dxa"/>
            <w:vAlign w:val="center"/>
          </w:tcPr>
          <w:p>
            <w:pPr>
              <w:pStyle w:val="11"/>
            </w:pPr>
            <w:r>
              <w:t>26.79</w:t>
            </w:r>
          </w:p>
        </w:tc>
        <w:tc>
          <w:tcPr>
            <w:tcW w:w="992" w:type="dxa"/>
            <w:vAlign w:val="center"/>
          </w:tcPr>
          <w:p>
            <w:pPr>
              <w:pStyle w:val="11"/>
            </w:pPr>
            <w:r>
              <w:t>26.79</w:t>
            </w:r>
          </w:p>
        </w:tc>
        <w:tc>
          <w:tcPr>
            <w:tcW w:w="993" w:type="dxa"/>
            <w:vAlign w:val="center"/>
          </w:tcPr>
          <w:p>
            <w:pPr>
              <w:pStyle w:val="11"/>
            </w:pPr>
            <w:r>
              <w:t>26.79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3601" w:type="dxa"/>
            <w:vAlign w:val="center"/>
          </w:tcPr>
          <w:p>
            <w:pPr>
              <w:pStyle w:val="12"/>
            </w:pPr>
            <w:r>
              <w:t>住房公积金</w:t>
            </w:r>
          </w:p>
        </w:tc>
        <w:tc>
          <w:tcPr>
            <w:tcW w:w="992" w:type="dxa"/>
            <w:vAlign w:val="center"/>
          </w:tcPr>
          <w:p>
            <w:pPr>
              <w:pStyle w:val="11"/>
            </w:pPr>
            <w:r>
              <w:t>26.79</w:t>
            </w:r>
          </w:p>
        </w:tc>
        <w:tc>
          <w:tcPr>
            <w:tcW w:w="992" w:type="dxa"/>
            <w:vAlign w:val="center"/>
          </w:tcPr>
          <w:p>
            <w:pPr>
              <w:pStyle w:val="11"/>
            </w:pPr>
            <w:r>
              <w:t>26.79</w:t>
            </w:r>
          </w:p>
        </w:tc>
        <w:tc>
          <w:tcPr>
            <w:tcW w:w="993" w:type="dxa"/>
            <w:vAlign w:val="center"/>
          </w:tcPr>
          <w:p>
            <w:pPr>
              <w:pStyle w:val="11"/>
            </w:pPr>
            <w:r>
              <w:t>26.79</w:t>
            </w:r>
          </w:p>
        </w:tc>
        <w:tc>
          <w:tcPr>
            <w:tcW w:w="708" w:type="dxa"/>
            <w:vAlign w:val="center"/>
          </w:tcPr>
          <w:p>
            <w:pPr>
              <w:pStyle w:val="11"/>
            </w:pPr>
          </w:p>
        </w:tc>
        <w:tc>
          <w:tcPr>
            <w:tcW w:w="993" w:type="dxa"/>
            <w:vAlign w:val="center"/>
          </w:tcPr>
          <w:p>
            <w:pPr>
              <w:pStyle w:val="11"/>
            </w:pPr>
          </w:p>
        </w:tc>
        <w:tc>
          <w:tcPr>
            <w:tcW w:w="567" w:type="dxa"/>
            <w:vAlign w:val="center"/>
          </w:tcPr>
          <w:p>
            <w:pPr>
              <w:pStyle w:val="11"/>
            </w:pPr>
          </w:p>
        </w:tc>
        <w:tc>
          <w:tcPr>
            <w:tcW w:w="708" w:type="dxa"/>
            <w:vAlign w:val="center"/>
          </w:tcPr>
          <w:p>
            <w:pPr>
              <w:pStyle w:val="11"/>
            </w:pPr>
          </w:p>
        </w:tc>
        <w:tc>
          <w:tcPr>
            <w:tcW w:w="1077"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1537.33</w:t>
            </w:r>
          </w:p>
        </w:tc>
        <w:tc>
          <w:tcPr>
            <w:tcW w:w="1361" w:type="dxa"/>
            <w:vAlign w:val="center"/>
          </w:tcPr>
          <w:p>
            <w:pPr>
              <w:pStyle w:val="15"/>
            </w:pPr>
            <w:r>
              <w:t>1233.33</w:t>
            </w:r>
          </w:p>
        </w:tc>
        <w:tc>
          <w:tcPr>
            <w:tcW w:w="1361" w:type="dxa"/>
            <w:vAlign w:val="center"/>
          </w:tcPr>
          <w:p>
            <w:pPr>
              <w:pStyle w:val="15"/>
            </w:pPr>
            <w:r>
              <w:t>304.00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995.21</w:t>
            </w:r>
          </w:p>
        </w:tc>
        <w:tc>
          <w:tcPr>
            <w:tcW w:w="1361" w:type="dxa"/>
            <w:vAlign w:val="center"/>
          </w:tcPr>
          <w:p>
            <w:pPr>
              <w:pStyle w:val="11"/>
            </w:pPr>
            <w:r>
              <w:t>960.21</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986.21</w:t>
            </w:r>
          </w:p>
        </w:tc>
        <w:tc>
          <w:tcPr>
            <w:tcW w:w="1361" w:type="dxa"/>
            <w:vAlign w:val="center"/>
          </w:tcPr>
          <w:p>
            <w:pPr>
              <w:pStyle w:val="11"/>
            </w:pPr>
            <w:r>
              <w:t>960.21</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960.21</w:t>
            </w:r>
          </w:p>
        </w:tc>
        <w:tc>
          <w:tcPr>
            <w:tcW w:w="1361" w:type="dxa"/>
            <w:vAlign w:val="center"/>
          </w:tcPr>
          <w:p>
            <w:pPr>
              <w:pStyle w:val="11"/>
            </w:pPr>
            <w:r>
              <w:t>960.21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455.04</w:t>
            </w:r>
          </w:p>
        </w:tc>
        <w:tc>
          <w:tcPr>
            <w:tcW w:w="1361" w:type="dxa"/>
            <w:vAlign w:val="center"/>
          </w:tcPr>
          <w:p>
            <w:pPr>
              <w:pStyle w:val="11"/>
            </w:pPr>
            <w:r>
              <w:t>187.04</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r>
              <w:t>268.00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187.04</w:t>
            </w:r>
          </w:p>
        </w:tc>
        <w:tc>
          <w:tcPr>
            <w:tcW w:w="1361" w:type="dxa"/>
            <w:vAlign w:val="center"/>
          </w:tcPr>
          <w:p>
            <w:pPr>
              <w:pStyle w:val="11"/>
            </w:pPr>
            <w:r>
              <w:t>187.04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138.42</w:t>
            </w:r>
          </w:p>
        </w:tc>
        <w:tc>
          <w:tcPr>
            <w:tcW w:w="1361" w:type="dxa"/>
            <w:vAlign w:val="center"/>
          </w:tcPr>
          <w:p>
            <w:pPr>
              <w:pStyle w:val="11"/>
            </w:pPr>
            <w:r>
              <w:t>138.42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48.62</w:t>
            </w:r>
          </w:p>
        </w:tc>
        <w:tc>
          <w:tcPr>
            <w:tcW w:w="1361" w:type="dxa"/>
            <w:vAlign w:val="center"/>
          </w:tcPr>
          <w:p>
            <w:pPr>
              <w:pStyle w:val="11"/>
            </w:pPr>
            <w:r>
              <w:t>48.62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59.29</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59.29</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20.86</w:t>
            </w:r>
          </w:p>
        </w:tc>
        <w:tc>
          <w:tcPr>
            <w:tcW w:w="1361" w:type="dxa"/>
            <w:vAlign w:val="center"/>
          </w:tcPr>
          <w:p>
            <w:pPr>
              <w:pStyle w:val="11"/>
            </w:pPr>
            <w:r>
              <w:t>20.86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38.43</w:t>
            </w:r>
          </w:p>
        </w:tc>
        <w:tc>
          <w:tcPr>
            <w:tcW w:w="1361" w:type="dxa"/>
            <w:vAlign w:val="center"/>
          </w:tcPr>
          <w:p>
            <w:pPr>
              <w:pStyle w:val="11"/>
            </w:pPr>
            <w:r>
              <w:t>38.43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26.79</w:t>
            </w:r>
          </w:p>
        </w:tc>
        <w:tc>
          <w:tcPr>
            <w:tcW w:w="1361" w:type="dxa"/>
            <w:vAlign w:val="center"/>
          </w:tcPr>
          <w:p>
            <w:pPr>
              <w:pStyle w:val="11"/>
            </w:pPr>
            <w:r>
              <w:t>26.79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1537.33</w:t>
            </w:r>
          </w:p>
        </w:tc>
        <w:tc>
          <w:tcPr>
            <w:tcW w:w="3402" w:type="dxa"/>
            <w:vAlign w:val="center"/>
          </w:tcPr>
          <w:p>
            <w:pPr>
              <w:pStyle w:val="12"/>
            </w:pPr>
            <w:r>
              <w:t>一、一般公共服务支出</w:t>
            </w:r>
          </w:p>
        </w:tc>
        <w:tc>
          <w:tcPr>
            <w:tcW w:w="1474" w:type="dxa"/>
            <w:vAlign w:val="center"/>
          </w:tcPr>
          <w:p>
            <w:pPr>
              <w:pStyle w:val="11"/>
            </w:pPr>
            <w:r>
              <w:t>995.21</w:t>
            </w:r>
          </w:p>
        </w:tc>
        <w:tc>
          <w:tcPr>
            <w:tcW w:w="1474" w:type="dxa"/>
            <w:vAlign w:val="center"/>
          </w:tcPr>
          <w:p>
            <w:pPr>
              <w:pStyle w:val="11"/>
            </w:pPr>
            <w:r>
              <w:t>995.21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455.04</w:t>
            </w:r>
          </w:p>
        </w:tc>
        <w:tc>
          <w:tcPr>
            <w:tcW w:w="1474" w:type="dxa"/>
            <w:vAlign w:val="center"/>
          </w:tcPr>
          <w:p>
            <w:pPr>
              <w:pStyle w:val="11"/>
            </w:pPr>
            <w:r>
              <w:t>455.04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59.29</w:t>
            </w:r>
          </w:p>
        </w:tc>
        <w:tc>
          <w:tcPr>
            <w:tcW w:w="1474" w:type="dxa"/>
            <w:vAlign w:val="center"/>
          </w:tcPr>
          <w:p>
            <w:pPr>
              <w:pStyle w:val="11"/>
            </w:pPr>
            <w:r>
              <w:t>59.29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26.79</w:t>
            </w:r>
          </w:p>
        </w:tc>
        <w:tc>
          <w:tcPr>
            <w:tcW w:w="1474" w:type="dxa"/>
            <w:vAlign w:val="center"/>
          </w:tcPr>
          <w:p>
            <w:pPr>
              <w:pStyle w:val="11"/>
            </w:pPr>
            <w:r>
              <w:t>26.79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1537.33</w:t>
            </w:r>
          </w:p>
        </w:tc>
        <w:tc>
          <w:tcPr>
            <w:tcW w:w="3402" w:type="dxa"/>
            <w:vAlign w:val="center"/>
          </w:tcPr>
          <w:p>
            <w:pPr>
              <w:pStyle w:val="14"/>
            </w:pPr>
            <w:r>
              <w:t>本年支出合计</w:t>
            </w:r>
          </w:p>
        </w:tc>
        <w:tc>
          <w:tcPr>
            <w:tcW w:w="1474" w:type="dxa"/>
            <w:vAlign w:val="center"/>
          </w:tcPr>
          <w:p>
            <w:pPr>
              <w:pStyle w:val="15"/>
            </w:pPr>
            <w:r>
              <w:t>1537.33</w:t>
            </w:r>
          </w:p>
        </w:tc>
        <w:tc>
          <w:tcPr>
            <w:tcW w:w="1474" w:type="dxa"/>
            <w:vAlign w:val="center"/>
          </w:tcPr>
          <w:p>
            <w:pPr>
              <w:pStyle w:val="15"/>
            </w:pPr>
            <w:r>
              <w:t>1537.33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1537.33</w:t>
            </w:r>
          </w:p>
        </w:tc>
        <w:tc>
          <w:tcPr>
            <w:tcW w:w="3402" w:type="dxa"/>
            <w:vAlign w:val="center"/>
          </w:tcPr>
          <w:p>
            <w:pPr>
              <w:pStyle w:val="14"/>
            </w:pPr>
            <w:r>
              <w:t>支出总计</w:t>
            </w:r>
          </w:p>
        </w:tc>
        <w:tc>
          <w:tcPr>
            <w:tcW w:w="1474" w:type="dxa"/>
            <w:vAlign w:val="center"/>
          </w:tcPr>
          <w:p>
            <w:pPr>
              <w:pStyle w:val="15"/>
            </w:pPr>
            <w:r>
              <w:t>1537.33</w:t>
            </w:r>
          </w:p>
        </w:tc>
        <w:tc>
          <w:tcPr>
            <w:tcW w:w="1474" w:type="dxa"/>
            <w:vAlign w:val="center"/>
          </w:tcPr>
          <w:p>
            <w:pPr>
              <w:pStyle w:val="15"/>
            </w:pPr>
            <w:r>
              <w:t>1537.33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1537.33</w:t>
            </w:r>
          </w:p>
        </w:tc>
        <w:tc>
          <w:tcPr>
            <w:tcW w:w="2551" w:type="dxa"/>
            <w:vAlign w:val="center"/>
          </w:tcPr>
          <w:p>
            <w:pPr>
              <w:pStyle w:val="15"/>
            </w:pPr>
            <w:r>
              <w:t>1233.33</w:t>
            </w:r>
          </w:p>
        </w:tc>
        <w:tc>
          <w:tcPr>
            <w:tcW w:w="2551" w:type="dxa"/>
            <w:vAlign w:val="center"/>
          </w:tcPr>
          <w:p>
            <w:pPr>
              <w:pStyle w:val="15"/>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995.21</w:t>
            </w:r>
          </w:p>
        </w:tc>
        <w:tc>
          <w:tcPr>
            <w:tcW w:w="2551" w:type="dxa"/>
            <w:vAlign w:val="center"/>
          </w:tcPr>
          <w:p>
            <w:pPr>
              <w:pStyle w:val="11"/>
            </w:pPr>
            <w:r>
              <w:t>960.21</w:t>
            </w: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986.21</w:t>
            </w:r>
          </w:p>
        </w:tc>
        <w:tc>
          <w:tcPr>
            <w:tcW w:w="2551" w:type="dxa"/>
            <w:vAlign w:val="center"/>
          </w:tcPr>
          <w:p>
            <w:pPr>
              <w:pStyle w:val="11"/>
            </w:pPr>
            <w:r>
              <w:t>960.21</w:t>
            </w: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960.21</w:t>
            </w:r>
          </w:p>
        </w:tc>
        <w:tc>
          <w:tcPr>
            <w:tcW w:w="2551" w:type="dxa"/>
            <w:vAlign w:val="center"/>
          </w:tcPr>
          <w:p>
            <w:pPr>
              <w:pStyle w:val="11"/>
            </w:pPr>
            <w:r>
              <w:t>960.21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455.04</w:t>
            </w:r>
          </w:p>
        </w:tc>
        <w:tc>
          <w:tcPr>
            <w:tcW w:w="2551" w:type="dxa"/>
            <w:vAlign w:val="center"/>
          </w:tcPr>
          <w:p>
            <w:pPr>
              <w:pStyle w:val="11"/>
            </w:pPr>
            <w:r>
              <w:t>187.04</w:t>
            </w: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268.00</w:t>
            </w:r>
          </w:p>
        </w:tc>
        <w:tc>
          <w:tcPr>
            <w:tcW w:w="2551" w:type="dxa"/>
            <w:vAlign w:val="center"/>
          </w:tcPr>
          <w:p>
            <w:pPr>
              <w:pStyle w:val="11"/>
            </w:pP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268.00</w:t>
            </w:r>
          </w:p>
        </w:tc>
        <w:tc>
          <w:tcPr>
            <w:tcW w:w="2551" w:type="dxa"/>
            <w:vAlign w:val="center"/>
          </w:tcPr>
          <w:p>
            <w:pPr>
              <w:pStyle w:val="11"/>
            </w:pPr>
          </w:p>
        </w:tc>
        <w:tc>
          <w:tcPr>
            <w:tcW w:w="2551" w:type="dxa"/>
            <w:vAlign w:val="center"/>
          </w:tcPr>
          <w:p>
            <w:pPr>
              <w:pStyle w:val="11"/>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187.04</w:t>
            </w:r>
          </w:p>
        </w:tc>
        <w:tc>
          <w:tcPr>
            <w:tcW w:w="2551" w:type="dxa"/>
            <w:vAlign w:val="center"/>
          </w:tcPr>
          <w:p>
            <w:pPr>
              <w:pStyle w:val="11"/>
            </w:pPr>
            <w:r>
              <w:t>187.04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138.42</w:t>
            </w:r>
          </w:p>
        </w:tc>
        <w:tc>
          <w:tcPr>
            <w:tcW w:w="2551" w:type="dxa"/>
            <w:vAlign w:val="center"/>
          </w:tcPr>
          <w:p>
            <w:pPr>
              <w:pStyle w:val="11"/>
            </w:pPr>
            <w:r>
              <w:t>138.42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48.62</w:t>
            </w:r>
          </w:p>
        </w:tc>
        <w:tc>
          <w:tcPr>
            <w:tcW w:w="2551" w:type="dxa"/>
            <w:vAlign w:val="center"/>
          </w:tcPr>
          <w:p>
            <w:pPr>
              <w:pStyle w:val="11"/>
            </w:pPr>
            <w:r>
              <w:t>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59.29</w:t>
            </w:r>
          </w:p>
        </w:tc>
        <w:tc>
          <w:tcPr>
            <w:tcW w:w="2551" w:type="dxa"/>
            <w:vAlign w:val="center"/>
          </w:tcPr>
          <w:p>
            <w:pPr>
              <w:pStyle w:val="11"/>
            </w:pPr>
            <w:r>
              <w:t>59.29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59.29</w:t>
            </w:r>
          </w:p>
        </w:tc>
        <w:tc>
          <w:tcPr>
            <w:tcW w:w="2551" w:type="dxa"/>
            <w:vAlign w:val="center"/>
          </w:tcPr>
          <w:p>
            <w:pPr>
              <w:pStyle w:val="11"/>
            </w:pPr>
            <w:r>
              <w:t>59.29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20.86</w:t>
            </w:r>
          </w:p>
        </w:tc>
        <w:tc>
          <w:tcPr>
            <w:tcW w:w="2551" w:type="dxa"/>
            <w:vAlign w:val="center"/>
          </w:tcPr>
          <w:p>
            <w:pPr>
              <w:pStyle w:val="11"/>
            </w:pPr>
            <w:r>
              <w:t>20.86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38.43</w:t>
            </w:r>
          </w:p>
        </w:tc>
        <w:tc>
          <w:tcPr>
            <w:tcW w:w="2551" w:type="dxa"/>
            <w:vAlign w:val="center"/>
          </w:tcPr>
          <w:p>
            <w:pPr>
              <w:pStyle w:val="11"/>
            </w:pPr>
            <w:r>
              <w:t>38.43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1233.33</w:t>
            </w:r>
          </w:p>
        </w:tc>
        <w:tc>
          <w:tcPr>
            <w:tcW w:w="2551" w:type="dxa"/>
            <w:vAlign w:val="center"/>
          </w:tcPr>
          <w:p>
            <w:pPr>
              <w:pStyle w:val="15"/>
            </w:pPr>
            <w:r>
              <w:t>1172.04</w:t>
            </w:r>
          </w:p>
        </w:tc>
        <w:tc>
          <w:tcPr>
            <w:tcW w:w="2551" w:type="dxa"/>
            <w:vAlign w:val="center"/>
          </w:tcPr>
          <w:p>
            <w:pPr>
              <w:pStyle w:val="15"/>
            </w:pPr>
            <w:r>
              <w:t>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1035.04</w:t>
            </w:r>
          </w:p>
        </w:tc>
        <w:tc>
          <w:tcPr>
            <w:tcW w:w="2551" w:type="dxa"/>
            <w:vAlign w:val="center"/>
          </w:tcPr>
          <w:p>
            <w:pPr>
              <w:pStyle w:val="11"/>
            </w:pPr>
            <w:r>
              <w:t>1035.04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126.97</w:t>
            </w:r>
          </w:p>
        </w:tc>
        <w:tc>
          <w:tcPr>
            <w:tcW w:w="2551" w:type="dxa"/>
            <w:vAlign w:val="center"/>
          </w:tcPr>
          <w:p>
            <w:pPr>
              <w:pStyle w:val="11"/>
            </w:pPr>
            <w:r>
              <w:t>126.97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84.53</w:t>
            </w:r>
          </w:p>
        </w:tc>
        <w:tc>
          <w:tcPr>
            <w:tcW w:w="2551" w:type="dxa"/>
            <w:vAlign w:val="center"/>
          </w:tcPr>
          <w:p>
            <w:pPr>
              <w:pStyle w:val="11"/>
            </w:pPr>
            <w:r>
              <w:t>84.53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71.98</w:t>
            </w:r>
          </w:p>
        </w:tc>
        <w:tc>
          <w:tcPr>
            <w:tcW w:w="2551" w:type="dxa"/>
            <w:vAlign w:val="center"/>
          </w:tcPr>
          <w:p>
            <w:pPr>
              <w:pStyle w:val="11"/>
            </w:pPr>
            <w:r>
              <w:t>71.98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52.11</w:t>
            </w:r>
          </w:p>
        </w:tc>
        <w:tc>
          <w:tcPr>
            <w:tcW w:w="2551" w:type="dxa"/>
            <w:vAlign w:val="center"/>
          </w:tcPr>
          <w:p>
            <w:pPr>
              <w:pStyle w:val="11"/>
            </w:pPr>
            <w:r>
              <w:t>52.11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48.62</w:t>
            </w:r>
          </w:p>
        </w:tc>
        <w:tc>
          <w:tcPr>
            <w:tcW w:w="2551" w:type="dxa"/>
            <w:vAlign w:val="center"/>
          </w:tcPr>
          <w:p>
            <w:pPr>
              <w:pStyle w:val="11"/>
            </w:pPr>
            <w:r>
              <w:t>48.62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20.86</w:t>
            </w:r>
          </w:p>
        </w:tc>
        <w:tc>
          <w:tcPr>
            <w:tcW w:w="2551" w:type="dxa"/>
            <w:vAlign w:val="center"/>
          </w:tcPr>
          <w:p>
            <w:pPr>
              <w:pStyle w:val="11"/>
            </w:pPr>
            <w:r>
              <w:t>20.86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38.43</w:t>
            </w:r>
          </w:p>
        </w:tc>
        <w:tc>
          <w:tcPr>
            <w:tcW w:w="2551" w:type="dxa"/>
            <w:vAlign w:val="center"/>
          </w:tcPr>
          <w:p>
            <w:pPr>
              <w:pStyle w:val="11"/>
            </w:pPr>
            <w:r>
              <w:t>38.43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26.79</w:t>
            </w:r>
          </w:p>
        </w:tc>
        <w:tc>
          <w:tcPr>
            <w:tcW w:w="2551" w:type="dxa"/>
            <w:vAlign w:val="center"/>
          </w:tcPr>
          <w:p>
            <w:pPr>
              <w:pStyle w:val="11"/>
            </w:pPr>
            <w:r>
              <w:t>26.79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561.17</w:t>
            </w:r>
          </w:p>
        </w:tc>
        <w:tc>
          <w:tcPr>
            <w:tcW w:w="2551" w:type="dxa"/>
            <w:vAlign w:val="center"/>
          </w:tcPr>
          <w:p>
            <w:pPr>
              <w:pStyle w:val="11"/>
            </w:pPr>
            <w:r>
              <w:t>561.17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61.29</w:t>
            </w:r>
          </w:p>
        </w:tc>
        <w:tc>
          <w:tcPr>
            <w:tcW w:w="2551" w:type="dxa"/>
            <w:vAlign w:val="center"/>
          </w:tcPr>
          <w:p>
            <w:pPr>
              <w:pStyle w:val="11"/>
            </w:pPr>
          </w:p>
        </w:tc>
        <w:tc>
          <w:tcPr>
            <w:tcW w:w="2551" w:type="dxa"/>
            <w:vAlign w:val="center"/>
          </w:tcPr>
          <w:p>
            <w:pPr>
              <w:pStyle w:val="11"/>
            </w:pPr>
            <w:r>
              <w:t>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w:t>
            </w:r>
          </w:p>
        </w:tc>
        <w:tc>
          <w:tcPr>
            <w:tcW w:w="2551" w:type="dxa"/>
            <w:vAlign w:val="center"/>
          </w:tcPr>
          <w:p>
            <w:pPr>
              <w:pStyle w:val="11"/>
            </w:pPr>
          </w:p>
        </w:tc>
        <w:tc>
          <w:tcPr>
            <w:tcW w:w="2551"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9.36</w:t>
            </w:r>
          </w:p>
        </w:tc>
        <w:tc>
          <w:tcPr>
            <w:tcW w:w="2551" w:type="dxa"/>
            <w:vAlign w:val="center"/>
          </w:tcPr>
          <w:p>
            <w:pPr>
              <w:pStyle w:val="11"/>
            </w:pPr>
          </w:p>
        </w:tc>
        <w:tc>
          <w:tcPr>
            <w:tcW w:w="2551" w:type="dxa"/>
            <w:vAlign w:val="center"/>
          </w:tcPr>
          <w:p>
            <w:pPr>
              <w:pStyle w:val="11"/>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7.77</w:t>
            </w:r>
          </w:p>
        </w:tc>
        <w:tc>
          <w:tcPr>
            <w:tcW w:w="2551" w:type="dxa"/>
            <w:vAlign w:val="center"/>
          </w:tcPr>
          <w:p>
            <w:pPr>
              <w:pStyle w:val="11"/>
            </w:pPr>
          </w:p>
        </w:tc>
        <w:tc>
          <w:tcPr>
            <w:tcW w:w="2551" w:type="dxa"/>
            <w:vAlign w:val="center"/>
          </w:tcPr>
          <w:p>
            <w:pPr>
              <w:pStyle w:val="11"/>
            </w:pPr>
            <w:r>
              <w:t>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9.68</w:t>
            </w:r>
          </w:p>
        </w:tc>
        <w:tc>
          <w:tcPr>
            <w:tcW w:w="2551" w:type="dxa"/>
            <w:vAlign w:val="center"/>
          </w:tcPr>
          <w:p>
            <w:pPr>
              <w:pStyle w:val="11"/>
            </w:pPr>
          </w:p>
        </w:tc>
        <w:tc>
          <w:tcPr>
            <w:tcW w:w="2551" w:type="dxa"/>
            <w:vAlign w:val="center"/>
          </w:tcPr>
          <w:p>
            <w:pPr>
              <w:pStyle w:val="11"/>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10.26</w:t>
            </w:r>
          </w:p>
        </w:tc>
        <w:tc>
          <w:tcPr>
            <w:tcW w:w="2551" w:type="dxa"/>
            <w:vAlign w:val="center"/>
          </w:tcPr>
          <w:p>
            <w:pPr>
              <w:pStyle w:val="11"/>
            </w:pPr>
          </w:p>
        </w:tc>
        <w:tc>
          <w:tcPr>
            <w:tcW w:w="2551" w:type="dxa"/>
            <w:vAlign w:val="center"/>
          </w:tcPr>
          <w:p>
            <w:pPr>
              <w:pStyle w:val="11"/>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137.00</w:t>
            </w:r>
          </w:p>
        </w:tc>
        <w:tc>
          <w:tcPr>
            <w:tcW w:w="2551" w:type="dxa"/>
            <w:vAlign w:val="center"/>
          </w:tcPr>
          <w:p>
            <w:pPr>
              <w:pStyle w:val="11"/>
            </w:pPr>
            <w:r>
              <w:t>137.00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135.97</w:t>
            </w:r>
          </w:p>
        </w:tc>
        <w:tc>
          <w:tcPr>
            <w:tcW w:w="2551" w:type="dxa"/>
            <w:vAlign w:val="center"/>
          </w:tcPr>
          <w:p>
            <w:pPr>
              <w:pStyle w:val="11"/>
            </w:pPr>
            <w:r>
              <w:t>135.97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9"/>
            </w:pPr>
            <w:r>
              <w:t>530秦皇岛市海港区人民政府文化路街道办事处</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9"/>
            </w:pPr>
            <w:r>
              <w:t>序号</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8"/>
            </w:pPr>
            <w:r>
              <w:t>项  目</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rPr>
                <w:rFonts w:hint="eastAsia"/>
              </w:rPr>
              <w:t>一、</w:t>
            </w:r>
          </w:p>
        </w:tc>
        <w:tc>
          <w:tcPr>
            <w:tcW w:w="3798" w:type="dxa"/>
          </w:tcPr>
          <w:p>
            <w:pPr>
              <w:pStyle w:val="12"/>
              <w:rPr>
                <w:rFonts w:ascii="Calibri" w:hAnsi="Calibri" w:eastAsia="宋体" w:cs="Calibri"/>
                <w:color w:val="000000"/>
                <w:sz w:val="22"/>
                <w:szCs w:val="22"/>
              </w:rPr>
            </w:pPr>
            <w:r>
              <w:rPr>
                <w:rFonts w:hint="eastAsia"/>
              </w:rPr>
              <w:t>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hint="eastAsia"/>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rPr>
                <w:rFonts w:hint="eastAsia"/>
              </w:rPr>
              <w:t>二、</w:t>
            </w:r>
          </w:p>
        </w:tc>
        <w:tc>
          <w:tcPr>
            <w:tcW w:w="3798" w:type="dxa"/>
          </w:tcPr>
          <w:p>
            <w:pPr>
              <w:pStyle w:val="12"/>
            </w:pPr>
            <w:r>
              <w:rPr>
                <w:rFonts w:hint="eastAsia"/>
              </w:rPr>
              <w:t>公务用车购置及运维费</w:t>
            </w:r>
          </w:p>
        </w:tc>
        <w:tc>
          <w:tcPr>
            <w:tcW w:w="2382" w:type="dxa"/>
          </w:tcPr>
          <w:p>
            <w:pPr>
              <w:pStyle w:val="11"/>
            </w:pPr>
            <w:r>
              <w:t>2.250000</w:t>
            </w:r>
          </w:p>
        </w:tc>
        <w:tc>
          <w:tcPr>
            <w:tcW w:w="2381" w:type="dxa"/>
          </w:tcPr>
          <w:p>
            <w:pPr>
              <w:pStyle w:val="11"/>
            </w:pPr>
            <w:r>
              <w:t>2.250000</w:t>
            </w:r>
          </w:p>
        </w:tc>
        <w:tc>
          <w:tcPr>
            <w:tcW w:w="2381" w:type="dxa"/>
          </w:tcPr>
          <w:p>
            <w:pPr>
              <w:jc w:val="right"/>
              <w:rPr>
                <w:rFonts w:ascii="Calibri" w:hAnsi="Calibri" w:eastAsia="宋体" w:cs="Calibri"/>
                <w:color w:val="000000"/>
                <w:sz w:val="22"/>
                <w:szCs w:val="22"/>
              </w:rPr>
            </w:pP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pStyle w:val="12"/>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rPr>
              <w:t>公务用车运行维护费</w:t>
            </w:r>
          </w:p>
        </w:tc>
        <w:tc>
          <w:tcPr>
            <w:tcW w:w="2382" w:type="dxa"/>
          </w:tcPr>
          <w:p>
            <w:pPr>
              <w:pStyle w:val="11"/>
            </w:pPr>
            <w:r>
              <w:t>2.250000</w:t>
            </w:r>
          </w:p>
        </w:tc>
        <w:tc>
          <w:tcPr>
            <w:tcW w:w="2381" w:type="dxa"/>
          </w:tcPr>
          <w:p>
            <w:pPr>
              <w:pStyle w:val="11"/>
            </w:pPr>
            <w:r>
              <w:t>2.250000</w:t>
            </w:r>
          </w:p>
        </w:tc>
        <w:tc>
          <w:tcPr>
            <w:tcW w:w="2381" w:type="dxa"/>
          </w:tcPr>
          <w:p>
            <w:pPr>
              <w:jc w:val="right"/>
              <w:rPr>
                <w:rFonts w:ascii="Calibri" w:hAnsi="Calibri" w:eastAsia="宋体" w:cs="Calibri"/>
                <w:color w:val="000000"/>
                <w:sz w:val="22"/>
                <w:szCs w:val="22"/>
              </w:rPr>
            </w:pP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jc w:val="center"/>
            </w:pPr>
            <w:r>
              <w:t>三、</w:t>
            </w:r>
          </w:p>
        </w:tc>
        <w:tc>
          <w:tcPr>
            <w:tcW w:w="3798" w:type="dxa"/>
            <w:vAlign w:val="center"/>
          </w:tcPr>
          <w:tbl>
            <w:tblPr>
              <w:tblStyle w:val="4"/>
              <w:tblW w:w="10760" w:type="dxa"/>
              <w:tblInd w:w="0" w:type="dxa"/>
              <w:tblLayout w:type="fixed"/>
              <w:tblCellMar>
                <w:top w:w="0" w:type="dxa"/>
                <w:left w:w="108" w:type="dxa"/>
                <w:bottom w:w="0" w:type="dxa"/>
                <w:right w:w="108" w:type="dxa"/>
              </w:tblCellMar>
            </w:tblPr>
            <w:tblGrid>
              <w:gridCol w:w="2160"/>
              <w:gridCol w:w="1720"/>
              <w:gridCol w:w="1720"/>
              <w:gridCol w:w="1720"/>
              <w:gridCol w:w="1720"/>
              <w:gridCol w:w="1720"/>
            </w:tblGrid>
            <w:tr>
              <w:tblPrEx>
                <w:tblCellMar>
                  <w:top w:w="0" w:type="dxa"/>
                  <w:left w:w="108" w:type="dxa"/>
                  <w:bottom w:w="0" w:type="dxa"/>
                  <w:right w:w="108" w:type="dxa"/>
                </w:tblCellMar>
              </w:tblPrEx>
              <w:trPr>
                <w:trHeight w:val="330" w:hRule="atLeast"/>
              </w:trPr>
              <w:tc>
                <w:tcPr>
                  <w:tcW w:w="2160" w:type="dxa"/>
                  <w:tcBorders>
                    <w:top w:val="nil"/>
                    <w:left w:val="nil"/>
                    <w:bottom w:val="nil"/>
                    <w:right w:val="nil"/>
                  </w:tcBorders>
                  <w:shd w:val="clear" w:color="auto" w:fill="auto"/>
                  <w:noWrap/>
                </w:tcPr>
                <w:p>
                  <w:pPr>
                    <w:pStyle w:val="12"/>
                    <w:rPr>
                      <w:rFonts w:ascii="Calibri" w:hAnsi="Calibri" w:eastAsia="宋体" w:cs="Calibri"/>
                      <w:color w:val="000000"/>
                      <w:sz w:val="22"/>
                      <w:szCs w:val="22"/>
                      <w:lang w:eastAsia="zh-CN"/>
                    </w:rPr>
                  </w:pPr>
                  <w:r>
                    <w:t>公务接待费</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w:t>
                  </w:r>
                </w:p>
              </w:tc>
              <w:tc>
                <w:tcPr>
                  <w:tcW w:w="1720" w:type="dxa"/>
                  <w:tcBorders>
                    <w:top w:val="nil"/>
                    <w:left w:val="nil"/>
                    <w:bottom w:val="nil"/>
                    <w:right w:val="nil"/>
                  </w:tcBorders>
                  <w:shd w:val="clear" w:color="auto" w:fill="auto"/>
                  <w:noWrap/>
                </w:tcPr>
                <w:p>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0.420000</w:t>
                  </w:r>
                </w:p>
              </w:tc>
            </w:tr>
          </w:tbl>
          <w:p>
            <w:pPr>
              <w:pStyle w:val="12"/>
            </w:pPr>
          </w:p>
        </w:tc>
        <w:tc>
          <w:tcPr>
            <w:tcW w:w="2382" w:type="dxa"/>
            <w:vAlign w:val="center"/>
          </w:tcPr>
          <w:p>
            <w:pPr>
              <w:pStyle w:val="11"/>
            </w:pPr>
            <w:r>
              <w:t>0.42000</w:t>
            </w:r>
          </w:p>
        </w:tc>
        <w:tc>
          <w:tcPr>
            <w:tcW w:w="2381" w:type="dxa"/>
            <w:vAlign w:val="center"/>
          </w:tcPr>
          <w:p>
            <w:pPr>
              <w:pStyle w:val="11"/>
            </w:pPr>
            <w:r>
              <w:t>0.42000</w:t>
            </w:r>
          </w:p>
        </w:tc>
        <w:tc>
          <w:tcPr>
            <w:tcW w:w="2381" w:type="dxa"/>
            <w:vAlign w:val="center"/>
          </w:tcPr>
          <w:p>
            <w:pPr>
              <w:pStyle w:val="12"/>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秦皇岛市海港区人民政府文化路街道办事处本级2023年单位预算信息公开情况说明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、《地方预决算公开操作规程》和《关于进一步推进预算公开工作的实施意见》规定，现将秦皇岛市海港区人民政府文化路街道办事处本级2023年单位预算公开如下：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党建工作:宣传贯彻党的路线、方针、政策和执行党中央、上级党组织和本级党组织的决议，团结、组织党内外的干部、群众，努力完成本单位所担负的任务。负责街道党工委自身建设和基层党组织建设，以及其他隶属街道党工委的党组织建设。负责联系街道辖区内的人民代表大会代表，组织代表开展活动，反映代表的群众的建议、批评和意见。负责机构编制工作。负责离退休干部管理工作。负责党建联席会议日常工作。做好区域化党建服务、新时代文明实践服务、志愿服务、综合文化服务等工作。做好民族事务工作。负责人大、政协工作，以及工会、共青团、妇联等工作。</w:t>
      </w:r>
    </w:p>
    <w:p>
      <w:pPr>
        <w:pStyle w:val="17"/>
      </w:pPr>
      <w:r>
        <w:t>党政综:合负责公文运转、保密机要、人事管理、后勤保障、档案管理、信息、会务、党务政务公开、信息化、财务管理、内部审计、国资管理等工作。负责综合性重要文件起草工作。负责机关党务工作。负责辖区内统计工作。完成街道党工委、办事处交办的其他任务。</w:t>
      </w:r>
    </w:p>
    <w:p>
      <w:pPr>
        <w:pStyle w:val="17"/>
      </w:pPr>
      <w:r>
        <w:t>应急管理:负责辖区应急管理工作。依法做好辖区的突发事件应对工作。负责本辖区的消防工作。负责辖区防洪抗洪、抗旱、防灾减灾相关工作。负责本辖区内自然灾害救助工作。履行安全生产监督管理职责。负责辖区内食品安全监督管理工作。负责相关涉农服务工作。</w:t>
      </w:r>
    </w:p>
    <w:p>
      <w:pPr>
        <w:pStyle w:val="17"/>
      </w:pPr>
      <w:r>
        <w:t>城市综合治理管理: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pPr>
        <w:pStyle w:val="17"/>
      </w:pPr>
      <w:r>
        <w:t>综合行政执法:根据法律法规和省政府授权，承担综合行政执法工作。组织相关法律法规宣传普及。处理行政复议和行政诉讼事务。协助有关部门查处传销行为。负责与区直有关部门、派驻机构的沟通协调工作。</w:t>
      </w:r>
    </w:p>
    <w:p>
      <w:pPr>
        <w:pStyle w:val="17"/>
      </w:pPr>
      <w:r>
        <w:t>行政综合服务:承担行政审批服务工作。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pPr>
        <w:pStyle w:val="17"/>
      </w:pPr>
      <w:r>
        <w:t>综合指挥和信息化网络:负责监控监测、收集整理、核实辖区内城市管理、生态保护、信访维稳、应急管理等个方面信息或问题，并按照办理机制反馈督办；负责网格队伍建设与管理.负责12345政府服务热线办理工作。负责制定本辖区社会治安综合治理规划。承担民间纠纷调解相关工作。做好防范邪教工作，做好信访工作。组织相关单位开展社区矫正工作和对户籍或居住地在本辖区的刑满释放人员做好接受建档和安置帮教工作。负责社区戒毒、社区康复工作。</w:t>
      </w:r>
    </w:p>
    <w:p>
      <w:pPr>
        <w:pStyle w:val="17"/>
      </w:pPr>
      <w:r>
        <w:t>退役军人服务:依照法定权限，协助做好本辖区的征兵、民兵、预备役、国防教育、国民经济动员、人民防空、国防交通、国防设施保护等工作。负责退役军人信息采集、权益维护、就业创业扶持、褒扬纪念、拥军优属等工作。</w:t>
      </w:r>
    </w:p>
    <w:p>
      <w:pPr>
        <w:pStyle w:val="17"/>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秦皇岛市海港区人民政府文化路街道办事处本级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机关运行费</w:t>
      </w:r>
      <w:r>
        <w:rPr>
          <w:rFonts w:eastAsia="方正仿宋_GBK"/>
          <w:color w:val="000000"/>
          <w:sz w:val="28"/>
        </w:rPr>
        <w:t>61.29</w:t>
      </w:r>
      <w:r>
        <w:rPr>
          <w:rFonts w:hint="eastAsia" w:eastAsia="方正仿宋_GBK"/>
          <w:color w:val="000000"/>
          <w:sz w:val="28"/>
        </w:rPr>
        <w:t>万元：办公费</w:t>
      </w:r>
      <w:r>
        <w:rPr>
          <w:rFonts w:eastAsia="方正仿宋_GBK"/>
          <w:color w:val="000000"/>
          <w:sz w:val="28"/>
        </w:rPr>
        <w:t>11.50</w:t>
      </w:r>
      <w:r>
        <w:rPr>
          <w:rFonts w:hint="eastAsia" w:eastAsia="方正仿宋_GBK"/>
          <w:color w:val="000000"/>
          <w:sz w:val="28"/>
        </w:rPr>
        <w:t>万元，邮电费</w:t>
      </w:r>
      <w:r>
        <w:rPr>
          <w:rFonts w:eastAsia="方正仿宋_GBK"/>
          <w:color w:val="000000"/>
          <w:sz w:val="28"/>
        </w:rPr>
        <w:t>9.36</w:t>
      </w:r>
      <w:r>
        <w:rPr>
          <w:rFonts w:hint="eastAsia" w:eastAsia="方正仿宋_GBK"/>
          <w:color w:val="000000"/>
          <w:sz w:val="28"/>
        </w:rPr>
        <w:t>万元，取暖费</w:t>
      </w:r>
      <w:r>
        <w:rPr>
          <w:rFonts w:eastAsia="方正仿宋_GBK"/>
          <w:color w:val="000000"/>
          <w:sz w:val="28"/>
        </w:rPr>
        <w:t>7.20</w:t>
      </w:r>
      <w:r>
        <w:rPr>
          <w:rFonts w:hint="eastAsia" w:eastAsia="方正仿宋_GBK"/>
          <w:color w:val="000000"/>
          <w:sz w:val="28"/>
        </w:rPr>
        <w:t>万元，公务接待费</w:t>
      </w:r>
      <w:r>
        <w:rPr>
          <w:rFonts w:eastAsia="方正仿宋_GBK"/>
          <w:color w:val="000000"/>
          <w:sz w:val="28"/>
        </w:rPr>
        <w:t>0.42</w:t>
      </w:r>
      <w:r>
        <w:rPr>
          <w:rFonts w:hint="eastAsia" w:eastAsia="方正仿宋_GBK"/>
          <w:color w:val="000000"/>
          <w:sz w:val="28"/>
        </w:rPr>
        <w:t>万元，工会经费</w:t>
      </w:r>
      <w:r>
        <w:rPr>
          <w:rFonts w:eastAsia="方正仿宋_GBK"/>
          <w:color w:val="000000"/>
          <w:sz w:val="28"/>
        </w:rPr>
        <w:t>7.77</w:t>
      </w:r>
      <w:r>
        <w:rPr>
          <w:rFonts w:hint="eastAsia" w:eastAsia="方正仿宋_GBK"/>
          <w:color w:val="000000"/>
          <w:sz w:val="28"/>
        </w:rPr>
        <w:t>万元，福利费</w:t>
      </w:r>
      <w:r>
        <w:rPr>
          <w:rFonts w:eastAsia="方正仿宋_GBK"/>
          <w:color w:val="000000"/>
          <w:sz w:val="28"/>
        </w:rPr>
        <w:t>9.68</w:t>
      </w:r>
      <w:r>
        <w:rPr>
          <w:rFonts w:hint="eastAsia" w:eastAsia="方正仿宋_GBK"/>
          <w:color w:val="000000"/>
          <w:sz w:val="28"/>
        </w:rPr>
        <w:t>万元，公务用车运行维护费</w:t>
      </w:r>
      <w:r>
        <w:rPr>
          <w:rFonts w:eastAsia="方正仿宋_GBK"/>
          <w:color w:val="000000"/>
          <w:sz w:val="28"/>
        </w:rPr>
        <w:t>2.25</w:t>
      </w:r>
      <w:r>
        <w:rPr>
          <w:rFonts w:hint="eastAsia" w:eastAsia="方正仿宋_GBK"/>
          <w:color w:val="000000"/>
          <w:sz w:val="28"/>
        </w:rPr>
        <w:t>万元，其他交通费用</w:t>
      </w:r>
      <w:r>
        <w:rPr>
          <w:rFonts w:eastAsia="方正仿宋_GBK"/>
          <w:color w:val="000000"/>
          <w:sz w:val="28"/>
        </w:rPr>
        <w:t>10.26</w:t>
      </w:r>
      <w:r>
        <w:rPr>
          <w:rFonts w:hint="eastAsia" w:eastAsia="方正仿宋_GBK"/>
          <w:color w:val="000000"/>
          <w:sz w:val="28"/>
        </w:rPr>
        <w:t>万元，其他商品和服务支出</w:t>
      </w:r>
      <w:r>
        <w:rPr>
          <w:rFonts w:eastAsia="方正仿宋_GBK"/>
          <w:color w:val="000000"/>
          <w:sz w:val="28"/>
        </w:rPr>
        <w:t>2.85</w:t>
      </w:r>
      <w:r>
        <w:rPr>
          <w:rFonts w:hint="eastAsia" w:eastAsia="方正仿宋_GBK"/>
          <w:color w:val="000000"/>
          <w:sz w:val="28"/>
        </w:rPr>
        <w:t>万元。</w:t>
      </w:r>
    </w:p>
    <w:p>
      <w:pPr>
        <w:pStyle w:val="19"/>
      </w:pPr>
    </w:p>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line="500" w:lineRule="exact"/>
        <w:ind w:firstLine="560"/>
        <w:rPr>
          <w:rFonts w:hint="eastAsia"/>
          <w:lang w:eastAsia="zh-CN"/>
        </w:rPr>
      </w:pPr>
      <w:r>
        <w:rPr>
          <w:rFonts w:hint="eastAsia" w:eastAsia="方正仿宋_GBK"/>
          <w:color w:val="000000"/>
          <w:sz w:val="28"/>
        </w:rPr>
        <w:t>2023年，我</w:t>
      </w:r>
      <w:r>
        <w:rPr>
          <w:rFonts w:hint="eastAsia" w:eastAsia="方正仿宋_GBK"/>
          <w:color w:val="000000"/>
          <w:sz w:val="28"/>
          <w:lang w:eastAsia="zh-CN"/>
        </w:rPr>
        <w:t>单位</w:t>
      </w:r>
      <w:r>
        <w:rPr>
          <w:rFonts w:hint="eastAsia" w:eastAsia="方正仿宋_GBK"/>
          <w:color w:val="000000"/>
          <w:sz w:val="28"/>
        </w:rPr>
        <w:t>财政拨款“三公”经费预算安排2.67万元，其中因公出国（境）费0万元；公务用车购置及运维费2.25万元（其中：公务用车购置费为0万元，公务用车运行费2.25万元)；公务接待费0.42万元。比202</w:t>
      </w:r>
      <w:r>
        <w:rPr>
          <w:rFonts w:hint="eastAsia" w:eastAsia="方正仿宋_GBK"/>
          <w:color w:val="000000"/>
          <w:sz w:val="28"/>
          <w:lang w:eastAsia="zh-CN"/>
        </w:rPr>
        <w:t>2</w:t>
      </w:r>
      <w:r>
        <w:rPr>
          <w:rFonts w:hint="eastAsia" w:eastAsia="方正仿宋_GBK"/>
          <w:color w:val="000000"/>
          <w:sz w:val="28"/>
        </w:rPr>
        <w:t>“三公”经费预算</w:t>
      </w:r>
      <w:r>
        <w:rPr>
          <w:rFonts w:hint="eastAsia" w:eastAsia="方正仿宋_GBK"/>
          <w:color w:val="000000"/>
          <w:sz w:val="28"/>
          <w:lang w:eastAsia="zh-CN"/>
        </w:rPr>
        <w:t>无变化。</w:t>
      </w:r>
    </w:p>
    <w:p>
      <w:pPr>
        <w:pStyle w:val="28"/>
        <w:ind w:firstLine="0"/>
        <w:rPr>
          <w:rFonts w:hint="eastAsia"/>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1.以社区居民为主体开展各项活动，做好街道美化及政策宣传工作。</w:t>
            </w:r>
          </w:p>
          <w:p>
            <w:pPr>
              <w:pStyle w:val="12"/>
            </w:pPr>
            <w:r>
              <w:t xml:space="preserve">2.保障行政服务中心、执法大队、城管车辆、信访维稳、基层团建、妇联、基层安监等工作顺利开展。 </w:t>
            </w:r>
          </w:p>
          <w:p>
            <w:pPr>
              <w:pStyle w:val="12"/>
            </w:pPr>
            <w:r>
              <w:t>3.加强街道城市管理、社区建设和服务水平，加强街居精神文明建设、解决社会治安综合治理等问题。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办理证照数量</w:t>
            </w:r>
          </w:p>
        </w:tc>
        <w:tc>
          <w:tcPr>
            <w:tcW w:w="2835" w:type="dxa"/>
            <w:vAlign w:val="center"/>
          </w:tcPr>
          <w:p>
            <w:pPr>
              <w:pStyle w:val="12"/>
            </w:pPr>
            <w:r>
              <w:t>每年办理各类证照数量</w:t>
            </w:r>
          </w:p>
        </w:tc>
        <w:tc>
          <w:tcPr>
            <w:tcW w:w="2551" w:type="dxa"/>
            <w:vAlign w:val="center"/>
          </w:tcPr>
          <w:p>
            <w:pPr>
              <w:pStyle w:val="12"/>
            </w:pPr>
            <w:r>
              <w:t>≥4000份</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需要保障的车辆数量</w:t>
            </w:r>
          </w:p>
        </w:tc>
        <w:tc>
          <w:tcPr>
            <w:tcW w:w="2835" w:type="dxa"/>
            <w:vAlign w:val="center"/>
          </w:tcPr>
          <w:p>
            <w:pPr>
              <w:pStyle w:val="12"/>
            </w:pPr>
            <w:r>
              <w:t>需要保障的车辆数量</w:t>
            </w:r>
          </w:p>
        </w:tc>
        <w:tc>
          <w:tcPr>
            <w:tcW w:w="2551" w:type="dxa"/>
            <w:vAlign w:val="center"/>
          </w:tcPr>
          <w:p>
            <w:pPr>
              <w:pStyle w:val="12"/>
            </w:pPr>
            <w:r>
              <w:t>≥2辆</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开展居民文化活动次数</w:t>
            </w:r>
          </w:p>
        </w:tc>
        <w:tc>
          <w:tcPr>
            <w:tcW w:w="2835" w:type="dxa"/>
            <w:vAlign w:val="center"/>
          </w:tcPr>
          <w:p>
            <w:pPr>
              <w:pStyle w:val="12"/>
            </w:pPr>
            <w:r>
              <w:t>开展居民文化活动次数</w:t>
            </w:r>
          </w:p>
        </w:tc>
        <w:tc>
          <w:tcPr>
            <w:tcW w:w="2551" w:type="dxa"/>
            <w:vAlign w:val="center"/>
          </w:tcPr>
          <w:p>
            <w:pPr>
              <w:pStyle w:val="12"/>
            </w:pPr>
            <w:r>
              <w:t>≥5次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信访值班天数</w:t>
            </w:r>
          </w:p>
        </w:tc>
        <w:tc>
          <w:tcPr>
            <w:tcW w:w="2835" w:type="dxa"/>
            <w:vAlign w:val="center"/>
          </w:tcPr>
          <w:p>
            <w:pPr>
              <w:pStyle w:val="12"/>
            </w:pPr>
            <w:r>
              <w:t>重要时间节点到北京，石家庄、北戴河等地信访维稳值班天数</w:t>
            </w:r>
          </w:p>
        </w:tc>
        <w:tc>
          <w:tcPr>
            <w:tcW w:w="2551" w:type="dxa"/>
            <w:vAlign w:val="center"/>
          </w:tcPr>
          <w:p>
            <w:pPr>
              <w:pStyle w:val="12"/>
            </w:pPr>
            <w:r>
              <w:t>≥90天</w:t>
            </w:r>
          </w:p>
        </w:tc>
        <w:tc>
          <w:tcPr>
            <w:tcW w:w="2268"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制作宣传品数量</w:t>
            </w:r>
          </w:p>
        </w:tc>
        <w:tc>
          <w:tcPr>
            <w:tcW w:w="2835" w:type="dxa"/>
            <w:vAlign w:val="center"/>
          </w:tcPr>
          <w:p>
            <w:pPr>
              <w:pStyle w:val="12"/>
            </w:pPr>
            <w:r>
              <w:t>制作宣传品数量</w:t>
            </w:r>
          </w:p>
        </w:tc>
        <w:tc>
          <w:tcPr>
            <w:tcW w:w="2551" w:type="dxa"/>
            <w:vAlign w:val="center"/>
          </w:tcPr>
          <w:p>
            <w:pPr>
              <w:pStyle w:val="12"/>
            </w:pPr>
            <w:r>
              <w:t>≥1000份</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各项工作完成率</w:t>
            </w:r>
          </w:p>
        </w:tc>
        <w:tc>
          <w:tcPr>
            <w:tcW w:w="2835" w:type="dxa"/>
            <w:vAlign w:val="center"/>
          </w:tcPr>
          <w:p>
            <w:pPr>
              <w:pStyle w:val="12"/>
            </w:pPr>
            <w:r>
              <w:t>各项工作完成率</w:t>
            </w:r>
          </w:p>
        </w:tc>
        <w:tc>
          <w:tcPr>
            <w:tcW w:w="2551" w:type="dxa"/>
            <w:vAlign w:val="center"/>
          </w:tcPr>
          <w:p>
            <w:pPr>
              <w:pStyle w:val="12"/>
            </w:pPr>
            <w:r>
              <w:t>≥95%</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≥95%</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日常业务支出控制在预算内</w:t>
            </w:r>
          </w:p>
        </w:tc>
        <w:tc>
          <w:tcPr>
            <w:tcW w:w="2835" w:type="dxa"/>
            <w:vAlign w:val="center"/>
          </w:tcPr>
          <w:p>
            <w:pPr>
              <w:pStyle w:val="12"/>
            </w:pPr>
            <w:r>
              <w:t>日常业务支出控制在预算内</w:t>
            </w:r>
          </w:p>
        </w:tc>
        <w:tc>
          <w:tcPr>
            <w:tcW w:w="2551" w:type="dxa"/>
            <w:vAlign w:val="center"/>
          </w:tcPr>
          <w:p>
            <w:pPr>
              <w:pStyle w:val="12"/>
            </w:pPr>
            <w:r>
              <w:t>≤26万</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保障全年信访稳定</w:t>
            </w:r>
          </w:p>
        </w:tc>
        <w:tc>
          <w:tcPr>
            <w:tcW w:w="2835" w:type="dxa"/>
            <w:vAlign w:val="center"/>
          </w:tcPr>
          <w:p>
            <w:pPr>
              <w:pStyle w:val="12"/>
            </w:pPr>
            <w:r>
              <w:t>保障全年信访稳定，促进社会和谐</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促进辖区经济环境稳定</w:t>
            </w:r>
          </w:p>
        </w:tc>
        <w:tc>
          <w:tcPr>
            <w:tcW w:w="2835" w:type="dxa"/>
            <w:vAlign w:val="center"/>
          </w:tcPr>
          <w:p>
            <w:pPr>
              <w:pStyle w:val="12"/>
            </w:pPr>
            <w:r>
              <w:t>文明执法、改善街巷路经济秩序，促进辖区经济环境稳定</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不断提高居民文化生活水平</w:t>
            </w:r>
          </w:p>
        </w:tc>
        <w:tc>
          <w:tcPr>
            <w:tcW w:w="2835" w:type="dxa"/>
            <w:vAlign w:val="center"/>
          </w:tcPr>
          <w:p>
            <w:pPr>
              <w:pStyle w:val="12"/>
            </w:pPr>
            <w:r>
              <w:t>不断提高居民文化生活水平</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保障妇女、青年权益</w:t>
            </w:r>
          </w:p>
        </w:tc>
        <w:tc>
          <w:tcPr>
            <w:tcW w:w="2835" w:type="dxa"/>
            <w:vAlign w:val="center"/>
          </w:tcPr>
          <w:p>
            <w:pPr>
              <w:pStyle w:val="12"/>
            </w:pPr>
            <w:r>
              <w:t>保障妇女、青年权益</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1.规范基层武装工作，提升应急处置能力，保障基层人民武装部在国防后备力量建设中的重要作用发挥。</w:t>
            </w:r>
            <w:r>
              <w:tab/>
            </w:r>
            <w:r>
              <w:tab/>
            </w:r>
            <w:r>
              <w:tab/>
            </w:r>
            <w:r>
              <w:tab/>
            </w:r>
            <w:r>
              <w:tab/>
            </w:r>
            <w:r>
              <w:tab/>
            </w:r>
            <w:r>
              <w:tab/>
            </w:r>
            <w:r>
              <w:tab/>
            </w:r>
            <w:r>
              <w:tab/>
            </w:r>
            <w:r>
              <w:tab/>
            </w:r>
            <w:r>
              <w:tab/>
            </w:r>
            <w:r>
              <w:tab/>
            </w:r>
          </w:p>
          <w:p>
            <w:pPr>
              <w:pStyle w:val="12"/>
            </w:pPr>
          </w:p>
          <w:p>
            <w:pPr>
              <w:pStyle w:val="12"/>
            </w:pPr>
            <w:r>
              <w:t>2.加强民兵建设和民兵训练，提高民兵素质，努力开创武装工作新局面，加强基层武装和民兵“两个建设”。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需要购置服装装备的应急民兵排的人数</w:t>
            </w:r>
          </w:p>
        </w:tc>
        <w:tc>
          <w:tcPr>
            <w:tcW w:w="2835" w:type="dxa"/>
            <w:vAlign w:val="center"/>
          </w:tcPr>
          <w:p>
            <w:pPr>
              <w:pStyle w:val="12"/>
            </w:pPr>
            <w:r>
              <w:t>需要购置服装装备的应急民兵排的人数</w:t>
            </w:r>
          </w:p>
        </w:tc>
        <w:tc>
          <w:tcPr>
            <w:tcW w:w="2551" w:type="dxa"/>
            <w:vAlign w:val="center"/>
          </w:tcPr>
          <w:p>
            <w:pPr>
              <w:pStyle w:val="12"/>
            </w:pPr>
            <w:r>
              <w:t>≥40人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组织民兵活动训练次数</w:t>
            </w:r>
          </w:p>
        </w:tc>
        <w:tc>
          <w:tcPr>
            <w:tcW w:w="2835" w:type="dxa"/>
            <w:vAlign w:val="center"/>
          </w:tcPr>
          <w:p>
            <w:pPr>
              <w:pStyle w:val="12"/>
            </w:pPr>
            <w:r>
              <w:t>组织民兵定期学习训练，响应上级拉动次数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物资采购验收合格率</w:t>
            </w:r>
          </w:p>
        </w:tc>
        <w:tc>
          <w:tcPr>
            <w:tcW w:w="2835" w:type="dxa"/>
            <w:vAlign w:val="center"/>
          </w:tcPr>
          <w:p>
            <w:pPr>
              <w:pStyle w:val="12"/>
            </w:pPr>
            <w:r>
              <w:t>物资采购验收合格率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工作完成的及时率</w:t>
            </w:r>
          </w:p>
        </w:tc>
        <w:tc>
          <w:tcPr>
            <w:tcW w:w="2835" w:type="dxa"/>
            <w:vAlign w:val="center"/>
          </w:tcPr>
          <w:p>
            <w:pPr>
              <w:pStyle w:val="12"/>
            </w:pPr>
            <w:r>
              <w:t>工作完成的及时率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成本费用总额控制在预算内</w:t>
            </w:r>
          </w:p>
        </w:tc>
        <w:tc>
          <w:tcPr>
            <w:tcW w:w="2835" w:type="dxa"/>
            <w:vAlign w:val="center"/>
          </w:tcPr>
          <w:p>
            <w:pPr>
              <w:pStyle w:val="12"/>
            </w:pPr>
            <w:r>
              <w:t>成本费用总额控制在预算内</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民兵应急能力提升建设</w:t>
            </w:r>
          </w:p>
        </w:tc>
        <w:tc>
          <w:tcPr>
            <w:tcW w:w="2835" w:type="dxa"/>
            <w:vAlign w:val="center"/>
          </w:tcPr>
          <w:p>
            <w:pPr>
              <w:pStyle w:val="12"/>
            </w:pPr>
            <w:r>
              <w:t>民兵应急能力提升建设</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受益对象满意度</w:t>
            </w:r>
          </w:p>
        </w:tc>
        <w:tc>
          <w:tcPr>
            <w:tcW w:w="2551" w:type="dxa"/>
            <w:vAlign w:val="center"/>
          </w:tcPr>
          <w:p>
            <w:pPr>
              <w:pStyle w:val="12"/>
            </w:pPr>
            <w:r>
              <w:t>≥95%</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1.1.密切与人民群众的联系,组织活动与选民零距离接触 </w:t>
            </w:r>
          </w:p>
          <w:p>
            <w:pPr>
              <w:pStyle w:val="12"/>
            </w:pPr>
            <w:r>
              <w:t>2.2.定期到"人大代表之家"接待群众,维护"人大代表之家"建设</w:t>
            </w:r>
          </w:p>
          <w:p>
            <w:pPr>
              <w:pStyle w:val="12"/>
            </w:pPr>
            <w:r>
              <w:t>3.3.组织人大代表视察活动，做好人大代表服务工作，确保各项人大工作顺利完成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人大代表活动宣传品制作数量</w:t>
            </w:r>
          </w:p>
        </w:tc>
        <w:tc>
          <w:tcPr>
            <w:tcW w:w="2835" w:type="dxa"/>
            <w:vAlign w:val="center"/>
          </w:tcPr>
          <w:p>
            <w:pPr>
              <w:pStyle w:val="12"/>
            </w:pPr>
            <w:r>
              <w:t>人大代表活动宣传品制作数量</w:t>
            </w:r>
          </w:p>
        </w:tc>
        <w:tc>
          <w:tcPr>
            <w:tcW w:w="2551" w:type="dxa"/>
            <w:vAlign w:val="center"/>
          </w:tcPr>
          <w:p>
            <w:pPr>
              <w:pStyle w:val="12"/>
            </w:pPr>
            <w:r>
              <w:t>≥100册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视察调研培训等活动的次数</w:t>
            </w:r>
          </w:p>
        </w:tc>
        <w:tc>
          <w:tcPr>
            <w:tcW w:w="2835" w:type="dxa"/>
            <w:vAlign w:val="center"/>
          </w:tcPr>
          <w:p>
            <w:pPr>
              <w:pStyle w:val="12"/>
            </w:pPr>
            <w:r>
              <w:t>视察调研培训等活动的次数</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代表之家、代表联络站建设合格率</w:t>
            </w:r>
          </w:p>
        </w:tc>
        <w:tc>
          <w:tcPr>
            <w:tcW w:w="2835" w:type="dxa"/>
            <w:vAlign w:val="center"/>
          </w:tcPr>
          <w:p>
            <w:pPr>
              <w:pStyle w:val="12"/>
            </w:pPr>
            <w:r>
              <w:t>完成代表之家、代表联络站软（硬）件条件，为人大代表密切联系群众提供平台。</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各项活动支出小于等于预算数</w:t>
            </w:r>
          </w:p>
        </w:tc>
        <w:tc>
          <w:tcPr>
            <w:tcW w:w="2835" w:type="dxa"/>
            <w:vAlign w:val="center"/>
          </w:tcPr>
          <w:p>
            <w:pPr>
              <w:pStyle w:val="12"/>
            </w:pPr>
            <w:r>
              <w:t>各项活动支出小于等于预算数</w:t>
            </w:r>
          </w:p>
        </w:tc>
        <w:tc>
          <w:tcPr>
            <w:tcW w:w="2551" w:type="dxa"/>
            <w:vAlign w:val="center"/>
          </w:tcPr>
          <w:p>
            <w:pPr>
              <w:pStyle w:val="12"/>
            </w:pPr>
            <w:r>
              <w:t>≤4万元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积极开展代表活动，提升代表履职水平</w:t>
            </w:r>
          </w:p>
        </w:tc>
        <w:tc>
          <w:tcPr>
            <w:tcW w:w="2835" w:type="dxa"/>
            <w:vAlign w:val="center"/>
          </w:tcPr>
          <w:p>
            <w:pPr>
              <w:pStyle w:val="12"/>
            </w:pPr>
            <w:r>
              <w:t>积极开展代表活动，提升代表履职水平</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群众满意度占比</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1.举办公益文化活动，提高居民素养，增强居民对文化生活的向往</w:t>
            </w:r>
          </w:p>
          <w:p>
            <w:pPr>
              <w:pStyle w:val="12"/>
            </w:pPr>
            <w:r>
              <w:t>2.购买图书补充图书室用于免费开放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购买图书数量</w:t>
            </w:r>
          </w:p>
        </w:tc>
        <w:tc>
          <w:tcPr>
            <w:tcW w:w="2835" w:type="dxa"/>
            <w:vAlign w:val="center"/>
          </w:tcPr>
          <w:p>
            <w:pPr>
              <w:pStyle w:val="12"/>
            </w:pPr>
            <w:r>
              <w:t>购买图书数量</w:t>
            </w:r>
          </w:p>
        </w:tc>
        <w:tc>
          <w:tcPr>
            <w:tcW w:w="2551" w:type="dxa"/>
            <w:vAlign w:val="center"/>
          </w:tcPr>
          <w:p>
            <w:pPr>
              <w:pStyle w:val="12"/>
            </w:pPr>
            <w:r>
              <w:t>≥100册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组织活动次数</w:t>
            </w:r>
          </w:p>
        </w:tc>
        <w:tc>
          <w:tcPr>
            <w:tcW w:w="2835" w:type="dxa"/>
            <w:vAlign w:val="center"/>
          </w:tcPr>
          <w:p>
            <w:pPr>
              <w:pStyle w:val="12"/>
            </w:pPr>
            <w:r>
              <w:t>组织公益文化活动次数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文化站图书馆建设合格率</w:t>
            </w:r>
          </w:p>
        </w:tc>
        <w:tc>
          <w:tcPr>
            <w:tcW w:w="2835" w:type="dxa"/>
            <w:vAlign w:val="center"/>
          </w:tcPr>
          <w:p>
            <w:pPr>
              <w:pStyle w:val="12"/>
            </w:pPr>
            <w:r>
              <w:t>文化站图书馆建设合格率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免费开放时间</w:t>
            </w:r>
          </w:p>
        </w:tc>
        <w:tc>
          <w:tcPr>
            <w:tcW w:w="2835" w:type="dxa"/>
            <w:vAlign w:val="center"/>
          </w:tcPr>
          <w:p>
            <w:pPr>
              <w:pStyle w:val="12"/>
            </w:pPr>
            <w:r>
              <w:t>图书馆免费开放时间</w:t>
            </w:r>
          </w:p>
        </w:tc>
        <w:tc>
          <w:tcPr>
            <w:tcW w:w="2551" w:type="dxa"/>
            <w:vAlign w:val="center"/>
          </w:tcPr>
          <w:p>
            <w:pPr>
              <w:pStyle w:val="12"/>
            </w:pPr>
            <w:r>
              <w:t>1全年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各项活动支出</w:t>
            </w:r>
          </w:p>
        </w:tc>
        <w:tc>
          <w:tcPr>
            <w:tcW w:w="2835" w:type="dxa"/>
            <w:vAlign w:val="center"/>
          </w:tcPr>
          <w:p>
            <w:pPr>
              <w:pStyle w:val="12"/>
            </w:pPr>
            <w:r>
              <w:t>活动用品、图书费用等支出</w:t>
            </w:r>
          </w:p>
        </w:tc>
        <w:tc>
          <w:tcPr>
            <w:tcW w:w="2551" w:type="dxa"/>
            <w:vAlign w:val="center"/>
          </w:tcPr>
          <w:p>
            <w:pPr>
              <w:pStyle w:val="12"/>
            </w:pPr>
            <w:r>
              <w:t>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提高居民文化素养效果</w:t>
            </w:r>
          </w:p>
        </w:tc>
        <w:tc>
          <w:tcPr>
            <w:tcW w:w="2835" w:type="dxa"/>
            <w:vAlign w:val="center"/>
          </w:tcPr>
          <w:p>
            <w:pPr>
              <w:pStyle w:val="12"/>
            </w:pPr>
            <w:r>
              <w:t>提高居民文化素养效果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提高街居群文骨干理论水平效果</w:t>
            </w:r>
          </w:p>
        </w:tc>
        <w:tc>
          <w:tcPr>
            <w:tcW w:w="2835" w:type="dxa"/>
            <w:vAlign w:val="center"/>
          </w:tcPr>
          <w:p>
            <w:pPr>
              <w:pStyle w:val="12"/>
            </w:pPr>
            <w:r>
              <w:t>提高街居群文骨干理论水平效果</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服务对象满意度指标</w:t>
            </w:r>
          </w:p>
        </w:tc>
        <w:tc>
          <w:tcPr>
            <w:tcW w:w="2551" w:type="dxa"/>
            <w:vAlign w:val="center"/>
          </w:tcPr>
          <w:p>
            <w:pPr>
              <w:pStyle w:val="12"/>
            </w:pPr>
            <w:r>
              <w:t>≥90%</w:t>
            </w:r>
          </w:p>
        </w:tc>
        <w:tc>
          <w:tcPr>
            <w:tcW w:w="2268"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1.及时支付街巷路环卫保洁垃圾收运服务费用，确保辖区环境干净整洁，市容秩序规范有序。</w:t>
            </w:r>
          </w:p>
          <w:p>
            <w:pPr>
              <w:pStyle w:val="12"/>
            </w:pPr>
            <w:r>
              <w:t>2.保障社区网格服务管理经费，开展网格化社会治理工作，推动社会治理向基层延伸，不断提升社会治理水平。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街巷路数量</w:t>
            </w:r>
          </w:p>
        </w:tc>
        <w:tc>
          <w:tcPr>
            <w:tcW w:w="2835" w:type="dxa"/>
            <w:vAlign w:val="center"/>
          </w:tcPr>
          <w:p>
            <w:pPr>
              <w:pStyle w:val="12"/>
            </w:pPr>
            <w:r>
              <w:t>清扫和保洁街巷路数量</w:t>
            </w:r>
          </w:p>
        </w:tc>
        <w:tc>
          <w:tcPr>
            <w:tcW w:w="2551" w:type="dxa"/>
            <w:vAlign w:val="center"/>
          </w:tcPr>
          <w:p>
            <w:pPr>
              <w:pStyle w:val="12"/>
            </w:pPr>
            <w:r>
              <w:t>≥26条</w:t>
            </w:r>
          </w:p>
        </w:tc>
        <w:tc>
          <w:tcPr>
            <w:tcW w:w="2268" w:type="dxa"/>
            <w:vAlign w:val="center"/>
          </w:tcPr>
          <w:p>
            <w:pPr>
              <w:pStyle w:val="12"/>
            </w:pPr>
            <w:r>
              <w:t>实际工作标准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网格数量</w:t>
            </w:r>
          </w:p>
        </w:tc>
        <w:tc>
          <w:tcPr>
            <w:tcW w:w="2835" w:type="dxa"/>
            <w:vAlign w:val="center"/>
          </w:tcPr>
          <w:p>
            <w:pPr>
              <w:pStyle w:val="12"/>
            </w:pPr>
            <w:r>
              <w:t>保障网格数量</w:t>
            </w:r>
          </w:p>
        </w:tc>
        <w:tc>
          <w:tcPr>
            <w:tcW w:w="2551" w:type="dxa"/>
            <w:vAlign w:val="center"/>
          </w:tcPr>
          <w:p>
            <w:pPr>
              <w:pStyle w:val="12"/>
            </w:pPr>
            <w:r>
              <w:t>48个</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环卫保洁达标率</w:t>
            </w:r>
          </w:p>
        </w:tc>
        <w:tc>
          <w:tcPr>
            <w:tcW w:w="2835" w:type="dxa"/>
            <w:vAlign w:val="center"/>
          </w:tcPr>
          <w:p>
            <w:pPr>
              <w:pStyle w:val="12"/>
            </w:pPr>
            <w:r>
              <w:t>达到“七净五无”“三根清”的卫生标准率</w:t>
            </w:r>
          </w:p>
        </w:tc>
        <w:tc>
          <w:tcPr>
            <w:tcW w:w="2551" w:type="dxa"/>
            <w:vAlign w:val="center"/>
          </w:tcPr>
          <w:p>
            <w:pPr>
              <w:pStyle w:val="12"/>
            </w:pPr>
            <w:r>
              <w:t>≥95%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放发工资及时率</w:t>
            </w:r>
          </w:p>
        </w:tc>
        <w:tc>
          <w:tcPr>
            <w:tcW w:w="2835" w:type="dxa"/>
            <w:vAlign w:val="center"/>
          </w:tcPr>
          <w:p>
            <w:pPr>
              <w:pStyle w:val="12"/>
            </w:pPr>
            <w:r>
              <w:t>放发环卫保洁人员工资及时率</w:t>
            </w:r>
          </w:p>
        </w:tc>
        <w:tc>
          <w:tcPr>
            <w:tcW w:w="2551" w:type="dxa"/>
            <w:vAlign w:val="center"/>
          </w:tcPr>
          <w:p>
            <w:pPr>
              <w:pStyle w:val="12"/>
            </w:pPr>
            <w:r>
              <w:t>≥95%</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发放网格员补贴及时率</w:t>
            </w:r>
          </w:p>
        </w:tc>
        <w:tc>
          <w:tcPr>
            <w:tcW w:w="2835" w:type="dxa"/>
            <w:vAlign w:val="center"/>
          </w:tcPr>
          <w:p>
            <w:pPr>
              <w:pStyle w:val="12"/>
            </w:pPr>
            <w:r>
              <w:t>发放网格员补贴及时率</w:t>
            </w:r>
          </w:p>
        </w:tc>
        <w:tc>
          <w:tcPr>
            <w:tcW w:w="2551" w:type="dxa"/>
            <w:vAlign w:val="center"/>
          </w:tcPr>
          <w:p>
            <w:pPr>
              <w:pStyle w:val="12"/>
            </w:pPr>
            <w:r>
              <w:t>≥96%</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网格服务保障经费标准</w:t>
            </w:r>
          </w:p>
        </w:tc>
        <w:tc>
          <w:tcPr>
            <w:tcW w:w="2835" w:type="dxa"/>
            <w:vAlign w:val="center"/>
          </w:tcPr>
          <w:p>
            <w:pPr>
              <w:pStyle w:val="12"/>
            </w:pPr>
            <w:r>
              <w:t>网格员意外伤害保险、制作网格员证件等基础保障</w:t>
            </w:r>
          </w:p>
        </w:tc>
        <w:tc>
          <w:tcPr>
            <w:tcW w:w="2551" w:type="dxa"/>
            <w:vAlign w:val="center"/>
          </w:tcPr>
          <w:p>
            <w:pPr>
              <w:pStyle w:val="12"/>
            </w:pPr>
            <w:r>
              <w:t>1000每年每个网格</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网格服务管理经费标准</w:t>
            </w:r>
          </w:p>
        </w:tc>
        <w:tc>
          <w:tcPr>
            <w:tcW w:w="2835" w:type="dxa"/>
            <w:vAlign w:val="center"/>
          </w:tcPr>
          <w:p>
            <w:pPr>
              <w:pStyle w:val="12"/>
            </w:pPr>
            <w:r>
              <w:t>网格员工作补贴及服务群众费用</w:t>
            </w:r>
          </w:p>
        </w:tc>
        <w:tc>
          <w:tcPr>
            <w:tcW w:w="2551" w:type="dxa"/>
            <w:vAlign w:val="center"/>
          </w:tcPr>
          <w:p>
            <w:pPr>
              <w:pStyle w:val="12"/>
            </w:pPr>
            <w:r>
              <w:t>1000元每月</w:t>
            </w:r>
          </w:p>
        </w:tc>
        <w:tc>
          <w:tcPr>
            <w:tcW w:w="2268" w:type="dxa"/>
            <w:vAlign w:val="center"/>
          </w:tcPr>
          <w:p>
            <w:pPr>
              <w:pStyle w:val="12"/>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提升城市环境</w:t>
            </w:r>
          </w:p>
        </w:tc>
        <w:tc>
          <w:tcPr>
            <w:tcW w:w="2835" w:type="dxa"/>
            <w:vAlign w:val="center"/>
          </w:tcPr>
          <w:p>
            <w:pPr>
              <w:pStyle w:val="12"/>
            </w:pPr>
            <w:r>
              <w:t>维护街巷道路的干净卫生，提升城市环境</w:t>
            </w:r>
          </w:p>
        </w:tc>
        <w:tc>
          <w:tcPr>
            <w:tcW w:w="2551" w:type="dxa"/>
            <w:vAlign w:val="center"/>
          </w:tcPr>
          <w:p>
            <w:pPr>
              <w:pStyle w:val="12"/>
            </w:pPr>
            <w:r>
              <w:t>进一步提高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提高社区治理能力水平</w:t>
            </w:r>
          </w:p>
        </w:tc>
        <w:tc>
          <w:tcPr>
            <w:tcW w:w="2835" w:type="dxa"/>
            <w:vAlign w:val="center"/>
          </w:tcPr>
          <w:p>
            <w:pPr>
              <w:pStyle w:val="12"/>
            </w:pPr>
            <w:r>
              <w:t>打造基础网格治理体系，提高社区治理能力水平</w:t>
            </w:r>
          </w:p>
        </w:tc>
        <w:tc>
          <w:tcPr>
            <w:tcW w:w="2551" w:type="dxa"/>
            <w:vAlign w:val="center"/>
          </w:tcPr>
          <w:p>
            <w:pPr>
              <w:pStyle w:val="12"/>
            </w:pPr>
            <w:r>
              <w:t>较上年有所提高</w:t>
            </w:r>
          </w:p>
        </w:tc>
        <w:tc>
          <w:tcPr>
            <w:tcW w:w="2268"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服务对象满意度指标</w:t>
            </w:r>
          </w:p>
        </w:tc>
        <w:tc>
          <w:tcPr>
            <w:tcW w:w="2551" w:type="dxa"/>
            <w:vAlign w:val="center"/>
          </w:tcPr>
          <w:p>
            <w:pPr>
              <w:pStyle w:val="12"/>
            </w:pPr>
            <w:r>
              <w:t>≥90%</w:t>
            </w:r>
          </w:p>
        </w:tc>
        <w:tc>
          <w:tcPr>
            <w:tcW w:w="2268"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1.保障社区日常运转，完成全年各项工作任务。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2835" w:type="dxa"/>
            <w:vAlign w:val="center"/>
          </w:tcPr>
          <w:p>
            <w:pPr>
              <w:pStyle w:val="12"/>
            </w:pPr>
            <w:r>
              <w:t>保障办公人数</w:t>
            </w:r>
          </w:p>
        </w:tc>
        <w:tc>
          <w:tcPr>
            <w:tcW w:w="2551" w:type="dxa"/>
            <w:vAlign w:val="center"/>
          </w:tcPr>
          <w:p>
            <w:pPr>
              <w:pStyle w:val="12"/>
            </w:pPr>
            <w:r>
              <w:t>≥46人</w:t>
            </w:r>
          </w:p>
        </w:tc>
        <w:tc>
          <w:tcPr>
            <w:tcW w:w="2268" w:type="dxa"/>
            <w:vAlign w:val="center"/>
          </w:tcPr>
          <w:p>
            <w:pPr>
              <w:pStyle w:val="12"/>
            </w:pPr>
            <w:r>
              <w:t>办公实际人数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保障办公社区数量</w:t>
            </w:r>
          </w:p>
        </w:tc>
        <w:tc>
          <w:tcPr>
            <w:tcW w:w="2835" w:type="dxa"/>
            <w:vAlign w:val="center"/>
          </w:tcPr>
          <w:p>
            <w:pPr>
              <w:pStyle w:val="12"/>
            </w:pPr>
            <w:r>
              <w:t>保障办公社区数量</w:t>
            </w:r>
          </w:p>
        </w:tc>
        <w:tc>
          <w:tcPr>
            <w:tcW w:w="2551" w:type="dxa"/>
            <w:vAlign w:val="center"/>
          </w:tcPr>
          <w:p>
            <w:pPr>
              <w:pStyle w:val="12"/>
            </w:pPr>
            <w:r>
              <w:t>7个</w:t>
            </w:r>
          </w:p>
        </w:tc>
        <w:tc>
          <w:tcPr>
            <w:tcW w:w="2268" w:type="dxa"/>
            <w:vAlign w:val="center"/>
          </w:tcPr>
          <w:p>
            <w:pPr>
              <w:pStyle w:val="12"/>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2835" w:type="dxa"/>
            <w:vAlign w:val="center"/>
          </w:tcPr>
          <w:p>
            <w:pPr>
              <w:pStyle w:val="12"/>
            </w:pPr>
            <w:r>
              <w:t>各项日常工作运转保障率</w:t>
            </w:r>
          </w:p>
        </w:tc>
        <w:tc>
          <w:tcPr>
            <w:tcW w:w="2551" w:type="dxa"/>
            <w:vAlign w:val="center"/>
          </w:tcPr>
          <w:p>
            <w:pPr>
              <w:pStyle w:val="12"/>
            </w:pPr>
            <w:r>
              <w:t>≥90%</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2835" w:type="dxa"/>
            <w:vAlign w:val="center"/>
          </w:tcPr>
          <w:p>
            <w:pPr>
              <w:pStyle w:val="12"/>
            </w:pPr>
            <w:r>
              <w:t>及时保障各项日常办公需要</w:t>
            </w:r>
          </w:p>
        </w:tc>
        <w:tc>
          <w:tcPr>
            <w:tcW w:w="2551" w:type="dxa"/>
            <w:vAlign w:val="center"/>
          </w:tcPr>
          <w:p>
            <w:pPr>
              <w:pStyle w:val="12"/>
            </w:pPr>
            <w:r>
              <w:t>及时保障</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各社区日常经费标准</w:t>
            </w:r>
          </w:p>
        </w:tc>
        <w:tc>
          <w:tcPr>
            <w:tcW w:w="2835" w:type="dxa"/>
            <w:vAlign w:val="center"/>
          </w:tcPr>
          <w:p>
            <w:pPr>
              <w:pStyle w:val="12"/>
            </w:pPr>
            <w:r>
              <w:t>各社区日常经费标准</w:t>
            </w:r>
          </w:p>
        </w:tc>
        <w:tc>
          <w:tcPr>
            <w:tcW w:w="2551" w:type="dxa"/>
            <w:vAlign w:val="center"/>
          </w:tcPr>
          <w:p>
            <w:pPr>
              <w:pStyle w:val="12"/>
            </w:pPr>
            <w:r>
              <w:t>10万/社区</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2835" w:type="dxa"/>
            <w:vAlign w:val="center"/>
          </w:tcPr>
          <w:p>
            <w:pPr>
              <w:pStyle w:val="12"/>
            </w:pPr>
            <w:r>
              <w:t>保障日常办公需要，维持单位正常运转</w:t>
            </w:r>
          </w:p>
        </w:tc>
        <w:tc>
          <w:tcPr>
            <w:tcW w:w="2551" w:type="dxa"/>
            <w:vAlign w:val="center"/>
          </w:tcPr>
          <w:p>
            <w:pPr>
              <w:pStyle w:val="12"/>
            </w:pPr>
            <w:r>
              <w:t>单位运转情况</w:t>
            </w:r>
          </w:p>
        </w:tc>
        <w:tc>
          <w:tcPr>
            <w:tcW w:w="2268" w:type="dxa"/>
            <w:vAlign w:val="center"/>
          </w:tcPr>
          <w:p>
            <w:pPr>
              <w:pStyle w:val="12"/>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2835" w:type="dxa"/>
            <w:vAlign w:val="center"/>
          </w:tcPr>
          <w:p>
            <w:pPr>
              <w:pStyle w:val="12"/>
            </w:pPr>
            <w:r>
              <w:t>单位办公人员对保障工作的满意程度</w:t>
            </w:r>
          </w:p>
        </w:tc>
        <w:tc>
          <w:tcPr>
            <w:tcW w:w="2551" w:type="dxa"/>
            <w:vAlign w:val="center"/>
          </w:tcPr>
          <w:p>
            <w:pPr>
              <w:pStyle w:val="12"/>
            </w:pPr>
            <w:r>
              <w:t>90%</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2023年，秦皇岛市海港区人民政府文化路街道办事处本级安排政府采购预算170.59万元。具体内容见下表。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530001秦皇岛市海港区人民政府文化路街道办事处本级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170.59</w:t>
            </w:r>
          </w:p>
        </w:tc>
        <w:tc>
          <w:tcPr>
            <w:tcW w:w="964" w:type="dxa"/>
            <w:vAlign w:val="center"/>
          </w:tcPr>
          <w:p>
            <w:pPr>
              <w:pStyle w:val="15"/>
            </w:pPr>
            <w:r>
              <w:t>170.59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秦皇岛市海港区人民政府文化路街道办事处本级小计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170.59</w:t>
            </w:r>
          </w:p>
        </w:tc>
        <w:tc>
          <w:tcPr>
            <w:tcW w:w="964" w:type="dxa"/>
            <w:vAlign w:val="center"/>
          </w:tcPr>
          <w:p>
            <w:pPr>
              <w:pStyle w:val="15"/>
            </w:pPr>
            <w:r>
              <w:t>170.59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0.60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0.20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文件(图文)传真机</w:t>
            </w:r>
          </w:p>
        </w:tc>
        <w:tc>
          <w:tcPr>
            <w:tcW w:w="1134" w:type="dxa"/>
            <w:vAlign w:val="center"/>
          </w:tcPr>
          <w:p>
            <w:pPr>
              <w:pStyle w:val="12"/>
            </w:pPr>
            <w:r>
              <w:t>A02081001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0.04</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61.29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0.30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6.75</w:t>
            </w:r>
          </w:p>
        </w:tc>
        <w:tc>
          <w:tcPr>
            <w:tcW w:w="964" w:type="dxa"/>
            <w:vAlign w:val="center"/>
          </w:tcPr>
          <w:p>
            <w:pPr>
              <w:pStyle w:val="11"/>
            </w:pPr>
            <w:r>
              <w:t>6.75</w:t>
            </w:r>
          </w:p>
        </w:tc>
        <w:tc>
          <w:tcPr>
            <w:tcW w:w="964" w:type="dxa"/>
            <w:vAlign w:val="center"/>
          </w:tcPr>
          <w:p>
            <w:pPr>
              <w:pStyle w:val="11"/>
            </w:pPr>
            <w:r>
              <w:t>6.75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办事处专项经费</w:t>
            </w:r>
          </w:p>
        </w:tc>
        <w:tc>
          <w:tcPr>
            <w:tcW w:w="964" w:type="dxa"/>
            <w:vAlign w:val="center"/>
          </w:tcPr>
          <w:p>
            <w:pPr>
              <w:pStyle w:val="11"/>
            </w:pPr>
            <w:r>
              <w:t>26.00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基层武装工作经费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人大代表之家经费</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198.00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120.00</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70.00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社区工作经费</w:t>
            </w:r>
          </w:p>
        </w:tc>
        <w:tc>
          <w:tcPr>
            <w:tcW w:w="964" w:type="dxa"/>
            <w:vAlign w:val="center"/>
          </w:tcPr>
          <w:p>
            <w:pPr>
              <w:pStyle w:val="11"/>
            </w:pPr>
            <w:r>
              <w:t>70.00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秦皇岛市海港区人民政府文化路街道办事处本级上年末固定资产金额为</w:t>
      </w:r>
      <w:r>
        <w:rPr>
          <w:rFonts w:hint="eastAsia" w:eastAsia="方正仿宋_GBK"/>
          <w:color w:val="000000"/>
          <w:sz w:val="28"/>
          <w:lang w:eastAsia="zh-CN"/>
        </w:rPr>
        <w:t>6006.92227</w:t>
      </w:r>
      <w:r>
        <w:rPr>
          <w:rFonts w:eastAsia="方正仿宋_GBK"/>
          <w:color w:val="000000"/>
          <w:sz w:val="28"/>
        </w:rPr>
        <w:t>万元（详见下表）。本年度拟购置固定资产总额为</w:t>
      </w:r>
      <w:r>
        <w:rPr>
          <w:rFonts w:hint="eastAsia" w:eastAsia="方正仿宋_GBK"/>
          <w:color w:val="000000"/>
          <w:sz w:val="28"/>
          <w:lang w:eastAsia="zh-CN"/>
        </w:rPr>
        <w:t>10</w:t>
      </w:r>
      <w:r>
        <w:rPr>
          <w:rFonts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pPr>
              <w:pStyle w:val="9"/>
              <w:jc w:val="both"/>
            </w:pPr>
            <w:r>
              <w:t>530001秦皇岛市海港区人民政府文化路街道办事处本级</w:t>
            </w:r>
          </w:p>
        </w:tc>
        <w:tc>
          <w:tcPr>
            <w:tcW w:w="5670" w:type="dxa"/>
            <w:tcBorders>
              <w:top w:val="single" w:color="FFFFFF" w:sz="6" w:space="0"/>
              <w:left w:val="single" w:color="FFFFFF" w:sz="6" w:space="0"/>
              <w:right w:val="single" w:color="FFFFFF" w:sz="6" w:space="0"/>
            </w:tcBorders>
            <w:vAlign w:val="center"/>
          </w:tcPr>
          <w:p>
            <w:pPr>
              <w:pStyle w:val="7"/>
            </w:pPr>
            <w:r>
              <w:t>截止时间：202</w:t>
            </w:r>
            <w:r>
              <w:rPr>
                <w:rFonts w:hint="eastAsia"/>
                <w:lang w:eastAsia="zh-CN"/>
              </w:rPr>
              <w:t>2</w:t>
            </w:r>
            <w:r>
              <w:t>-12-31</w:t>
            </w:r>
          </w:p>
        </w:tc>
      </w:tr>
    </w:tbl>
    <w:tbl>
      <w:tblPr>
        <w:tblStyle w:val="35"/>
        <w:tblW w:w="13483" w:type="dxa"/>
        <w:tblInd w:w="-14" w:type="dxa"/>
        <w:tblLayout w:type="fixed"/>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价值（金额单位：万元）</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6006.92227</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1881</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91.793661</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1881</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91.793661</w:t>
            </w:r>
          </w:p>
        </w:tc>
      </w:tr>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23.3194</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rPr>
            </w:pPr>
            <w:r>
              <w:rPr>
                <w:rFonts w:hint="eastAsia" w:ascii="Times New Roman" w:hAnsi="Times New Roman" w:eastAsia="方正仿宋_GBK" w:cs="Times New Roman"/>
                <w:sz w:val="28"/>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eastAsiaTheme="minorEastAsia"/>
                <w:sz w:val="28"/>
                <w:lang w:eastAsia="zh-CN"/>
              </w:rPr>
            </w:pPr>
            <w:r>
              <w:rPr>
                <w:rFonts w:hint="eastAsia" w:ascii="Times New Roman" w:hAnsi="Times New Roman" w:cs="Times New Roman" w:eastAsiaTheme="minorEastAsia"/>
                <w:sz w:val="28"/>
                <w:lang w:eastAsia="zh-CN"/>
              </w:rPr>
              <w:t>1544</w:t>
            </w:r>
          </w:p>
        </w:tc>
        <w:tc>
          <w:tcPr>
            <w:tcW w:w="51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5891.809209</w:t>
            </w:r>
          </w:p>
        </w:tc>
      </w:tr>
    </w:tbl>
    <w:p>
      <w:pPr>
        <w:jc w:val="center"/>
        <w:rPr>
          <w:rFonts w:hint="eastAsia"/>
          <w:lang w:eastAsia="zh-CN"/>
        </w:rPr>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区级</w:t>
      </w:r>
      <w:r>
        <w:rPr>
          <w:rFonts w:eastAsia="方正仿宋_GBK"/>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M5NDBmM2RjZDUwOWE2ODNjNDU1ZjQ0ZDViMzI4ZGEifQ=="/>
  </w:docVars>
  <w:rsids>
    <w:rsidRoot w:val="001B0699"/>
    <w:rsid w:val="00042DD3"/>
    <w:rsid w:val="000A45AC"/>
    <w:rsid w:val="001B0699"/>
    <w:rsid w:val="00290CF4"/>
    <w:rsid w:val="00347946"/>
    <w:rsid w:val="003A7C44"/>
    <w:rsid w:val="003C5C88"/>
    <w:rsid w:val="0049444E"/>
    <w:rsid w:val="00586313"/>
    <w:rsid w:val="00646E9F"/>
    <w:rsid w:val="00745656"/>
    <w:rsid w:val="00892790"/>
    <w:rsid w:val="009A3472"/>
    <w:rsid w:val="009A4EEE"/>
    <w:rsid w:val="009E3817"/>
    <w:rsid w:val="00A26165"/>
    <w:rsid w:val="00AD315A"/>
    <w:rsid w:val="00AD3F61"/>
    <w:rsid w:val="00B06E37"/>
    <w:rsid w:val="00B640FF"/>
    <w:rsid w:val="00C226F1"/>
    <w:rsid w:val="00DE0F78"/>
    <w:rsid w:val="00E243F1"/>
    <w:rsid w:val="00E55A02"/>
    <w:rsid w:val="00EB0DD5"/>
    <w:rsid w:val="00EB3505"/>
    <w:rsid w:val="00F37B5B"/>
    <w:rsid w:val="13672CD5"/>
    <w:rsid w:val="19BF4901"/>
    <w:rsid w:val="521C2CFC"/>
    <w:rsid w:val="5BFE0D83"/>
    <w:rsid w:val="5DF6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table" w:customStyle="1" w:styleId="35">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2023-03-29T09:47:19Z</dcterms:created>
  <dcterms:modified xsi:type="dcterms:W3CDTF">2023-03-29T01:47:19Z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2023-03-29T09:47:21Z</dcterms:created>
  <dcterms:modified xsi:type="dcterms:W3CDTF">2023-03-29T01:47:21Z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2023-03-29T09:47:25Z</dcterms:created>
  <dcterms:modified xsi:type="dcterms:W3CDTF">2023-03-29T01:47:24Z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2023-03-29T09:47:21Z</dcterms:created>
  <dcterms:modified xsi:type="dcterms:W3CDTF">2023-03-29T01:47:21Z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2023-03-29T09:47:20Z</dcterms:created>
  <dcterms:modified xsi:type="dcterms:W3CDTF">2023-03-29T01:47:20Z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2023-03-29T09:47:26Z</dcterms:created>
  <dcterms:modified xsi:type="dcterms:W3CDTF">2023-03-29T01:47:26Z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2023-03-29T09:47:21Z</dcterms:created>
  <dcterms:modified xsi:type="dcterms:W3CDTF">2023-03-29T01:47:21Z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2023-03-29T09:47:25Z</dcterms:created>
  <dcterms:modified xsi:type="dcterms:W3CDTF">2023-03-29T01:47:25Z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B494D49-6427-4E7F-B380-C15B2588248F}">
  <ds:schemaRefs/>
</ds:datastoreItem>
</file>

<file path=customXml/itemProps11.xml><?xml version="1.0" encoding="utf-8"?>
<ds:datastoreItem xmlns:ds="http://schemas.openxmlformats.org/officeDocument/2006/customXml" ds:itemID="{37F8A933-5D65-4DEE-AA3A-C6FE108E0C6E}">
  <ds:schemaRefs/>
</ds:datastoreItem>
</file>

<file path=customXml/itemProps12.xml><?xml version="1.0" encoding="utf-8"?>
<ds:datastoreItem xmlns:ds="http://schemas.openxmlformats.org/officeDocument/2006/customXml" ds:itemID="{F9C27836-C966-4811-8E29-1446AECCAF18}">
  <ds:schemaRefs/>
</ds:datastoreItem>
</file>

<file path=customXml/itemProps13.xml><?xml version="1.0" encoding="utf-8"?>
<ds:datastoreItem xmlns:ds="http://schemas.openxmlformats.org/officeDocument/2006/customXml" ds:itemID="{308DFFBD-43BA-4B3F-BA28-39196040200D}">
  <ds:schemaRefs/>
</ds:datastoreItem>
</file>

<file path=customXml/itemProps14.xml><?xml version="1.0" encoding="utf-8"?>
<ds:datastoreItem xmlns:ds="http://schemas.openxmlformats.org/officeDocument/2006/customXml" ds:itemID="{5B08B87C-41C6-4EFD-840C-46DC6A34955E}">
  <ds:schemaRefs/>
</ds:datastoreItem>
</file>

<file path=customXml/itemProps15.xml><?xml version="1.0" encoding="utf-8"?>
<ds:datastoreItem xmlns:ds="http://schemas.openxmlformats.org/officeDocument/2006/customXml" ds:itemID="{0F509F62-7F86-45BD-8891-1A11D9792E6D}">
  <ds:schemaRefs/>
</ds:datastoreItem>
</file>

<file path=customXml/itemProps16.xml><?xml version="1.0" encoding="utf-8"?>
<ds:datastoreItem xmlns:ds="http://schemas.openxmlformats.org/officeDocument/2006/customXml" ds:itemID="{FE477AFD-23B1-4D3A-9746-03408EA1BB05}">
  <ds:schemaRefs/>
</ds:datastoreItem>
</file>

<file path=customXml/itemProps17.xml><?xml version="1.0" encoding="utf-8"?>
<ds:datastoreItem xmlns:ds="http://schemas.openxmlformats.org/officeDocument/2006/customXml" ds:itemID="{AF22A27B-A91F-4EC6-8857-CB7061F066FA}">
  <ds:schemaRefs/>
</ds:datastoreItem>
</file>

<file path=customXml/itemProps18.xml><?xml version="1.0" encoding="utf-8"?>
<ds:datastoreItem xmlns:ds="http://schemas.openxmlformats.org/officeDocument/2006/customXml" ds:itemID="{0BE9EBDF-9CED-4D48-90F2-43305EEF18BB}">
  <ds:schemaRefs/>
</ds:datastoreItem>
</file>

<file path=customXml/itemProps19.xml><?xml version="1.0" encoding="utf-8"?>
<ds:datastoreItem xmlns:ds="http://schemas.openxmlformats.org/officeDocument/2006/customXml" ds:itemID="{F5DE70AC-08A2-4060-B5D7-8AB52030B6B6}">
  <ds:schemaRefs/>
</ds:datastoreItem>
</file>

<file path=customXml/itemProps2.xml><?xml version="1.0" encoding="utf-8"?>
<ds:datastoreItem xmlns:ds="http://schemas.openxmlformats.org/officeDocument/2006/customXml" ds:itemID="{EA858F6B-C4ED-483E-9398-2B44E4C00649}">
  <ds:schemaRefs/>
</ds:datastoreItem>
</file>

<file path=customXml/itemProps20.xml><?xml version="1.0" encoding="utf-8"?>
<ds:datastoreItem xmlns:ds="http://schemas.openxmlformats.org/officeDocument/2006/customXml" ds:itemID="{CCAD7C45-0ABC-4065-B13B-B4146EEF5AB5}">
  <ds:schemaRefs/>
</ds:datastoreItem>
</file>

<file path=customXml/itemProps21.xml><?xml version="1.0" encoding="utf-8"?>
<ds:datastoreItem xmlns:ds="http://schemas.openxmlformats.org/officeDocument/2006/customXml" ds:itemID="{D2DEDC4A-7BD4-48DB-B230-C226F978F77D}">
  <ds:schemaRefs/>
</ds:datastoreItem>
</file>

<file path=customXml/itemProps22.xml><?xml version="1.0" encoding="utf-8"?>
<ds:datastoreItem xmlns:ds="http://schemas.openxmlformats.org/officeDocument/2006/customXml" ds:itemID="{F5E61FDD-1FDA-4E57-9F0A-75F0D6B46F6F}">
  <ds:schemaRefs/>
</ds:datastoreItem>
</file>

<file path=customXml/itemProps23.xml><?xml version="1.0" encoding="utf-8"?>
<ds:datastoreItem xmlns:ds="http://schemas.openxmlformats.org/officeDocument/2006/customXml" ds:itemID="{6DA8AFFF-980A-4A07-853C-5527366091CE}">
  <ds:schemaRefs/>
</ds:datastoreItem>
</file>

<file path=customXml/itemProps24.xml><?xml version="1.0" encoding="utf-8"?>
<ds:datastoreItem xmlns:ds="http://schemas.openxmlformats.org/officeDocument/2006/customXml" ds:itemID="{5F96915A-BE36-4A9C-A920-F9273A62645C}">
  <ds:schemaRefs/>
</ds:datastoreItem>
</file>

<file path=customXml/itemProps25.xml><?xml version="1.0" encoding="utf-8"?>
<ds:datastoreItem xmlns:ds="http://schemas.openxmlformats.org/officeDocument/2006/customXml" ds:itemID="{DB65F3EA-725A-4F3B-A592-601E2278E236}">
  <ds:schemaRefs/>
</ds:datastoreItem>
</file>

<file path=customXml/itemProps26.xml><?xml version="1.0" encoding="utf-8"?>
<ds:datastoreItem xmlns:ds="http://schemas.openxmlformats.org/officeDocument/2006/customXml" ds:itemID="{87533FA7-9494-4AD2-96CE-47B649C61934}">
  <ds:schemaRefs/>
</ds:datastoreItem>
</file>

<file path=customXml/itemProps27.xml><?xml version="1.0" encoding="utf-8"?>
<ds:datastoreItem xmlns:ds="http://schemas.openxmlformats.org/officeDocument/2006/customXml" ds:itemID="{268ED06C-71AD-44AF-8488-16F391DB22B7}">
  <ds:schemaRefs/>
</ds:datastoreItem>
</file>

<file path=customXml/itemProps28.xml><?xml version="1.0" encoding="utf-8"?>
<ds:datastoreItem xmlns:ds="http://schemas.openxmlformats.org/officeDocument/2006/customXml" ds:itemID="{E4C2800D-6A5E-4005-9240-6F4775D9A865}">
  <ds:schemaRefs/>
</ds:datastoreItem>
</file>

<file path=customXml/itemProps29.xml><?xml version="1.0" encoding="utf-8"?>
<ds:datastoreItem xmlns:ds="http://schemas.openxmlformats.org/officeDocument/2006/customXml" ds:itemID="{30787533-F390-43B1-AA27-5DAF36EC2DF2}">
  <ds:schemaRefs/>
</ds:datastoreItem>
</file>

<file path=customXml/itemProps3.xml><?xml version="1.0" encoding="utf-8"?>
<ds:datastoreItem xmlns:ds="http://schemas.openxmlformats.org/officeDocument/2006/customXml" ds:itemID="{E57EF87B-0F49-49E3-9E2A-B67CC50B517E}">
  <ds:schemaRefs/>
</ds:datastoreItem>
</file>

<file path=customXml/itemProps30.xml><?xml version="1.0" encoding="utf-8"?>
<ds:datastoreItem xmlns:ds="http://schemas.openxmlformats.org/officeDocument/2006/customXml" ds:itemID="{B624D891-8355-4065-8A33-1E88E9980CB2}">
  <ds:schemaRefs/>
</ds:datastoreItem>
</file>

<file path=customXml/itemProps31.xml><?xml version="1.0" encoding="utf-8"?>
<ds:datastoreItem xmlns:ds="http://schemas.openxmlformats.org/officeDocument/2006/customXml" ds:itemID="{41DAEAC5-F5AA-4881-8494-CBFDD790C88E}">
  <ds:schemaRefs/>
</ds:datastoreItem>
</file>

<file path=customXml/itemProps32.xml><?xml version="1.0" encoding="utf-8"?>
<ds:datastoreItem xmlns:ds="http://schemas.openxmlformats.org/officeDocument/2006/customXml" ds:itemID="{DB507141-0243-4F08-AE9B-86899926560E}">
  <ds:schemaRefs/>
</ds:datastoreItem>
</file>

<file path=customXml/itemProps33.xml><?xml version="1.0" encoding="utf-8"?>
<ds:datastoreItem xmlns:ds="http://schemas.openxmlformats.org/officeDocument/2006/customXml" ds:itemID="{6462D036-0CD1-4044-94FE-90A1B9F3713E}">
  <ds:schemaRefs/>
</ds:datastoreItem>
</file>

<file path=customXml/itemProps34.xml><?xml version="1.0" encoding="utf-8"?>
<ds:datastoreItem xmlns:ds="http://schemas.openxmlformats.org/officeDocument/2006/customXml" ds:itemID="{C5295B71-FD94-46DA-99FB-6DF93917237C}">
  <ds:schemaRefs/>
</ds:datastoreItem>
</file>

<file path=customXml/itemProps35.xml><?xml version="1.0" encoding="utf-8"?>
<ds:datastoreItem xmlns:ds="http://schemas.openxmlformats.org/officeDocument/2006/customXml" ds:itemID="{480768D3-6612-4EF6-8883-9B78A4CE23FB}">
  <ds:schemaRefs/>
</ds:datastoreItem>
</file>

<file path=customXml/itemProps4.xml><?xml version="1.0" encoding="utf-8"?>
<ds:datastoreItem xmlns:ds="http://schemas.openxmlformats.org/officeDocument/2006/customXml" ds:itemID="{B17F6112-D9ED-47C8-8467-820691EE1390}">
  <ds:schemaRefs/>
</ds:datastoreItem>
</file>

<file path=customXml/itemProps5.xml><?xml version="1.0" encoding="utf-8"?>
<ds:datastoreItem xmlns:ds="http://schemas.openxmlformats.org/officeDocument/2006/customXml" ds:itemID="{D01D7ACC-49FB-4551-AD37-AEE0778DCA3E}">
  <ds:schemaRefs/>
</ds:datastoreItem>
</file>

<file path=customXml/itemProps6.xml><?xml version="1.0" encoding="utf-8"?>
<ds:datastoreItem xmlns:ds="http://schemas.openxmlformats.org/officeDocument/2006/customXml" ds:itemID="{A64A7ACA-6979-48AB-B2E6-DB20B48F8F27}">
  <ds:schemaRefs/>
</ds:datastoreItem>
</file>

<file path=customXml/itemProps7.xml><?xml version="1.0" encoding="utf-8"?>
<ds:datastoreItem xmlns:ds="http://schemas.openxmlformats.org/officeDocument/2006/customXml" ds:itemID="{7D59562E-CEDA-4469-AC62-9647E2F0D516}">
  <ds:schemaRefs/>
</ds:datastoreItem>
</file>

<file path=customXml/itemProps8.xml><?xml version="1.0" encoding="utf-8"?>
<ds:datastoreItem xmlns:ds="http://schemas.openxmlformats.org/officeDocument/2006/customXml" ds:itemID="{9C735270-96D9-46B8-B309-77CC241C30A1}">
  <ds:schemaRefs/>
</ds:datastoreItem>
</file>

<file path=customXml/itemProps9.xml><?xml version="1.0" encoding="utf-8"?>
<ds:datastoreItem xmlns:ds="http://schemas.openxmlformats.org/officeDocument/2006/customXml" ds:itemID="{FB81DC61-EEB0-4CE6-9BEF-829EE7E204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21413</Words>
  <Characters>27004</Characters>
  <Lines>245</Lines>
  <Paragraphs>69</Paragraphs>
  <TotalTime>92</TotalTime>
  <ScaleCrop>false</ScaleCrop>
  <LinksUpToDate>false</LinksUpToDate>
  <CharactersWithSpaces>27303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2023-03-29T06:29:00Z</dcterms:created>
  <dc:creator>HP</dc:creator>
  <cp:lastModifiedBy>Administrator</cp:lastModifiedBy>
  <dcterms:modified xsi:type="dcterms:W3CDTF">2023-11-03T08:04:55Z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935D5BB45DEE4B78957E2B8CC162C588</vt:lpwstr>
  </property>
</Properties>
</file>