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hint="eastAsia" w:ascii="黑体" w:hAnsi="黑体" w:eastAsia="黑体"/>
          <w:b/>
          <w:sz w:val="84"/>
          <w:szCs w:val="84"/>
        </w:rPr>
      </w:pPr>
      <w:bookmarkStart w:id="23" w:name="_GoBack"/>
      <w:bookmarkEnd w:id="23"/>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海港区人民政府北环路街道办事处</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北环路街道办事处</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北环路街道办事处</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北环路街道办事处</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7"/>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北环路街道办事处部门概况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ind w:firstLine="1273" w:firstLineChars="398"/>
        <w:rPr>
          <w:rFonts w:ascii="仿宋_GB2312" w:hAnsi="黑体"/>
          <w:szCs w:val="32"/>
        </w:rPr>
      </w:pPr>
      <w:bookmarkStart w:id="8" w:name="OLE_LINK14"/>
      <w:r>
        <w:rPr>
          <w:rFonts w:hint="eastAsia" w:ascii="仿宋_GB2312" w:hAnsi="黑体"/>
          <w:szCs w:val="32"/>
        </w:rPr>
        <w:t>一、部门职责</w:t>
      </w:r>
    </w:p>
    <w:p>
      <w:pPr>
        <w:ind w:firstLine="640"/>
        <w:rPr>
          <w:rFonts w:ascii="仿宋_GB2312" w:hAnsi="方正仿宋_GBK" w:cs="方正仿宋_GBK"/>
          <w:szCs w:val="32"/>
        </w:rPr>
      </w:pPr>
      <w:r>
        <w:rPr>
          <w:rFonts w:hint="eastAsia" w:ascii="仿宋_GB2312" w:hAnsi="方正仿宋_GBK" w:cs="方正仿宋_GBK"/>
          <w:szCs w:val="32"/>
        </w:rPr>
        <w:t>1、党工委办公室：负责机关党务的管理工作，做好上级党委文件的手法管理、上报材料的撰写呈送工作。宣传贯彻党的路线、方针、政策和国家的法律法规。做好社区党建工作，建立健全基层党组织，加强对基层党员的管理，加强社区党组织的领导班子建设。对辖区内无上级主管部门的经济组织、社会中介建立党组织和党建工作进行指导。做好思想理论教育工作，加强辖区内精神文明建设工作。抓好辖区内统一战线工作。做好办事处工会、共青团、妇联等组织工作，并支持和保证这些组织依照法律和各自的章程充分行使职权，协调好各方面关系。做好办事处党政领导班子及班子成员廉洁自律工作，建立和完善各项制度建设，做好纪检监察工作，建立健全廉政档案，加强党风廉政建设和反腐败教育工作。</w:t>
      </w:r>
    </w:p>
    <w:p>
      <w:pPr>
        <w:ind w:firstLine="640"/>
        <w:rPr>
          <w:rFonts w:ascii="仿宋_GB2312" w:hAnsi="方正仿宋_GBK" w:cs="方正仿宋_GBK"/>
          <w:szCs w:val="32"/>
        </w:rPr>
      </w:pPr>
      <w:r>
        <w:rPr>
          <w:rFonts w:hint="eastAsia" w:ascii="仿宋_GB2312" w:hAnsi="方正仿宋_GBK" w:cs="方正仿宋_GBK"/>
          <w:szCs w:val="32"/>
        </w:rPr>
        <w:t>2、行政办公室：负责行政事务的管理工作，做好文件的收发、文字材料撰写及综合协调、负责档案、行政会计、出纳工作、做好机关后勤、车辆管理等工作。</w:t>
      </w:r>
    </w:p>
    <w:p>
      <w:pPr>
        <w:ind w:firstLine="640"/>
        <w:rPr>
          <w:rFonts w:ascii="仿宋_GB2312" w:hAnsi="方正仿宋_GBK" w:cs="方正仿宋_GBK"/>
          <w:szCs w:val="32"/>
        </w:rPr>
      </w:pPr>
      <w:r>
        <w:rPr>
          <w:rFonts w:hint="eastAsia" w:ascii="仿宋_GB2312" w:hAnsi="方正仿宋_GBK" w:cs="方正仿宋_GBK"/>
          <w:szCs w:val="32"/>
        </w:rPr>
        <w:t>3、综合治理办公室：负责辖区国防教育、兵役登记和征兵等工作；做好信访维稳工作，把法律、法规、政策的情况以及群众意见和要求及时向政府和上级部门报告</w:t>
      </w:r>
    </w:p>
    <w:p>
      <w:pPr>
        <w:ind w:firstLine="640"/>
        <w:rPr>
          <w:rFonts w:ascii="仿宋_GB2312" w:hAnsi="方正仿宋_GBK" w:cs="方正仿宋_GBK"/>
          <w:szCs w:val="32"/>
        </w:rPr>
      </w:pPr>
      <w:r>
        <w:rPr>
          <w:rFonts w:hint="eastAsia" w:ascii="仿宋_GB2312" w:hAnsi="方正仿宋_GBK" w:cs="方正仿宋_GBK"/>
          <w:szCs w:val="32"/>
        </w:rPr>
        <w:t>4、劳动保障事务所：负责辖区优抚社救、助残、低保工作；抓好企业的生产和经营，完成经济指标、项目的建设，开发和利用；抓好科技工作，组织开展经常性科普宣传教育活动；抓好社会保障、再就业及房屋租赁管理工作。</w:t>
      </w:r>
    </w:p>
    <w:p>
      <w:pPr>
        <w:ind w:firstLine="640"/>
        <w:rPr>
          <w:rFonts w:ascii="仿宋_GB2312" w:hAnsi="方正仿宋_GBK" w:cs="方正仿宋_GBK"/>
          <w:szCs w:val="32"/>
        </w:rPr>
      </w:pPr>
      <w:r>
        <w:rPr>
          <w:rFonts w:hint="eastAsia" w:ascii="仿宋_GB2312" w:hAnsi="方正仿宋_GBK" w:cs="方正仿宋_GBK"/>
          <w:szCs w:val="32"/>
        </w:rPr>
        <w:t>5、城管办公室：负责辖区环境卫生，绿化美化工作，创建花园小区；负责防病治病、除“四害”工作。</w:t>
      </w:r>
    </w:p>
    <w:p>
      <w:pPr>
        <w:ind w:firstLine="640"/>
        <w:rPr>
          <w:rFonts w:ascii="仿宋_GB2312" w:hAnsi="方正仿宋_GBK" w:cs="方正仿宋_GBK"/>
          <w:szCs w:val="32"/>
        </w:rPr>
      </w:pPr>
      <w:r>
        <w:rPr>
          <w:rFonts w:hint="eastAsia" w:ascii="仿宋_GB2312" w:hAnsi="方正仿宋_GBK" w:cs="方正仿宋_GBK"/>
          <w:szCs w:val="32"/>
        </w:rPr>
        <w:t>6、计划生育办公室：负责辖区人口生育规划，办理生育证明，人口统计及政务公开等工作。做好辖区计生统计报表、管理协会、流动人口管理工作。</w:t>
      </w:r>
    </w:p>
    <w:p>
      <w:pPr>
        <w:ind w:firstLine="640"/>
        <w:rPr>
          <w:rFonts w:ascii="仿宋_GB2312" w:hAnsi="黑体"/>
          <w:szCs w:val="32"/>
        </w:rPr>
      </w:pPr>
      <w:r>
        <w:rPr>
          <w:rFonts w:hint="eastAsia" w:ascii="仿宋_GB2312" w:hAnsi="方正仿宋_GBK" w:cs="方正仿宋_GBK"/>
          <w:szCs w:val="32"/>
        </w:rPr>
        <w:t>7、</w:t>
      </w:r>
      <w:r>
        <w:rPr>
          <w:rFonts w:hint="eastAsia" w:ascii="仿宋_GB2312" w:hAnsi="方正仿宋_GBK" w:cs="方正仿宋_GBK"/>
          <w:szCs w:val="32"/>
          <w:lang w:eastAsia="zh-CN"/>
        </w:rPr>
        <w:t>人大常委会办公室/人民代表办公室/&lt;表述不规范&gt;</w:t>
      </w:r>
      <w:r>
        <w:rPr>
          <w:rFonts w:hint="eastAsia" w:ascii="仿宋_GB2312" w:hAnsi="方正仿宋_GBK" w:cs="方正仿宋_GBK"/>
          <w:szCs w:val="32"/>
        </w:rPr>
        <w:t>：负责做好区人民代表大会的服务工作，联系本辖区省、市、区人民代表。制定工作计划，组织各种活动，放映意见报告活动情况，完成人大常委会交办的其他工作事项。</w:t>
      </w:r>
    </w:p>
    <w:p>
      <w:pPr>
        <w:ind w:firstLine="1273" w:firstLineChars="398"/>
        <w:rPr>
          <w:rFonts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ind w:firstLine="0" w:firstLineChars="0"/>
              <w:rPr>
                <w:rFonts w:ascii="仿宋_GB2312" w:hAnsi="黑体"/>
                <w:sz w:val="28"/>
                <w:szCs w:val="28"/>
              </w:rPr>
            </w:pPr>
            <w:r>
              <w:rPr>
                <w:rFonts w:hint="eastAsia" w:ascii="仿宋_GB2312" w:hAnsi="黑体"/>
                <w:sz w:val="28"/>
                <w:szCs w:val="28"/>
              </w:rPr>
              <w:t>秦皇岛市海港区人民政府北环路街道办事处</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行政单位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北环路街道办事处201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北环路街道办事处201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0"/>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2017年度决算收入合计1189.67万元，决算支出合计1235万元，</w:t>
      </w:r>
      <w:bookmarkStart w:id="13" w:name="OLE_LINK37"/>
      <w:r>
        <w:rPr>
          <w:rFonts w:hint="eastAsia" w:ascii="仿宋_GB2312"/>
          <w:szCs w:val="32"/>
        </w:rPr>
        <w:t>年初结转和结余79.86万元，年末结转和结余34.53万元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年度收入与年初预算对比增加325.94万元，原因是：职工工资上调和保险比例上调；与2</w:t>
      </w:r>
      <w:r>
        <w:rPr>
          <w:rFonts w:ascii="仿宋_GB2312"/>
          <w:szCs w:val="32"/>
        </w:rPr>
        <w:t>016</w:t>
      </w:r>
      <w:r>
        <w:rPr>
          <w:rFonts w:hint="eastAsia" w:ascii="仿宋_GB2312"/>
          <w:szCs w:val="32"/>
        </w:rPr>
        <w:t>年度收入相比，增加42.88万元，原因是：</w:t>
      </w:r>
      <w:bookmarkStart w:id="14" w:name="OLE_LINK5"/>
      <w:r>
        <w:rPr>
          <w:rFonts w:hint="eastAsia" w:ascii="仿宋_GB2312"/>
          <w:szCs w:val="32"/>
        </w:rPr>
        <w:t>职工工资上调和保险比例上调</w:t>
      </w:r>
      <w:bookmarkEnd w:id="14"/>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年度支出与年初预算对比增加371.27万元，原因是：职工工资上调和保险比例上调；与2</w:t>
      </w:r>
      <w:r>
        <w:rPr>
          <w:rFonts w:ascii="仿宋_GB2312"/>
          <w:szCs w:val="32"/>
        </w:rPr>
        <w:t>016</w:t>
      </w:r>
      <w:r>
        <w:rPr>
          <w:rFonts w:hint="eastAsia" w:ascii="仿宋_GB2312"/>
          <w:szCs w:val="32"/>
        </w:rPr>
        <w:t>年度支出相比，增加149.05万元，原因是：职工工资上调和保险比例上调。</w:t>
      </w:r>
    </w:p>
    <w:bookmarkEnd w:id="10"/>
    <w:bookmarkEnd w:id="11"/>
    <w:bookmarkEnd w:id="12"/>
    <w:p>
      <w:pPr>
        <w:ind w:firstLine="640"/>
        <w:rPr>
          <w:rFonts w:ascii="楷体" w:hAnsi="楷体" w:eastAsia="楷体"/>
          <w:b/>
          <w:szCs w:val="32"/>
        </w:rPr>
      </w:pPr>
      <w:bookmarkStart w:id="15" w:name="OLE_LINK3"/>
      <w:bookmarkStart w:id="16"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1189.67万元，其中：财政拨款收入1189.67万元，占总收入100</w:t>
      </w:r>
      <w:r>
        <w:rPr>
          <w:rFonts w:ascii="仿宋" w:hAnsi="仿宋" w:eastAsia="仿宋"/>
          <w:szCs w:val="32"/>
        </w:rPr>
        <w:t>%</w:t>
      </w:r>
      <w:r>
        <w:rPr>
          <w:rFonts w:hint="eastAsia" w:ascii="仿宋" w:hAnsi="仿宋" w:eastAsia="仿宋"/>
          <w:szCs w:val="32"/>
        </w:rPr>
        <w:t>；</w:t>
      </w:r>
      <w:bookmarkStart w:id="17" w:name="OLE_LINK33"/>
      <w:bookmarkStart w:id="18" w:name="OLE_LINK32"/>
      <w:r>
        <w:rPr>
          <w:rFonts w:hint="eastAsia" w:ascii="仿宋" w:hAnsi="仿宋" w:eastAsia="仿宋"/>
          <w:szCs w:val="32"/>
        </w:rPr>
        <w:t>事业收入0万元，占总收入0%</w:t>
      </w:r>
      <w:bookmarkEnd w:id="17"/>
      <w:bookmarkEnd w:id="18"/>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0"/>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年度支出合计1235万元，其中：</w:t>
      </w:r>
      <w:bookmarkStart w:id="19" w:name="OLE_LINK35"/>
      <w:r>
        <w:rPr>
          <w:rFonts w:hint="eastAsia" w:ascii="仿宋" w:hAnsi="仿宋" w:eastAsia="仿宋"/>
          <w:szCs w:val="32"/>
        </w:rPr>
        <w:t>基本支出 1149.21万元，占总支出 93%；</w:t>
      </w:r>
      <w:bookmarkEnd w:id="19"/>
      <w:r>
        <w:rPr>
          <w:rFonts w:hint="eastAsia" w:ascii="仿宋" w:hAnsi="仿宋" w:eastAsia="仿宋"/>
          <w:szCs w:val="32"/>
        </w:rPr>
        <w:t>项目支出 85.78万元，占总支出 7%。</w:t>
      </w:r>
    </w:p>
    <w:p>
      <w:pPr>
        <w:widowControl/>
        <w:spacing w:line="580" w:lineRule="exact"/>
        <w:ind w:firstLine="640"/>
        <w:rPr>
          <w:rFonts w:ascii="楷体" w:hAnsi="楷体" w:eastAsia="楷体"/>
          <w:b/>
          <w:szCs w:val="32"/>
        </w:rPr>
      </w:pPr>
      <w:r>
        <w:rPr>
          <w:rFonts w:hint="eastAsia" w:ascii="楷体" w:hAnsi="楷体" w:eastAsia="楷体"/>
          <w:b/>
          <w:szCs w:val="32"/>
        </w:rPr>
        <w:t>四、财政拨款</w:t>
      </w:r>
      <w:bookmarkEnd w:id="15"/>
      <w:bookmarkEnd w:id="16"/>
      <w:r>
        <w:rPr>
          <w:rFonts w:hint="eastAsia" w:ascii="楷体" w:hAnsi="楷体" w:eastAsia="楷体"/>
          <w:b/>
          <w:szCs w:val="32"/>
        </w:rPr>
        <w:t>收入支出决算总体情况说明</w:t>
      </w:r>
    </w:p>
    <w:p>
      <w:pPr>
        <w:ind w:firstLine="640"/>
        <w:rPr>
          <w:rFonts w:ascii="仿宋_GB2312"/>
          <w:szCs w:val="32"/>
        </w:rPr>
      </w:pPr>
      <w:bookmarkStart w:id="20" w:name="OLE_LINK29"/>
      <w:r>
        <w:rPr>
          <w:rFonts w:hint="eastAsia" w:ascii="仿宋_GB2312"/>
          <w:szCs w:val="32"/>
        </w:rPr>
        <w:t>2017年度财政拨款收入决算合计</w:t>
      </w:r>
      <w:r>
        <w:rPr>
          <w:rFonts w:hint="eastAsia" w:ascii="仿宋" w:hAnsi="仿宋" w:eastAsia="仿宋"/>
          <w:szCs w:val="32"/>
        </w:rPr>
        <w:t>1189.67</w:t>
      </w:r>
      <w:r>
        <w:rPr>
          <w:rFonts w:hint="eastAsia" w:ascii="仿宋_GB2312"/>
          <w:szCs w:val="32"/>
        </w:rPr>
        <w:t>万元，财政拨款支出决算合计</w:t>
      </w:r>
      <w:r>
        <w:rPr>
          <w:rFonts w:hint="eastAsia" w:ascii="仿宋" w:hAnsi="仿宋" w:eastAsia="仿宋"/>
          <w:szCs w:val="32"/>
        </w:rPr>
        <w:t>1235</w:t>
      </w:r>
      <w:r>
        <w:rPr>
          <w:rFonts w:hint="eastAsia" w:ascii="仿宋_GB2312"/>
          <w:szCs w:val="32"/>
        </w:rPr>
        <w:t>万元，年初结转和结余79.86万元，年末结转和结余34.53万元。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年度财政拨款收入与年初预算对比增加325.94万元，原因是：职工工资上调和保险比例上调；与2</w:t>
      </w:r>
      <w:r>
        <w:rPr>
          <w:rFonts w:ascii="仿宋_GB2312"/>
          <w:szCs w:val="32"/>
        </w:rPr>
        <w:t>016</w:t>
      </w:r>
      <w:r>
        <w:rPr>
          <w:rFonts w:hint="eastAsia" w:ascii="仿宋_GB2312"/>
          <w:szCs w:val="32"/>
        </w:rPr>
        <w:t>年度相比，增加42.88万元，原因是：职工工资上调和保险比例上调。</w:t>
      </w:r>
      <w:bookmarkEnd w:id="20"/>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年度财政拨款支出与年初预算对比增加371.27万元，原因是：职工工资上调和保险比例上调；与2</w:t>
      </w:r>
      <w:r>
        <w:rPr>
          <w:rFonts w:ascii="仿宋_GB2312"/>
          <w:szCs w:val="32"/>
        </w:rPr>
        <w:t>016</w:t>
      </w:r>
      <w:r>
        <w:rPr>
          <w:rFonts w:hint="eastAsia" w:ascii="仿宋_GB2312"/>
          <w:szCs w:val="32"/>
        </w:rPr>
        <w:t>年度支出相比，增加149.05万元，原因是：职工工资上调和保险比例上调。</w:t>
      </w:r>
    </w:p>
    <w:p>
      <w:pPr>
        <w:ind w:firstLine="64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1.91</w:t>
            </w:r>
          </w:p>
        </w:tc>
        <w:tc>
          <w:tcPr>
            <w:tcW w:w="1446" w:type="dxa"/>
          </w:tcPr>
          <w:p>
            <w:pPr>
              <w:ind w:firstLine="0" w:firstLineChars="0"/>
              <w:jc w:val="center"/>
              <w:rPr>
                <w:rFonts w:ascii="仿宋_GB2312"/>
                <w:sz w:val="24"/>
                <w:szCs w:val="24"/>
              </w:rPr>
            </w:pPr>
            <w:r>
              <w:rPr>
                <w:rFonts w:hint="eastAsia" w:ascii="仿宋_GB2312"/>
                <w:sz w:val="24"/>
                <w:szCs w:val="24"/>
              </w:rPr>
              <w:t>2.58</w:t>
            </w:r>
          </w:p>
        </w:tc>
        <w:tc>
          <w:tcPr>
            <w:tcW w:w="1446" w:type="dxa"/>
          </w:tcPr>
          <w:p>
            <w:pPr>
              <w:ind w:firstLine="0" w:firstLineChars="0"/>
              <w:jc w:val="center"/>
              <w:rPr>
                <w:rFonts w:ascii="仿宋_GB2312"/>
                <w:sz w:val="24"/>
                <w:szCs w:val="24"/>
              </w:rPr>
            </w:pPr>
            <w:r>
              <w:rPr>
                <w:rFonts w:hint="eastAsia" w:ascii="仿宋_GB2312"/>
                <w:sz w:val="24"/>
                <w:szCs w:val="24"/>
              </w:rPr>
              <w:t>1.97</w:t>
            </w:r>
          </w:p>
        </w:tc>
        <w:tc>
          <w:tcPr>
            <w:tcW w:w="1474" w:type="dxa"/>
          </w:tcPr>
          <w:p>
            <w:pPr>
              <w:ind w:firstLine="0" w:firstLineChars="0"/>
              <w:jc w:val="center"/>
              <w:rPr>
                <w:rFonts w:ascii="仿宋_GB2312"/>
                <w:sz w:val="24"/>
                <w:szCs w:val="24"/>
              </w:rPr>
            </w:pPr>
            <w:r>
              <w:rPr>
                <w:rFonts w:hint="eastAsia" w:ascii="仿宋_GB2312"/>
                <w:sz w:val="24"/>
                <w:szCs w:val="24"/>
              </w:rPr>
              <w:t>3.82</w:t>
            </w:r>
          </w:p>
        </w:tc>
        <w:tc>
          <w:tcPr>
            <w:tcW w:w="1417" w:type="dxa"/>
          </w:tcPr>
          <w:p>
            <w:pPr>
              <w:ind w:firstLine="0" w:firstLineChars="0"/>
              <w:jc w:val="center"/>
              <w:rPr>
                <w:rFonts w:ascii="仿宋_GB2312"/>
                <w:sz w:val="24"/>
                <w:szCs w:val="24"/>
              </w:rPr>
            </w:pPr>
            <w:r>
              <w:rPr>
                <w:rFonts w:hint="eastAsia" w:ascii="仿宋_GB2312"/>
                <w:sz w:val="24"/>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1.91</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1"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1.91</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1.97</w:t>
            </w:r>
          </w:p>
        </w:tc>
        <w:tc>
          <w:tcPr>
            <w:tcW w:w="1474" w:type="dxa"/>
          </w:tcPr>
          <w:p>
            <w:pPr>
              <w:ind w:firstLine="0" w:firstLineChars="0"/>
              <w:jc w:val="center"/>
              <w:rPr>
                <w:rFonts w:ascii="仿宋_GB2312"/>
                <w:sz w:val="24"/>
                <w:szCs w:val="24"/>
              </w:rPr>
            </w:pPr>
            <w:r>
              <w:rPr>
                <w:rFonts w:hint="eastAsia" w:ascii="仿宋_GB2312"/>
                <w:sz w:val="24"/>
                <w:szCs w:val="24"/>
              </w:rPr>
              <w:t>3.16</w:t>
            </w:r>
          </w:p>
        </w:tc>
        <w:tc>
          <w:tcPr>
            <w:tcW w:w="1417" w:type="dxa"/>
          </w:tcPr>
          <w:p>
            <w:pPr>
              <w:ind w:firstLine="0" w:firstLineChars="0"/>
              <w:jc w:val="center"/>
              <w:rPr>
                <w:rFonts w:ascii="仿宋_GB2312"/>
                <w:sz w:val="24"/>
                <w:szCs w:val="24"/>
              </w:rPr>
            </w:pPr>
            <w:r>
              <w:rPr>
                <w:rFonts w:hint="eastAsia" w:ascii="仿宋_GB2312"/>
                <w:sz w:val="24"/>
                <w:szCs w:val="24"/>
              </w:rPr>
              <w:t>0.06</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0.66</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0.66</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年度“三公经费”支出总额1.91万元，与年初预算相比减少0.67万元，降低26%，原因是：公务接待费用没有支出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年度决算数相比减少0.06万元，原因是：公车数量减少。</w:t>
      </w:r>
    </w:p>
    <w:p>
      <w:pPr>
        <w:ind w:firstLine="643"/>
        <w:rPr>
          <w:rFonts w:ascii="仿宋_GB2312"/>
          <w:szCs w:val="32"/>
        </w:rPr>
      </w:pPr>
      <w:r>
        <w:rPr>
          <w:rFonts w:hint="eastAsia" w:ascii="仿宋_GB2312"/>
          <w:b/>
          <w:szCs w:val="32"/>
        </w:rPr>
        <w:t>2．</w:t>
      </w:r>
      <w:r>
        <w:rPr>
          <w:rFonts w:ascii="仿宋_GB2312"/>
          <w:szCs w:val="32"/>
        </w:rPr>
        <w:t xml:space="preserve"> </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年度公务用车购置及运行维护费1.91万元，与年初预算相比减少0.01万元，降低2%，原因是：节约用车，与2</w:t>
      </w:r>
      <w:r>
        <w:rPr>
          <w:rFonts w:ascii="仿宋_GB2312"/>
          <w:szCs w:val="32"/>
        </w:rPr>
        <w:t>016</w:t>
      </w:r>
      <w:r>
        <w:rPr>
          <w:rFonts w:hint="eastAsia" w:ascii="仿宋_GB2312"/>
          <w:szCs w:val="32"/>
        </w:rPr>
        <w:t>年度决算数相比减少0.06万元，降低3%，原因是：公车数量减少。</w:t>
      </w:r>
    </w:p>
    <w:p>
      <w:pPr>
        <w:ind w:firstLine="640"/>
        <w:rPr>
          <w:rFonts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与年初预算相比减少0.01万元，降低2%，原因是：节约用车，与2016年度决算数相比减少0.06万元，降低3%，原因是：公车数量减少。</w:t>
      </w:r>
    </w:p>
    <w:p>
      <w:pPr>
        <w:ind w:firstLine="643"/>
        <w:rPr>
          <w:rFonts w:ascii="仿宋_GB2312"/>
          <w:szCs w:val="32"/>
        </w:rPr>
      </w:pPr>
      <w:r>
        <w:rPr>
          <w:rFonts w:hint="eastAsia" w:ascii="仿宋_GB2312"/>
          <w:b/>
          <w:szCs w:val="32"/>
        </w:rPr>
        <w:t>4．</w:t>
      </w:r>
      <w:r>
        <w:rPr>
          <w:rFonts w:ascii="仿宋_GB2312" w:cs="仿宋_GB2312"/>
        </w:rPr>
        <w:t>2017</w:t>
      </w:r>
      <w:r>
        <w:rPr>
          <w:rFonts w:hint="eastAsia" w:ascii="仿宋_GB2312" w:cs="仿宋_GB2312"/>
        </w:rPr>
        <w:t>年度公务接待费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lang w:val="en-US" w:eastAsia="zh-CN"/>
        </w:rPr>
        <w:t>.66</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0.66万元，</w:t>
      </w:r>
      <w:r>
        <w:rPr>
          <w:rFonts w:hint="eastAsia" w:ascii="仿宋_GB2312" w:cs="仿宋_GB2312"/>
        </w:rPr>
        <w:t>2016年度决算数为“0”，原因是：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年也未发生公务接待费用。</w:t>
      </w:r>
    </w:p>
    <w:p>
      <w:pPr>
        <w:ind w:firstLine="640"/>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0"/>
        <w:rPr>
          <w:rFonts w:ascii="楷体" w:hAnsi="楷体" w:eastAsia="楷体"/>
          <w:b/>
          <w:szCs w:val="32"/>
        </w:rPr>
      </w:pPr>
      <w:r>
        <w:rPr>
          <w:rFonts w:hint="eastAsia" w:ascii="楷体" w:hAnsi="楷体" w:eastAsia="楷体"/>
          <w:b/>
          <w:szCs w:val="32"/>
        </w:rPr>
        <w:t>六、绩效预算情况说明</w:t>
      </w:r>
    </w:p>
    <w:p>
      <w:pPr>
        <w:ind w:firstLine="640"/>
        <w:rPr>
          <w:rFonts w:ascii="楷体" w:hAnsi="楷体" w:eastAsia="楷体"/>
          <w:b/>
          <w:szCs w:val="32"/>
        </w:rPr>
      </w:pPr>
      <w:r>
        <w:rPr>
          <w:rFonts w:hint="eastAsia" w:ascii="仿宋_GB2312" w:hAnsi="仿宋_GB2312" w:cs="仿宋_GB2312"/>
          <w:szCs w:val="32"/>
          <w:lang w:bidi="ar"/>
        </w:rPr>
        <w:t>我部门绩效预算执行情况通过部门决算软件进行测评后得分为77.5分，主要扣分及原因为：1、财政拨款收入预决算差异率扣4分，原因是2017年基本工资标准进行调整人员性支出大幅增加等原因导致我部门本年实际收入大于年初预算。2、年初结转和结余预决算差异率扣5分，原因是2017年底拨入经费较多。3、人员经费预决算差异率扣1.5分，原因是职工工资的调整。4、公用经费预决算差异率扣2分，原因是创城经费增加。5、财政拨款结转和结余率扣0.5分，原因是2017年底拨入经费较多。6、财政收回存量资金占上年财政拨款结转和结余比重扣0.5分，原因是上缴车辆运行费用。7、三公经费预决算差异率扣5分，原因是公务接待费无支出。8、在职人员控制率扣3分，原因是我单位新增职工。9、其他人员增减率扣1分，有退休人员</w:t>
      </w:r>
      <w:r>
        <w:rPr>
          <w:rFonts w:hint="eastAsia" w:ascii="楷体" w:hAnsi="楷体" w:eastAsia="楷体"/>
          <w:b/>
          <w:szCs w:val="32"/>
        </w:rPr>
        <w:t>七、其他重要事项的情况说明。</w:t>
      </w:r>
    </w:p>
    <w:p>
      <w:pPr>
        <w:ind w:firstLine="640"/>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年度本部门机关运行经费支出298.56万元，比201</w:t>
      </w:r>
      <w:r>
        <w:rPr>
          <w:rFonts w:ascii="仿宋_GB2312"/>
          <w:szCs w:val="32"/>
        </w:rPr>
        <w:t>6</w:t>
      </w:r>
      <w:r>
        <w:rPr>
          <w:rFonts w:hint="eastAsia" w:ascii="仿宋_GB2312"/>
          <w:szCs w:val="32"/>
        </w:rPr>
        <w:t>年度增加82.32万元，增长38%。主要原因是：创城拆违经费的增加。</w:t>
      </w:r>
    </w:p>
    <w:p>
      <w:pPr>
        <w:ind w:firstLine="640"/>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年度本部门政府采购支出总额58.94万元，其中：政府采购货物支出22.12万元、政府采购工程支出34.92万元、政府采购服务支出1.9万元。</w:t>
      </w:r>
    </w:p>
    <w:p>
      <w:pPr>
        <w:widowControl/>
        <w:spacing w:line="240" w:lineRule="auto"/>
        <w:ind w:firstLine="640"/>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46" w:type="dxa"/>
        <w:jc w:val="center"/>
        <w:tblLayout w:type="fixed"/>
        <w:tblCellMar>
          <w:top w:w="0" w:type="dxa"/>
          <w:left w:w="108" w:type="dxa"/>
          <w:bottom w:w="0" w:type="dxa"/>
          <w:right w:w="108" w:type="dxa"/>
        </w:tblCellMar>
      </w:tblPr>
      <w:tblGrid>
        <w:gridCol w:w="4605"/>
        <w:gridCol w:w="661"/>
        <w:gridCol w:w="886"/>
        <w:gridCol w:w="886"/>
        <w:gridCol w:w="886"/>
        <w:gridCol w:w="883"/>
        <w:gridCol w:w="4694"/>
        <w:gridCol w:w="659"/>
        <w:gridCol w:w="986"/>
      </w:tblGrid>
      <w:tr>
        <w:tblPrEx>
          <w:tblCellMar>
            <w:top w:w="0" w:type="dxa"/>
            <w:left w:w="108" w:type="dxa"/>
            <w:bottom w:w="0" w:type="dxa"/>
            <w:right w:w="108" w:type="dxa"/>
          </w:tblCellMar>
        </w:tblPrEx>
        <w:trPr>
          <w:trHeight w:val="402" w:hRule="atLeast"/>
          <w:jc w:val="center"/>
        </w:trPr>
        <w:tc>
          <w:tcPr>
            <w:tcW w:w="4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项　　目</w:t>
            </w:r>
          </w:p>
        </w:tc>
        <w:tc>
          <w:tcPr>
            <w:tcW w:w="661"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行次</w:t>
            </w:r>
          </w:p>
        </w:tc>
        <w:tc>
          <w:tcPr>
            <w:tcW w:w="17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数量</w:t>
            </w:r>
          </w:p>
        </w:tc>
        <w:tc>
          <w:tcPr>
            <w:tcW w:w="1769"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价值（万元）</w:t>
            </w:r>
          </w:p>
        </w:tc>
        <w:tc>
          <w:tcPr>
            <w:tcW w:w="6339"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kern w:val="0"/>
                <w:sz w:val="22"/>
              </w:rPr>
            </w:pPr>
          </w:p>
        </w:tc>
        <w:tc>
          <w:tcPr>
            <w:tcW w:w="66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年初数</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年末数</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年初数</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年末数</w:t>
            </w:r>
          </w:p>
        </w:tc>
        <w:tc>
          <w:tcPr>
            <w:tcW w:w="6339"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栏　　次</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栏　　次</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行次</w:t>
            </w:r>
          </w:p>
        </w:tc>
        <w:tc>
          <w:tcPr>
            <w:tcW w:w="986"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5</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资产总额</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440.25</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405.73</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一、本年坏账损失金额</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23</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一、流动资产</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144.78</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54.87</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二、危房面积（平方米）</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24</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二、固定资产</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295.47</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350.86</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（一）上年年末数</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25</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bookmarkStart w:id="22" w:name="_Hlk3187520"/>
            <w:r>
              <w:rPr>
                <w:rFonts w:hint="eastAsia" w:ascii="宋体" w:hAnsi="宋体" w:eastAsia="宋体" w:cs="Arial"/>
                <w:kern w:val="0"/>
                <w:sz w:val="22"/>
              </w:rPr>
              <w:t xml:space="preserve">  （一）房屋（平方米）</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（二）本年增加数</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26</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1.办公用房</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5</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（三）本年减少数</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27</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2.业务用房</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6</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其中：本年修复数</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28</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3.其他（不含构筑物）</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7</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（四）年末数</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29</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（二）车辆（台、辆）</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8</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23.16</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23.16</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三、年末单位负担费用的供暖面积（平方米）</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30</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7166.24</w:t>
            </w:r>
          </w:p>
        </w:tc>
      </w:tr>
      <w:tr>
        <w:tblPrEx>
          <w:tblCellMar>
            <w:top w:w="0" w:type="dxa"/>
            <w:left w:w="108" w:type="dxa"/>
            <w:bottom w:w="0" w:type="dxa"/>
            <w:right w:w="108" w:type="dxa"/>
          </w:tblCellMar>
        </w:tblPrEx>
        <w:trPr>
          <w:trHeight w:val="77"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1.轿车</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9</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19.61</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19.61</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四、年末单位出租出借房屋面积（平方米）</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31</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2.越野车</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10</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五、年末单位土地证证载面积（平方米）</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32</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3.小型载客汽车</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11</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六、年末单位车辆工作用途情况（台、辆）</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33</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4.大中型载客汽车</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12</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1.副部（省）级及以上领导用车</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34</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5.其他车型</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13</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3.55　</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3.55　</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2.一般公务用车</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35</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（三）单价50万元（含）以上的通用设备</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14</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3.一般执法执勤用车</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36</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kern w:val="0"/>
                <w:sz w:val="22"/>
              </w:rPr>
            </w:pPr>
            <w:r>
              <w:rPr>
                <w:rFonts w:hint="eastAsia" w:ascii="宋体" w:hAnsi="宋体" w:eastAsia="宋体" w:cs="Arial"/>
                <w:kern w:val="0"/>
                <w:sz w:val="22"/>
              </w:rPr>
              <w:t>（四）单价100万元（含）以上的专用设备</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15</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4.特种专业技术用车</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37</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（五）其他固定资产</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16</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272.31</w:t>
            </w: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327.7</w:t>
            </w: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5.其他用车</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38</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bookmarkEnd w:id="22"/>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减：累计折旧及减值准备</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17</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39</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三、长期投资</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18</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40</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四、在建工程</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19</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41</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五、无形资产</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20</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42</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减：累计摊销</w:t>
            </w:r>
          </w:p>
        </w:tc>
        <w:tc>
          <w:tcPr>
            <w:tcW w:w="66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21</w:t>
            </w: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43</w:t>
            </w:r>
          </w:p>
        </w:tc>
        <w:tc>
          <w:tcPr>
            <w:tcW w:w="986"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08" w:hRule="atLeast"/>
          <w:jc w:val="center"/>
        </w:trPr>
        <w:tc>
          <w:tcPr>
            <w:tcW w:w="4605"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六、其他资产</w:t>
            </w:r>
          </w:p>
        </w:tc>
        <w:tc>
          <w:tcPr>
            <w:tcW w:w="66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22</w:t>
            </w:r>
          </w:p>
        </w:tc>
        <w:tc>
          <w:tcPr>
            <w:tcW w:w="8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p>
        </w:tc>
        <w:tc>
          <w:tcPr>
            <w:tcW w:w="8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883"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p>
        </w:tc>
        <w:tc>
          <w:tcPr>
            <w:tcW w:w="46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44</w:t>
            </w:r>
          </w:p>
        </w:tc>
        <w:tc>
          <w:tcPr>
            <w:tcW w:w="986"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年12月31日，固定资产350.86万元，与2016年相比增加55.39万元，主要原因是：其他固定资产项目的增加，主要原因是其他单位的固定资产划拨到我单位。</w:t>
      </w:r>
    </w:p>
    <w:p>
      <w:pPr>
        <w:ind w:firstLine="640"/>
        <w:rPr>
          <w:rFonts w:ascii="仿宋_GB2312"/>
          <w:szCs w:val="32"/>
        </w:rPr>
      </w:pPr>
      <w:r>
        <w:rPr>
          <w:rFonts w:hint="eastAsia" w:ascii="仿宋_GB2312"/>
          <w:szCs w:val="32"/>
        </w:rPr>
        <w:t>本部门共有车辆2辆，其中，一般公务用车1辆、一般执法执勤用车1辆、特种专业技术用车0辆、其他用车0辆；单位价值200万元以上大型设备0台（套）。</w:t>
      </w:r>
    </w:p>
    <w:p>
      <w:pPr>
        <w:ind w:firstLine="0" w:firstLineChars="0"/>
        <w:rPr>
          <w:rFonts w:ascii="仿宋_GB2312"/>
          <w:szCs w:val="32"/>
        </w:rPr>
      </w:pPr>
    </w:p>
    <w:p>
      <w:pPr>
        <w:widowControl/>
        <w:spacing w:line="580" w:lineRule="exact"/>
        <w:ind w:firstLine="64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2017年会议费总计0万元，年初预算为0万元，2016年度决算数为0万元，原因是：2017年未发生会议费支出，年初预算未安排，2016年也未发生会议费支出。</w:t>
      </w:r>
    </w:p>
    <w:p>
      <w:pPr>
        <w:ind w:firstLine="640"/>
        <w:rPr>
          <w:rFonts w:ascii="仿宋_GB2312"/>
          <w:szCs w:val="32"/>
        </w:rPr>
      </w:pPr>
      <w:r>
        <w:rPr>
          <w:rFonts w:hint="eastAsia" w:ascii="仿宋" w:hAnsi="仿宋" w:eastAsia="仿宋"/>
          <w:szCs w:val="32"/>
        </w:rPr>
        <w:t>培训费支出情况。2017年培训费总计0万元，2016年支出0.764万元，比上年减少0.746万元，降低100%。原因是：本年度无培训费支出。</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kern w:val="0"/>
          <w:szCs w:val="32"/>
        </w:rPr>
      </w:pPr>
      <w:r>
        <w:rPr>
          <w:kern w:val="0"/>
          <w:szCs w:val="32"/>
        </w:rPr>
        <w:t>（一）财政拨款收入：本年度从本级财政部门取得的财政拨款，包括一般公共预算财政拨款和政府性基金预算财政拨款。</w:t>
      </w:r>
    </w:p>
    <w:p>
      <w:pPr>
        <w:widowControl/>
        <w:spacing w:line="580" w:lineRule="exact"/>
        <w:ind w:firstLine="640"/>
        <w:rPr>
          <w:kern w:val="0"/>
          <w:szCs w:val="32"/>
        </w:rPr>
      </w:pPr>
      <w:r>
        <w:rPr>
          <w:kern w:val="0"/>
          <w:szCs w:val="32"/>
        </w:rPr>
        <w:t>（二）事业收入：指事业单位开展专业业务活动及辅助活动所取得的收入。</w:t>
      </w:r>
    </w:p>
    <w:p>
      <w:pPr>
        <w:widowControl/>
        <w:spacing w:line="580" w:lineRule="exact"/>
        <w:ind w:firstLine="640"/>
        <w:rPr>
          <w:kern w:val="0"/>
          <w:szCs w:val="32"/>
        </w:rPr>
      </w:pPr>
      <w:r>
        <w:rPr>
          <w:kern w:val="0"/>
          <w:szCs w:val="32"/>
        </w:rPr>
        <w:t>（三）其他收入：指除上述“财政拨款收入”、“事业收入”、“经营收入”等以外的收入。</w:t>
      </w:r>
    </w:p>
    <w:p>
      <w:pPr>
        <w:widowControl/>
        <w:spacing w:line="580" w:lineRule="exact"/>
        <w:ind w:firstLine="640"/>
        <w:rPr>
          <w:kern w:val="0"/>
          <w:szCs w:val="32"/>
        </w:rPr>
      </w:pPr>
      <w:r>
        <w:rPr>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kern w:val="0"/>
          <w:szCs w:val="32"/>
        </w:rPr>
      </w:pPr>
      <w:r>
        <w:rPr>
          <w:kern w:val="0"/>
          <w:szCs w:val="32"/>
        </w:rPr>
        <w:t>（五）年初结转和结余：指以前年度尚未完成、结转到本年仍按原规定用途继续使用的资金，或项目已完成等产生的结余资金。</w:t>
      </w:r>
    </w:p>
    <w:p>
      <w:pPr>
        <w:widowControl/>
        <w:spacing w:line="580" w:lineRule="exact"/>
        <w:ind w:firstLine="640"/>
        <w:rPr>
          <w:kern w:val="0"/>
          <w:szCs w:val="32"/>
        </w:rPr>
      </w:pPr>
      <w:r>
        <w:rPr>
          <w:kern w:val="0"/>
          <w:szCs w:val="32"/>
        </w:rPr>
        <w:t>（六）结余分配：指事业单位按照事业单位会计制度的规定从非财政补助结余中分配的事业基金和职工福利基金等。</w:t>
      </w:r>
    </w:p>
    <w:p>
      <w:pPr>
        <w:widowControl/>
        <w:spacing w:line="580" w:lineRule="exact"/>
        <w:ind w:firstLine="640"/>
        <w:rPr>
          <w:kern w:val="0"/>
          <w:szCs w:val="32"/>
        </w:rPr>
      </w:pPr>
      <w:r>
        <w:rPr>
          <w:kern w:val="0"/>
          <w:szCs w:val="32"/>
        </w:rPr>
        <w:t>（七）年末结转和结余：指单位按有关规定结转到下年或以后年度继续使用的资金，或项目已完成等产生的结余资金。</w:t>
      </w:r>
    </w:p>
    <w:p>
      <w:pPr>
        <w:widowControl/>
        <w:spacing w:line="580" w:lineRule="exact"/>
        <w:ind w:firstLine="640"/>
        <w:rPr>
          <w:kern w:val="0"/>
          <w:szCs w:val="32"/>
        </w:rPr>
      </w:pPr>
      <w:r>
        <w:rPr>
          <w:kern w:val="0"/>
          <w:szCs w:val="32"/>
        </w:rPr>
        <w:t>（八）基本支出：填列单位为保障机构正常运转、完成日常工作任务而发生的各项支出。</w:t>
      </w:r>
    </w:p>
    <w:p>
      <w:pPr>
        <w:widowControl/>
        <w:spacing w:line="580" w:lineRule="exact"/>
        <w:ind w:firstLine="640"/>
        <w:rPr>
          <w:kern w:val="0"/>
          <w:szCs w:val="32"/>
        </w:rPr>
      </w:pPr>
      <w:r>
        <w:rPr>
          <w:kern w:val="0"/>
          <w:szCs w:val="32"/>
        </w:rPr>
        <w:t>（九）项目支出：填列单位为完成特定的行政工作任务或事业发展目标，在基本支出之外发生的各项支出</w:t>
      </w:r>
    </w:p>
    <w:p>
      <w:pPr>
        <w:widowControl/>
        <w:spacing w:line="580" w:lineRule="exact"/>
        <w:ind w:firstLine="640"/>
        <w:rPr>
          <w:kern w:val="0"/>
          <w:szCs w:val="32"/>
        </w:rPr>
      </w:pPr>
      <w:r>
        <w:rPr>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kern w:val="0"/>
          <w:szCs w:val="32"/>
        </w:rPr>
      </w:pPr>
      <w:r>
        <w:rPr>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kern w:val="0"/>
          <w:szCs w:val="32"/>
        </w:rPr>
      </w:pPr>
      <w:r>
        <w:rPr>
          <w:kern w:val="0"/>
          <w:szCs w:val="32"/>
        </w:rPr>
        <w:t>（十二）“三公”经费：指部门用</w:t>
      </w:r>
      <w:r>
        <w:rPr>
          <w:rFonts w:hint="eastAsia"/>
          <w:kern w:val="0"/>
          <w:szCs w:val="32"/>
        </w:rPr>
        <w:t>一般公共预算拨款</w:t>
      </w:r>
      <w:r>
        <w:rPr>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kern w:val="0"/>
          <w:szCs w:val="32"/>
        </w:rPr>
      </w:pPr>
      <w:r>
        <w:rPr>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kern w:val="0"/>
          <w:szCs w:val="32"/>
        </w:rPr>
      </w:pPr>
      <w:r>
        <w:rPr>
          <w:kern w:val="0"/>
          <w:szCs w:val="32"/>
        </w:rPr>
        <w:t>（十四）公务用车购置：填列单位公务用车车辆购置支出（含车辆购置税）。</w:t>
      </w:r>
    </w:p>
    <w:p>
      <w:pPr>
        <w:widowControl/>
        <w:spacing w:line="580" w:lineRule="exact"/>
        <w:ind w:firstLine="640"/>
        <w:rPr>
          <w:kern w:val="0"/>
          <w:szCs w:val="32"/>
        </w:rPr>
      </w:pPr>
      <w:r>
        <w:rPr>
          <w:kern w:val="0"/>
          <w:szCs w:val="32"/>
        </w:rPr>
        <w:t>（十五）其他交通工具购置：填列单位除公务用车外的其他各类交通工具（如船舶、飞机）购置支出（含车辆购置税）。</w:t>
      </w:r>
    </w:p>
    <w:p>
      <w:pPr>
        <w:widowControl/>
        <w:spacing w:line="580" w:lineRule="exact"/>
        <w:ind w:firstLine="640"/>
        <w:rPr>
          <w:kern w:val="0"/>
          <w:szCs w:val="32"/>
        </w:rPr>
      </w:pPr>
      <w:r>
        <w:rPr>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11</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C23A7"/>
    <w:rsid w:val="000D6575"/>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B7B38"/>
    <w:rsid w:val="002D1C92"/>
    <w:rsid w:val="002E4D34"/>
    <w:rsid w:val="00305FCB"/>
    <w:rsid w:val="00310A7C"/>
    <w:rsid w:val="00312F9F"/>
    <w:rsid w:val="003155B1"/>
    <w:rsid w:val="003209A7"/>
    <w:rsid w:val="003C1311"/>
    <w:rsid w:val="003D144F"/>
    <w:rsid w:val="003E4D24"/>
    <w:rsid w:val="003F6043"/>
    <w:rsid w:val="00404BA5"/>
    <w:rsid w:val="00405DD5"/>
    <w:rsid w:val="00443128"/>
    <w:rsid w:val="00450D4D"/>
    <w:rsid w:val="00496488"/>
    <w:rsid w:val="004E7B5F"/>
    <w:rsid w:val="004F1F8E"/>
    <w:rsid w:val="00502034"/>
    <w:rsid w:val="005046AD"/>
    <w:rsid w:val="005462E5"/>
    <w:rsid w:val="00562ED9"/>
    <w:rsid w:val="00593550"/>
    <w:rsid w:val="00594763"/>
    <w:rsid w:val="005C39CD"/>
    <w:rsid w:val="005C5A21"/>
    <w:rsid w:val="005C7CFB"/>
    <w:rsid w:val="005D118C"/>
    <w:rsid w:val="005E2EB4"/>
    <w:rsid w:val="005E382E"/>
    <w:rsid w:val="00602FA6"/>
    <w:rsid w:val="00630D6A"/>
    <w:rsid w:val="00632195"/>
    <w:rsid w:val="006508EE"/>
    <w:rsid w:val="00661402"/>
    <w:rsid w:val="00661FC6"/>
    <w:rsid w:val="00682F9B"/>
    <w:rsid w:val="006A1D43"/>
    <w:rsid w:val="006B012E"/>
    <w:rsid w:val="006C00CA"/>
    <w:rsid w:val="006D6A17"/>
    <w:rsid w:val="006D7D02"/>
    <w:rsid w:val="006F5699"/>
    <w:rsid w:val="006F7A05"/>
    <w:rsid w:val="00712D5F"/>
    <w:rsid w:val="00744B46"/>
    <w:rsid w:val="00746674"/>
    <w:rsid w:val="007C4984"/>
    <w:rsid w:val="007D592B"/>
    <w:rsid w:val="0080381A"/>
    <w:rsid w:val="0080737F"/>
    <w:rsid w:val="00820C21"/>
    <w:rsid w:val="008248C5"/>
    <w:rsid w:val="00830C9C"/>
    <w:rsid w:val="008529DA"/>
    <w:rsid w:val="008716D0"/>
    <w:rsid w:val="008951B5"/>
    <w:rsid w:val="008C78C5"/>
    <w:rsid w:val="008F3A14"/>
    <w:rsid w:val="0092275C"/>
    <w:rsid w:val="00937A08"/>
    <w:rsid w:val="00945029"/>
    <w:rsid w:val="00952574"/>
    <w:rsid w:val="00965AC4"/>
    <w:rsid w:val="00976201"/>
    <w:rsid w:val="0099559E"/>
    <w:rsid w:val="009A2241"/>
    <w:rsid w:val="009D3E47"/>
    <w:rsid w:val="009F4499"/>
    <w:rsid w:val="00A05198"/>
    <w:rsid w:val="00A13A55"/>
    <w:rsid w:val="00A266EB"/>
    <w:rsid w:val="00A4272B"/>
    <w:rsid w:val="00A513A6"/>
    <w:rsid w:val="00A93803"/>
    <w:rsid w:val="00AA33A5"/>
    <w:rsid w:val="00AB2749"/>
    <w:rsid w:val="00AB34E3"/>
    <w:rsid w:val="00AC76D6"/>
    <w:rsid w:val="00AF2C1C"/>
    <w:rsid w:val="00B42B02"/>
    <w:rsid w:val="00B701EF"/>
    <w:rsid w:val="00B72BF5"/>
    <w:rsid w:val="00B86180"/>
    <w:rsid w:val="00B96A7F"/>
    <w:rsid w:val="00BA26B2"/>
    <w:rsid w:val="00BB55D2"/>
    <w:rsid w:val="00BC1680"/>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4D16"/>
    <w:rsid w:val="00DE515A"/>
    <w:rsid w:val="00E03175"/>
    <w:rsid w:val="00E5216F"/>
    <w:rsid w:val="00E7487B"/>
    <w:rsid w:val="00EA5972"/>
    <w:rsid w:val="00EB45A9"/>
    <w:rsid w:val="00EB63A9"/>
    <w:rsid w:val="00EC62AA"/>
    <w:rsid w:val="00ED0602"/>
    <w:rsid w:val="00ED09E5"/>
    <w:rsid w:val="00ED6876"/>
    <w:rsid w:val="00ED6B4C"/>
    <w:rsid w:val="00EF493B"/>
    <w:rsid w:val="00F0518B"/>
    <w:rsid w:val="00F05F78"/>
    <w:rsid w:val="00F06F8D"/>
    <w:rsid w:val="00F7462B"/>
    <w:rsid w:val="00F9758A"/>
    <w:rsid w:val="00FC3BAC"/>
    <w:rsid w:val="00FD5BCA"/>
    <w:rsid w:val="00FE7FFE"/>
    <w:rsid w:val="00FF65FE"/>
    <w:rsid w:val="1B742FCF"/>
    <w:rsid w:val="4763464D"/>
    <w:rsid w:val="51D6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4B440-F421-4328-AD03-CB0A8A592751}">
  <ds:schemaRefs/>
</ds:datastoreItem>
</file>

<file path=docProps/app.xml><?xml version="1.0" encoding="utf-8"?>
<Properties xmlns="http://schemas.openxmlformats.org/officeDocument/2006/extended-properties" xmlns:vt="http://schemas.openxmlformats.org/officeDocument/2006/docPropsVTypes">
  <Template>Normal.dotm</Template>
  <Company>gkk</Company>
  <Pages>19</Pages>
  <Words>935</Words>
  <Characters>5330</Characters>
  <Lines>44</Lines>
  <Paragraphs>12</Paragraphs>
  <TotalTime>86</TotalTime>
  <ScaleCrop>false</ScaleCrop>
  <LinksUpToDate>false</LinksUpToDate>
  <CharactersWithSpaces>6253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2019-03-11T03:03:00Z</dcterms:created>
  <dc:creator>jia</dc:creator>
  <cp:lastModifiedBy>1</cp:lastModifiedBy>
  <dcterms:modified xsi:type="dcterms:W3CDTF">2023-11-07T01:56:11Z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