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ascii="黑体" w:hAnsi="黑体" w:eastAsia="黑体"/>
          <w:b/>
          <w:sz w:val="84"/>
          <w:szCs w:val="84"/>
        </w:rPr>
      </w:pP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2</w:t>
      </w:r>
      <w:r>
        <w:rPr>
          <w:rFonts w:ascii="黑体" w:hAnsi="黑体" w:eastAsia="黑体"/>
          <w:b/>
          <w:sz w:val="84"/>
          <w:szCs w:val="84"/>
        </w:rPr>
        <w:t>017</w:t>
      </w:r>
      <w:r>
        <w:rPr>
          <w:rFonts w:hint="eastAsia" w:ascii="黑体" w:hAnsi="黑体" w:eastAsia="黑体"/>
          <w:b/>
          <w:sz w:val="84"/>
          <w:szCs w:val="84"/>
        </w:rPr>
        <w:t>年度部门</w:t>
      </w:r>
    </w:p>
    <w:p>
      <w:pPr>
        <w:widowControl/>
        <w:spacing w:line="240" w:lineRule="auto"/>
        <w:ind w:firstLine="0" w:firstLineChars="0"/>
        <w:jc w:val="center"/>
        <w:rPr>
          <w:rFonts w:ascii="黑体" w:hAnsi="黑体" w:eastAsia="黑体"/>
          <w:b/>
          <w:sz w:val="84"/>
          <w:szCs w:val="84"/>
        </w:rPr>
      </w:pPr>
      <w:r>
        <w:rPr>
          <w:rFonts w:hint="eastAsia" w:ascii="黑体" w:hAnsi="黑体" w:eastAsia="黑体"/>
          <w:b/>
          <w:sz w:val="84"/>
          <w:szCs w:val="84"/>
        </w:rPr>
        <w:t>决算公开</w:t>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秦皇岛市海港区机关事务管理局</w:t>
      </w:r>
    </w:p>
    <w:p>
      <w:pPr>
        <w:widowControl/>
        <w:spacing w:line="580" w:lineRule="exact"/>
        <w:ind w:firstLine="0" w:firstLineChars="0"/>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018</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widowControl/>
        <w:spacing w:line="240" w:lineRule="auto"/>
        <w:ind w:firstLine="0" w:firstLineChars="0"/>
        <w:jc w:val="left"/>
        <w:rPr>
          <w:rFonts w:eastAsia="方正小标宋_GBK"/>
          <w:sz w:val="44"/>
          <w:szCs w:val="44"/>
        </w:rPr>
      </w:pPr>
      <w:r>
        <w:rPr>
          <w:rFonts w:eastAsia="方正小标宋_GBK"/>
          <w:sz w:val="44"/>
          <w:szCs w:val="44"/>
        </w:rPr>
        <w:br w:type="page"/>
      </w:r>
    </w:p>
    <w:p>
      <w:pPr>
        <w:widowControl/>
        <w:spacing w:line="580" w:lineRule="exact"/>
        <w:ind w:firstLine="880"/>
        <w:jc w:val="center"/>
        <w:rPr>
          <w:rFonts w:eastAsia="方正小标宋_GBK"/>
          <w:sz w:val="44"/>
          <w:szCs w:val="44"/>
        </w:rPr>
      </w:pPr>
    </w:p>
    <w:p>
      <w:pPr>
        <w:widowControl/>
        <w:spacing w:line="580" w:lineRule="exact"/>
        <w:ind w:firstLine="880"/>
        <w:jc w:val="center"/>
        <w:rPr>
          <w:rFonts w:eastAsia="方正小标宋_GBK"/>
          <w:sz w:val="44"/>
          <w:szCs w:val="44"/>
        </w:rPr>
      </w:pPr>
      <w:r>
        <w:rPr>
          <w:rFonts w:eastAsia="方正小标宋_GBK"/>
          <w:sz w:val="44"/>
          <w:szCs w:val="44"/>
        </w:rPr>
        <w:t>部门决算公开目录</w:t>
      </w:r>
    </w:p>
    <w:p>
      <w:pPr>
        <w:widowControl/>
        <w:spacing w:line="580" w:lineRule="exact"/>
        <w:ind w:firstLine="640"/>
        <w:rPr>
          <w:rFonts w:eastAsia="黑体"/>
          <w:szCs w:val="32"/>
        </w:rPr>
      </w:pPr>
    </w:p>
    <w:p>
      <w:pPr>
        <w:widowControl/>
        <w:spacing w:line="580" w:lineRule="exact"/>
        <w:ind w:firstLine="640"/>
        <w:rPr>
          <w:sz w:val="24"/>
          <w:szCs w:val="32"/>
        </w:rPr>
      </w:pPr>
      <w:r>
        <w:rPr>
          <w:rFonts w:eastAsia="黑体"/>
          <w:szCs w:val="32"/>
        </w:rPr>
        <w:t xml:space="preserve">第一部分   </w:t>
      </w:r>
      <w:r>
        <w:rPr>
          <w:rFonts w:hint="eastAsia" w:eastAsia="黑体"/>
          <w:szCs w:val="32"/>
        </w:rPr>
        <w:t>海港区机关事务管理局</w:t>
      </w:r>
      <w:r>
        <w:rPr>
          <w:rFonts w:eastAsia="黑体"/>
          <w:szCs w:val="32"/>
        </w:rPr>
        <w:t>部门概况</w:t>
      </w:r>
    </w:p>
    <w:p>
      <w:pPr>
        <w:widowControl/>
        <w:spacing w:line="580" w:lineRule="exact"/>
        <w:ind w:firstLine="1273" w:firstLineChars="398"/>
        <w:rPr>
          <w:szCs w:val="32"/>
        </w:rPr>
      </w:pPr>
      <w:r>
        <w:rPr>
          <w:szCs w:val="32"/>
        </w:rPr>
        <w:t>一、部门职责</w:t>
      </w:r>
    </w:p>
    <w:p>
      <w:pPr>
        <w:widowControl/>
        <w:spacing w:line="580" w:lineRule="exact"/>
        <w:ind w:firstLine="1273" w:firstLineChars="398"/>
        <w:rPr>
          <w:szCs w:val="32"/>
        </w:rPr>
      </w:pPr>
      <w:r>
        <w:rPr>
          <w:szCs w:val="32"/>
        </w:rPr>
        <w:t>二、部门决算单位构成</w:t>
      </w:r>
    </w:p>
    <w:p>
      <w:pPr>
        <w:widowControl/>
        <w:spacing w:line="580" w:lineRule="exact"/>
        <w:ind w:firstLine="640"/>
        <w:rPr>
          <w:sz w:val="20"/>
          <w:szCs w:val="32"/>
        </w:rPr>
      </w:pPr>
      <w:r>
        <w:rPr>
          <w:rFonts w:eastAsia="黑体"/>
          <w:szCs w:val="32"/>
        </w:rPr>
        <w:t xml:space="preserve">第二部分   </w:t>
      </w:r>
      <w:r>
        <w:rPr>
          <w:rFonts w:hint="eastAsia" w:eastAsia="黑体"/>
          <w:szCs w:val="32"/>
        </w:rPr>
        <w:t>海港区机关事务管理局</w:t>
      </w:r>
      <w:r>
        <w:rPr>
          <w:rFonts w:eastAsia="黑体"/>
          <w:szCs w:val="32"/>
        </w:rPr>
        <w:t>部门2017年度部门决算报表</w:t>
      </w:r>
    </w:p>
    <w:p>
      <w:pPr>
        <w:widowControl/>
        <w:spacing w:line="580" w:lineRule="exact"/>
        <w:ind w:left="640" w:firstLine="640"/>
        <w:rPr>
          <w:szCs w:val="32"/>
        </w:rPr>
      </w:pPr>
      <w:r>
        <w:rPr>
          <w:szCs w:val="32"/>
        </w:rPr>
        <w:t>一、收入支出决算总表</w:t>
      </w:r>
    </w:p>
    <w:p>
      <w:pPr>
        <w:widowControl/>
        <w:spacing w:line="580" w:lineRule="exact"/>
        <w:ind w:left="640" w:firstLine="640"/>
        <w:rPr>
          <w:szCs w:val="32"/>
        </w:rPr>
      </w:pPr>
      <w:r>
        <w:rPr>
          <w:szCs w:val="32"/>
        </w:rPr>
        <w:t>二、收入决算表</w:t>
      </w:r>
    </w:p>
    <w:p>
      <w:pPr>
        <w:widowControl/>
        <w:spacing w:line="580" w:lineRule="exact"/>
        <w:ind w:left="640" w:firstLine="640"/>
        <w:rPr>
          <w:szCs w:val="32"/>
        </w:rPr>
      </w:pPr>
      <w:r>
        <w:rPr>
          <w:szCs w:val="32"/>
        </w:rPr>
        <w:t>三、支出决算表</w:t>
      </w:r>
    </w:p>
    <w:p>
      <w:pPr>
        <w:widowControl/>
        <w:spacing w:line="580" w:lineRule="exact"/>
        <w:ind w:left="640" w:firstLine="640"/>
        <w:rPr>
          <w:szCs w:val="32"/>
        </w:rPr>
      </w:pPr>
      <w:r>
        <w:rPr>
          <w:szCs w:val="32"/>
        </w:rPr>
        <w:t>四、财政拨款收入支出决算总表</w:t>
      </w:r>
    </w:p>
    <w:p>
      <w:pPr>
        <w:widowControl/>
        <w:spacing w:line="580" w:lineRule="exact"/>
        <w:ind w:left="640" w:firstLine="640"/>
        <w:rPr>
          <w:szCs w:val="32"/>
        </w:rPr>
      </w:pPr>
      <w:r>
        <w:rPr>
          <w:szCs w:val="32"/>
        </w:rPr>
        <w:t>五、一般公共预算财政拨款收入支出决算表</w:t>
      </w:r>
    </w:p>
    <w:p>
      <w:pPr>
        <w:widowControl/>
        <w:spacing w:line="580" w:lineRule="exact"/>
        <w:ind w:left="640" w:firstLine="640"/>
        <w:rPr>
          <w:szCs w:val="32"/>
        </w:rPr>
      </w:pPr>
      <w:r>
        <w:rPr>
          <w:szCs w:val="32"/>
        </w:rPr>
        <w:t>六、一般公共预算财政拨款基本支出决算经济分类表</w:t>
      </w:r>
    </w:p>
    <w:p>
      <w:pPr>
        <w:widowControl/>
        <w:spacing w:line="580" w:lineRule="exact"/>
        <w:ind w:left="640" w:firstLine="640"/>
        <w:rPr>
          <w:szCs w:val="32"/>
        </w:rPr>
      </w:pPr>
      <w:r>
        <w:rPr>
          <w:szCs w:val="32"/>
        </w:rPr>
        <w:t>七、政府性基金预算财政拨款收入支出决算表</w:t>
      </w:r>
    </w:p>
    <w:p>
      <w:pPr>
        <w:widowControl/>
        <w:spacing w:line="580" w:lineRule="exact"/>
        <w:ind w:left="640" w:firstLine="640"/>
        <w:rPr>
          <w:szCs w:val="32"/>
        </w:rPr>
      </w:pPr>
      <w:r>
        <w:rPr>
          <w:szCs w:val="32"/>
        </w:rPr>
        <w:t>八、国有资本经营预算财政拨款收入支出决算表</w:t>
      </w:r>
    </w:p>
    <w:p>
      <w:pPr>
        <w:widowControl/>
        <w:spacing w:line="580" w:lineRule="exact"/>
        <w:ind w:left="640" w:firstLine="640"/>
        <w:rPr>
          <w:szCs w:val="32"/>
        </w:rPr>
      </w:pPr>
      <w:r>
        <w:rPr>
          <w:szCs w:val="32"/>
        </w:rPr>
        <w:t>九、“三公”经费等相关信息统计表</w:t>
      </w:r>
    </w:p>
    <w:p>
      <w:pPr>
        <w:widowControl/>
        <w:spacing w:line="580" w:lineRule="exact"/>
        <w:ind w:left="640" w:firstLine="640"/>
        <w:rPr>
          <w:szCs w:val="32"/>
        </w:rPr>
      </w:pPr>
      <w:r>
        <w:rPr>
          <w:szCs w:val="32"/>
        </w:rPr>
        <w:t>十、政府采购情况表</w:t>
      </w:r>
    </w:p>
    <w:p>
      <w:pPr>
        <w:widowControl/>
        <w:spacing w:line="580" w:lineRule="exact"/>
        <w:ind w:firstLine="640"/>
        <w:rPr>
          <w:rFonts w:eastAsia="黑体"/>
          <w:szCs w:val="32"/>
        </w:rPr>
      </w:pPr>
      <w:r>
        <w:rPr>
          <w:rFonts w:eastAsia="黑体"/>
          <w:szCs w:val="32"/>
        </w:rPr>
        <w:t xml:space="preserve">第三部分  </w:t>
      </w:r>
      <w:r>
        <w:rPr>
          <w:rFonts w:hint="eastAsia" w:eastAsia="黑体"/>
          <w:szCs w:val="32"/>
        </w:rPr>
        <w:t>海港区机关事务管理局</w:t>
      </w:r>
      <w:r>
        <w:rPr>
          <w:rFonts w:eastAsia="黑体"/>
          <w:szCs w:val="32"/>
        </w:rPr>
        <w:t>部门2017年</w:t>
      </w:r>
      <w:r>
        <w:rPr>
          <w:rFonts w:hint="eastAsia" w:eastAsia="黑体"/>
          <w:szCs w:val="32"/>
        </w:rPr>
        <w:t>度</w:t>
      </w:r>
      <w:r>
        <w:rPr>
          <w:rFonts w:eastAsia="黑体"/>
          <w:szCs w:val="32"/>
        </w:rPr>
        <w:t>部门决算情况说明</w:t>
      </w:r>
    </w:p>
    <w:p>
      <w:pPr>
        <w:widowControl/>
        <w:spacing w:line="580" w:lineRule="exact"/>
        <w:ind w:left="640" w:firstLine="640"/>
        <w:rPr>
          <w:szCs w:val="32"/>
        </w:rPr>
      </w:pPr>
      <w:bookmarkStart w:id="0" w:name="OLE_LINK21"/>
      <w:r>
        <w:rPr>
          <w:szCs w:val="32"/>
        </w:rPr>
        <w:t>一、收入支出决算总体情况说明</w:t>
      </w:r>
    </w:p>
    <w:bookmarkEnd w:id="0"/>
    <w:p>
      <w:pPr>
        <w:widowControl/>
        <w:spacing w:line="580" w:lineRule="exact"/>
        <w:ind w:left="640" w:firstLine="640"/>
        <w:rPr>
          <w:szCs w:val="32"/>
        </w:rPr>
      </w:pPr>
      <w:bookmarkStart w:id="1" w:name="OLE_LINK22"/>
      <w:r>
        <w:rPr>
          <w:szCs w:val="32"/>
        </w:rPr>
        <w:t>二、收入决算情况说明</w:t>
      </w:r>
    </w:p>
    <w:p>
      <w:pPr>
        <w:widowControl/>
        <w:spacing w:line="580" w:lineRule="exact"/>
        <w:ind w:left="640" w:firstLine="640"/>
        <w:rPr>
          <w:szCs w:val="32"/>
        </w:rPr>
      </w:pPr>
      <w:r>
        <w:rPr>
          <w:szCs w:val="32"/>
        </w:rPr>
        <w:t>三、支出决算情况说明</w:t>
      </w:r>
    </w:p>
    <w:bookmarkEnd w:id="1"/>
    <w:p>
      <w:pPr>
        <w:widowControl/>
        <w:spacing w:line="580" w:lineRule="exact"/>
        <w:ind w:left="640" w:firstLine="640"/>
        <w:rPr>
          <w:szCs w:val="32"/>
        </w:rPr>
      </w:pPr>
      <w:r>
        <w:rPr>
          <w:szCs w:val="32"/>
        </w:rPr>
        <w:t>四、财政拨款收入支出决算总体情况说明</w:t>
      </w:r>
    </w:p>
    <w:p>
      <w:pPr>
        <w:widowControl/>
        <w:spacing w:line="580" w:lineRule="exact"/>
        <w:ind w:left="640" w:firstLine="640"/>
        <w:rPr>
          <w:szCs w:val="32"/>
        </w:rPr>
      </w:pPr>
      <w:r>
        <w:rPr>
          <w:szCs w:val="32"/>
        </w:rPr>
        <w:t>五、“三公”经费支出决算情况说明</w:t>
      </w:r>
    </w:p>
    <w:p>
      <w:pPr>
        <w:widowControl/>
        <w:spacing w:line="580" w:lineRule="exact"/>
        <w:ind w:left="640" w:firstLine="640"/>
        <w:rPr>
          <w:szCs w:val="32"/>
        </w:rPr>
      </w:pPr>
      <w:bookmarkStart w:id="2" w:name="OLE_LINK25"/>
      <w:bookmarkStart w:id="3" w:name="OLE_LINK26"/>
      <w:bookmarkStart w:id="4" w:name="OLE_LINK27"/>
      <w:r>
        <w:rPr>
          <w:szCs w:val="32"/>
        </w:rPr>
        <w:t>六、预算绩效管理工作开展情况说明</w:t>
      </w:r>
    </w:p>
    <w:bookmarkEnd w:id="2"/>
    <w:bookmarkEnd w:id="3"/>
    <w:bookmarkEnd w:id="4"/>
    <w:p>
      <w:pPr>
        <w:widowControl/>
        <w:spacing w:line="580" w:lineRule="exact"/>
        <w:ind w:left="640" w:firstLine="640"/>
        <w:rPr>
          <w:szCs w:val="32"/>
        </w:rPr>
      </w:pPr>
      <w:r>
        <w:rPr>
          <w:szCs w:val="32"/>
        </w:rPr>
        <w:t>七、其他重要事项的说明</w:t>
      </w:r>
    </w:p>
    <w:p>
      <w:pPr>
        <w:widowControl/>
        <w:spacing w:line="580" w:lineRule="exact"/>
        <w:ind w:left="640" w:firstLine="1344" w:firstLineChars="420"/>
        <w:rPr>
          <w:szCs w:val="32"/>
        </w:rPr>
      </w:pPr>
      <w:r>
        <w:rPr>
          <w:szCs w:val="32"/>
        </w:rPr>
        <w:t>1.机关运行经费情况</w:t>
      </w:r>
    </w:p>
    <w:p>
      <w:pPr>
        <w:widowControl/>
        <w:spacing w:line="580" w:lineRule="exact"/>
        <w:ind w:left="640" w:firstLine="1344" w:firstLineChars="420"/>
        <w:rPr>
          <w:szCs w:val="32"/>
        </w:rPr>
      </w:pPr>
      <w:r>
        <w:rPr>
          <w:szCs w:val="32"/>
        </w:rPr>
        <w:t>2.政府采购情况</w:t>
      </w:r>
    </w:p>
    <w:p>
      <w:pPr>
        <w:widowControl/>
        <w:spacing w:line="580" w:lineRule="exact"/>
        <w:ind w:left="640" w:firstLine="1344" w:firstLineChars="420"/>
        <w:rPr>
          <w:szCs w:val="32"/>
        </w:rPr>
      </w:pPr>
      <w:r>
        <w:rPr>
          <w:szCs w:val="32"/>
        </w:rPr>
        <w:t>3.国有资产占用情况</w:t>
      </w:r>
    </w:p>
    <w:p>
      <w:pPr>
        <w:widowControl/>
        <w:spacing w:line="580" w:lineRule="exact"/>
        <w:ind w:left="640" w:firstLine="1344" w:firstLineChars="420"/>
        <w:rPr>
          <w:szCs w:val="32"/>
        </w:rPr>
      </w:pPr>
      <w:bookmarkStart w:id="5" w:name="OLE_LINK28"/>
      <w:r>
        <w:rPr>
          <w:szCs w:val="32"/>
        </w:rPr>
        <w:t>4.其他需要说明的情况</w:t>
      </w:r>
    </w:p>
    <w:bookmarkEnd w:id="5"/>
    <w:p>
      <w:pPr>
        <w:widowControl/>
        <w:spacing w:line="580" w:lineRule="exact"/>
        <w:ind w:firstLine="640"/>
        <w:rPr>
          <w:rFonts w:eastAsia="黑体"/>
          <w:szCs w:val="32"/>
        </w:rPr>
      </w:pPr>
      <w:r>
        <w:rPr>
          <w:rFonts w:eastAsia="黑体"/>
          <w:szCs w:val="32"/>
        </w:rPr>
        <w:t>第四部分  名词解释</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0" w:firstLineChars="0"/>
        <w:jc w:val="center"/>
        <w:rPr>
          <w:rFonts w:ascii="黑体" w:hAnsi="黑体" w:eastAsia="黑体"/>
          <w:sz w:val="72"/>
          <w:szCs w:val="72"/>
        </w:rPr>
      </w:pPr>
      <w:bookmarkStart w:id="6" w:name="OLE_LINK11"/>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bookmarkStart w:id="7" w:name="OLE_LINK13"/>
      <w:r>
        <w:rPr>
          <w:rFonts w:hint="eastAsia" w:ascii="黑体" w:hAnsi="黑体" w:eastAsia="黑体"/>
          <w:sz w:val="72"/>
          <w:szCs w:val="72"/>
        </w:rPr>
        <w:t xml:space="preserve">第一部分 </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海港区机关事务管理局</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部门概况</w:t>
      </w:r>
    </w:p>
    <w:bookmarkEnd w:id="7"/>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ind w:firstLine="480"/>
        <w:rPr>
          <w:rFonts w:ascii="仿宋_GB2312" w:hAnsi="黑体"/>
          <w:sz w:val="24"/>
          <w:szCs w:val="32"/>
        </w:rPr>
      </w:pPr>
    </w:p>
    <w:bookmarkEnd w:id="6"/>
    <w:p>
      <w:pPr>
        <w:pStyle w:val="9"/>
        <w:numPr>
          <w:ilvl w:val="0"/>
          <w:numId w:val="0"/>
        </w:numPr>
        <w:spacing w:line="240" w:lineRule="auto"/>
        <w:ind w:firstLine="640" w:firstLineChars="200"/>
        <w:rPr>
          <w:rFonts w:ascii="仿宋_GB2312" w:hAnsi="黑体"/>
          <w:szCs w:val="32"/>
        </w:rPr>
      </w:pPr>
      <w:bookmarkStart w:id="8" w:name="OLE_LINK14"/>
      <w:r>
        <w:rPr>
          <w:rFonts w:hint="eastAsia" w:ascii="仿宋_GB2312" w:hAnsi="黑体"/>
          <w:szCs w:val="32"/>
          <w:lang w:eastAsia="zh-CN"/>
        </w:rPr>
        <w:t>一、</w:t>
      </w:r>
      <w:r>
        <w:rPr>
          <w:rFonts w:hint="eastAsia" w:ascii="仿宋_GB2312" w:hAnsi="黑体"/>
          <w:szCs w:val="32"/>
        </w:rPr>
        <w:t>部门职责</w:t>
      </w:r>
    </w:p>
    <w:p>
      <w:pPr>
        <w:ind w:left="0" w:leftChars="0" w:firstLine="0" w:firstLineChars="0"/>
        <w:rPr>
          <w:rFonts w:ascii="仿宋_GB2312"/>
        </w:rPr>
      </w:pPr>
      <w:r>
        <w:rPr>
          <w:rFonts w:hint="eastAsia" w:ascii="仿宋_GB2312"/>
        </w:rPr>
        <w:t>1、编制部门费用预算，严格控制部门费用的使用，拟定、落实部门年度工作计划，制定、修订、落实本部门主责范围内各项规章制度与流程，</w:t>
      </w:r>
    </w:p>
    <w:p>
      <w:pPr>
        <w:spacing w:line="440" w:lineRule="exact"/>
        <w:ind w:firstLine="0" w:firstLineChars="0"/>
        <w:rPr>
          <w:rFonts w:ascii="仿宋_GB2312"/>
        </w:rPr>
      </w:pPr>
      <w:r>
        <w:rPr>
          <w:rFonts w:hint="eastAsia" w:ascii="仿宋_GB2312"/>
        </w:rPr>
        <w:t>2、负责组织协调工作，纪律监督工作，公文办理工作，后勤保障工作，档案管理工作，完成领导交办的其他工作。</w:t>
      </w:r>
    </w:p>
    <w:p>
      <w:pPr>
        <w:spacing w:line="440" w:lineRule="exact"/>
        <w:ind w:firstLine="0" w:firstLineChars="0"/>
        <w:rPr>
          <w:rFonts w:ascii="仿宋_GB2312"/>
        </w:rPr>
      </w:pPr>
      <w:r>
        <w:rPr>
          <w:rFonts w:hint="eastAsia" w:ascii="仿宋_GB2312"/>
        </w:rPr>
        <w:t>3、登记和管理区市民中心安保工作及车卡和车证的发放和管理。负责职工浴池、健身房和医务室的卫生和设备设施的维修保养及管理。</w:t>
      </w:r>
    </w:p>
    <w:p>
      <w:pPr>
        <w:ind w:firstLine="0" w:firstLineChars="0"/>
        <w:rPr>
          <w:rFonts w:ascii="仿宋_GB2312"/>
        </w:rPr>
      </w:pPr>
      <w:r>
        <w:rPr>
          <w:rFonts w:hint="eastAsia" w:ascii="仿宋_GB2312"/>
        </w:rPr>
        <w:t>4、区市民中心公共区域、区文化馆和室外区域的保洁工作。</w:t>
      </w:r>
    </w:p>
    <w:p>
      <w:pPr>
        <w:ind w:firstLine="0" w:firstLineChars="0"/>
        <w:rPr>
          <w:rFonts w:ascii="仿宋_GB2312"/>
        </w:rPr>
      </w:pPr>
      <w:r>
        <w:rPr>
          <w:rFonts w:hint="eastAsia" w:ascii="仿宋_GB2312"/>
        </w:rPr>
        <w:t>5、负责供电系统、消防监控系统、中央空调系统、门禁系统等配套设施的巡视，维修和保养。负责公共照明、智能化系统的维护及房屋、洁具等报修项目的处理。</w:t>
      </w:r>
    </w:p>
    <w:p>
      <w:pPr>
        <w:ind w:firstLine="0" w:firstLineChars="0"/>
        <w:rPr>
          <w:rFonts w:ascii="仿宋_GB2312"/>
        </w:rPr>
      </w:pPr>
      <w:r>
        <w:rPr>
          <w:rFonts w:hint="eastAsia" w:ascii="仿宋_GB2312"/>
        </w:rPr>
        <w:t>6、负责中央空调、电梯、弱电、消防等主要设备设施的技术支持，协调安装单位进行维保服务。</w:t>
      </w:r>
    </w:p>
    <w:p>
      <w:pPr>
        <w:ind w:firstLine="0" w:firstLineChars="0"/>
        <w:rPr>
          <w:rFonts w:ascii="仿宋_GB2312"/>
        </w:rPr>
      </w:pPr>
      <w:r>
        <w:rPr>
          <w:rFonts w:hint="eastAsia" w:ascii="仿宋_GB2312"/>
        </w:rPr>
        <w:t>7、负责数量较大的公文会议材料、宣传材料的印制。</w:t>
      </w:r>
    </w:p>
    <w:p>
      <w:pPr>
        <w:ind w:firstLine="0" w:firstLineChars="0"/>
        <w:rPr>
          <w:rFonts w:ascii="仿宋_GB2312"/>
        </w:rPr>
      </w:pPr>
      <w:r>
        <w:rPr>
          <w:rFonts w:hint="eastAsia" w:ascii="仿宋_GB2312"/>
        </w:rPr>
        <w:t>8、负责维护，管理和调试音响设备及会议服务。</w:t>
      </w:r>
    </w:p>
    <w:p>
      <w:pPr>
        <w:ind w:firstLine="0" w:firstLineChars="0"/>
        <w:rPr>
          <w:rFonts w:ascii="仿宋_GB2312"/>
        </w:rPr>
      </w:pPr>
      <w:r>
        <w:rPr>
          <w:rFonts w:hint="eastAsia" w:ascii="仿宋_GB2312"/>
        </w:rPr>
        <w:t>9、管理和协调区大型车辆车队的使用，用于满足会务、调研、大型活动的需要。</w:t>
      </w:r>
    </w:p>
    <w:p>
      <w:pPr>
        <w:ind w:firstLine="0" w:firstLineChars="0"/>
        <w:rPr>
          <w:rFonts w:ascii="仿宋_GB2312"/>
        </w:rPr>
      </w:pPr>
      <w:r>
        <w:rPr>
          <w:rFonts w:hint="eastAsia" w:ascii="仿宋_GB2312"/>
        </w:rPr>
        <w:t>10、公务用车平台的建立及管理。</w:t>
      </w:r>
    </w:p>
    <w:p>
      <w:pPr>
        <w:spacing w:beforeLines="50" w:afterLines="50" w:line="440" w:lineRule="exact"/>
        <w:ind w:firstLine="0" w:firstLineChars="0"/>
        <w:rPr>
          <w:rFonts w:ascii="仿宋_GB2312"/>
        </w:rPr>
      </w:pPr>
      <w:r>
        <w:rPr>
          <w:rFonts w:hint="eastAsia" w:ascii="仿宋_GB2312"/>
        </w:rPr>
        <w:t>11、政府对外联络办公室</w:t>
      </w:r>
      <w:r>
        <w:rPr>
          <w:rFonts w:ascii="仿宋_GB2312"/>
        </w:rPr>
        <w:t>制定研究接待工作的规章制度和管理办法并组织实施,做好相关调研组及督导检查组的接待工作</w:t>
      </w:r>
      <w:r>
        <w:rPr>
          <w:rFonts w:hint="eastAsia" w:ascii="仿宋_GB2312"/>
        </w:rPr>
        <w:t>。</w:t>
      </w:r>
    </w:p>
    <w:p>
      <w:pPr>
        <w:ind w:firstLine="0" w:firstLineChars="0"/>
        <w:rPr>
          <w:rFonts w:hint="eastAsia" w:ascii="仿宋_GB2312"/>
        </w:rPr>
      </w:pPr>
      <w:r>
        <w:rPr>
          <w:rFonts w:ascii="仿宋_GB2312"/>
        </w:rPr>
        <w:t>保障机关后勤服务工作及区委,区政府交办的其他事项</w:t>
      </w:r>
      <w:r>
        <w:rPr>
          <w:rFonts w:hint="eastAsia" w:ascii="仿宋_GB2312"/>
        </w:rPr>
        <w:t>。</w:t>
      </w:r>
    </w:p>
    <w:p>
      <w:pPr>
        <w:ind w:firstLine="0" w:firstLineChars="0"/>
        <w:rPr>
          <w:rFonts w:ascii="仿宋_GB2312"/>
        </w:rPr>
      </w:pPr>
      <w:r>
        <w:rPr>
          <w:rFonts w:hint="eastAsia" w:ascii="仿宋_GB2312"/>
        </w:rPr>
        <w:t>12、编制部门费用预算，严格控制部门费用的使用，拟定、落实部门年度工作计划，制定、修订、落实本部门主责范围内各项规章制度与流程。</w:t>
      </w:r>
    </w:p>
    <w:p>
      <w:pPr>
        <w:ind w:firstLine="0" w:firstLineChars="0"/>
        <w:rPr>
          <w:rFonts w:ascii="仿宋_GB2312" w:hAnsi="黑体"/>
          <w:szCs w:val="32"/>
        </w:rPr>
      </w:pPr>
      <w:r>
        <w:rPr>
          <w:rFonts w:hint="eastAsia" w:ascii="仿宋_GB2312"/>
        </w:rPr>
        <w:t>13、承办区政府交办的其他事项。</w:t>
      </w:r>
    </w:p>
    <w:p>
      <w:pPr>
        <w:rPr>
          <w:rFonts w:ascii="仿宋_GB2312" w:hAnsi="黑体"/>
          <w:szCs w:val="32"/>
        </w:rPr>
      </w:pPr>
      <w:r>
        <w:rPr>
          <w:rFonts w:hint="eastAsia" w:ascii="仿宋_GB2312" w:hAnsi="黑体"/>
          <w:szCs w:val="32"/>
        </w:rPr>
        <w:t>二、部门决算单位构成</w:t>
      </w:r>
    </w:p>
    <w:p>
      <w:pPr>
        <w:ind w:firstLine="1273" w:firstLineChars="398"/>
        <w:rPr>
          <w:rFonts w:ascii="仿宋_GB2312" w:hAnsi="黑体"/>
          <w:szCs w:val="32"/>
        </w:rPr>
      </w:pPr>
    </w:p>
    <w:tbl>
      <w:tblPr>
        <w:tblStyle w:val="5"/>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614"/>
        <w:gridCol w:w="2496"/>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ind w:firstLine="0" w:firstLineChars="0"/>
              <w:jc w:val="center"/>
              <w:rPr>
                <w:rFonts w:ascii="仿宋_GB2312" w:hAnsi="黑体"/>
                <w:sz w:val="28"/>
                <w:szCs w:val="28"/>
              </w:rPr>
            </w:pPr>
            <w:r>
              <w:rPr>
                <w:rFonts w:hint="eastAsia" w:ascii="仿宋_GB2312" w:hAnsi="黑体"/>
                <w:sz w:val="28"/>
                <w:szCs w:val="28"/>
              </w:rPr>
              <w:t>单位名称</w:t>
            </w:r>
          </w:p>
        </w:tc>
        <w:tc>
          <w:tcPr>
            <w:tcW w:w="1614" w:type="dxa"/>
          </w:tcPr>
          <w:p>
            <w:pPr>
              <w:ind w:firstLine="0" w:firstLineChars="0"/>
              <w:jc w:val="center"/>
              <w:rPr>
                <w:rFonts w:ascii="仿宋_GB2312" w:hAnsi="黑体"/>
                <w:sz w:val="28"/>
                <w:szCs w:val="28"/>
              </w:rPr>
            </w:pPr>
            <w:r>
              <w:rPr>
                <w:rFonts w:hint="eastAsia" w:ascii="仿宋_GB2312" w:hAnsi="黑体"/>
                <w:sz w:val="28"/>
                <w:szCs w:val="28"/>
              </w:rPr>
              <w:t>单位性质</w:t>
            </w:r>
          </w:p>
        </w:tc>
        <w:tc>
          <w:tcPr>
            <w:tcW w:w="2496" w:type="dxa"/>
          </w:tcPr>
          <w:p>
            <w:pPr>
              <w:ind w:firstLine="0" w:firstLineChars="0"/>
              <w:jc w:val="center"/>
              <w:rPr>
                <w:rFonts w:ascii="仿宋_GB2312" w:hAnsi="黑体"/>
                <w:sz w:val="28"/>
                <w:szCs w:val="28"/>
              </w:rPr>
            </w:pPr>
            <w:r>
              <w:rPr>
                <w:rFonts w:hint="eastAsia" w:ascii="仿宋_GB2312" w:hAnsi="黑体"/>
                <w:sz w:val="28"/>
                <w:szCs w:val="28"/>
              </w:rPr>
              <w:t>单位规格</w:t>
            </w:r>
          </w:p>
        </w:tc>
        <w:tc>
          <w:tcPr>
            <w:tcW w:w="1922" w:type="dxa"/>
          </w:tcPr>
          <w:p>
            <w:pPr>
              <w:ind w:firstLine="0" w:firstLineChars="0"/>
              <w:jc w:val="center"/>
              <w:rPr>
                <w:rFonts w:ascii="仿宋_GB2312" w:hAnsi="黑体"/>
                <w:sz w:val="28"/>
                <w:szCs w:val="28"/>
              </w:rPr>
            </w:pPr>
            <w:r>
              <w:rPr>
                <w:rFonts w:hint="eastAsia" w:ascii="仿宋_GB2312" w:hAnsi="黑体"/>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ind w:firstLine="0" w:firstLineChars="0"/>
              <w:jc w:val="left"/>
              <w:rPr>
                <w:rFonts w:ascii="仿宋_GB2312" w:hAnsi="黑体"/>
                <w:sz w:val="28"/>
                <w:szCs w:val="28"/>
              </w:rPr>
            </w:pPr>
            <w:r>
              <w:rPr>
                <w:rFonts w:hint="eastAsia" w:ascii="仿宋_GB2312" w:hAnsi="黑体"/>
                <w:sz w:val="28"/>
                <w:szCs w:val="28"/>
              </w:rPr>
              <w:t>秦皇岛市海港区机关事务管理局</w:t>
            </w:r>
          </w:p>
        </w:tc>
        <w:tc>
          <w:tcPr>
            <w:tcW w:w="1614" w:type="dxa"/>
          </w:tcPr>
          <w:p>
            <w:pPr>
              <w:ind w:firstLine="0" w:firstLineChars="0"/>
              <w:jc w:val="center"/>
              <w:rPr>
                <w:rFonts w:hint="eastAsia" w:ascii="仿宋_GB2312" w:hAnsi="黑体" w:eastAsia="仿宋_GB2312"/>
                <w:sz w:val="28"/>
                <w:szCs w:val="28"/>
                <w:lang w:eastAsia="zh-CN"/>
              </w:rPr>
            </w:pPr>
            <w:r>
              <w:rPr>
                <w:rFonts w:hint="eastAsia" w:ascii="仿宋_GB2312" w:hAnsi="黑体"/>
                <w:sz w:val="28"/>
                <w:szCs w:val="28"/>
              </w:rPr>
              <w:t xml:space="preserve"> 事业</w:t>
            </w:r>
            <w:r>
              <w:rPr>
                <w:rFonts w:hint="eastAsia" w:ascii="仿宋_GB2312" w:hAnsi="黑体"/>
                <w:sz w:val="28"/>
                <w:szCs w:val="28"/>
                <w:lang w:eastAsia="zh-CN"/>
              </w:rPr>
              <w:t>单位</w:t>
            </w:r>
          </w:p>
        </w:tc>
        <w:tc>
          <w:tcPr>
            <w:tcW w:w="2496" w:type="dxa"/>
          </w:tcPr>
          <w:p>
            <w:pPr>
              <w:ind w:firstLine="0" w:firstLineChars="0"/>
              <w:jc w:val="center"/>
              <w:rPr>
                <w:rFonts w:ascii="仿宋_GB2312" w:hAnsi="黑体"/>
                <w:sz w:val="28"/>
                <w:szCs w:val="28"/>
              </w:rPr>
            </w:pPr>
            <w:r>
              <w:rPr>
                <w:rFonts w:hint="eastAsia" w:ascii="仿宋_GB2312" w:hAnsi="黑体"/>
                <w:sz w:val="28"/>
                <w:szCs w:val="28"/>
              </w:rPr>
              <w:t>正科级</w:t>
            </w:r>
          </w:p>
        </w:tc>
        <w:tc>
          <w:tcPr>
            <w:tcW w:w="1922" w:type="dxa"/>
          </w:tcPr>
          <w:p>
            <w:pPr>
              <w:ind w:firstLine="0" w:firstLineChars="0"/>
              <w:jc w:val="center"/>
              <w:rPr>
                <w:rFonts w:ascii="仿宋_GB2312" w:hAnsi="黑体"/>
                <w:sz w:val="28"/>
                <w:szCs w:val="28"/>
              </w:rPr>
            </w:pPr>
            <w:r>
              <w:rPr>
                <w:rFonts w:hint="eastAsia" w:ascii="仿宋_GB2312" w:hAnsi="黑体"/>
                <w:sz w:val="28"/>
                <w:szCs w:val="28"/>
              </w:rPr>
              <w:t>财政全额拨款</w:t>
            </w:r>
          </w:p>
        </w:tc>
      </w:tr>
    </w:tbl>
    <w:p>
      <w:pPr>
        <w:ind w:firstLine="1273" w:firstLineChars="398"/>
        <w:rPr>
          <w:rFonts w:ascii="仿宋_GB2312" w:hAnsi="黑体"/>
          <w:szCs w:val="32"/>
        </w:rPr>
      </w:pPr>
    </w:p>
    <w:bookmarkEnd w:id="8"/>
    <w:p>
      <w:pPr>
        <w:widowControl/>
        <w:spacing w:line="240" w:lineRule="auto"/>
        <w:ind w:firstLine="0" w:firstLineChars="0"/>
        <w:jc w:val="left"/>
        <w:rPr>
          <w:rFonts w:ascii="黑体" w:hAnsi="黑体" w:eastAsia="黑体"/>
          <w:szCs w:val="32"/>
        </w:rPr>
      </w:pPr>
      <w:r>
        <w:rPr>
          <w:rFonts w:ascii="黑体" w:hAnsi="黑体" w:eastAsia="黑体"/>
          <w:szCs w:val="32"/>
        </w:rPr>
        <w:br w:type="page"/>
      </w:r>
      <w:r>
        <w:rPr>
          <w:rFonts w:ascii="黑体" w:hAnsi="黑体" w:eastAsia="黑体"/>
          <w:szCs w:val="32"/>
        </w:rPr>
        <w:t xml:space="preserve"> </w:t>
      </w:r>
    </w:p>
    <w:p>
      <w:pPr>
        <w:spacing w:line="240" w:lineRule="auto"/>
        <w:ind w:firstLine="0" w:firstLineChars="0"/>
        <w:jc w:val="center"/>
        <w:rPr>
          <w:rFonts w:ascii="黑体" w:hAnsi="黑体" w:eastAsia="黑体"/>
          <w:sz w:val="72"/>
          <w:szCs w:val="72"/>
        </w:rPr>
      </w:pPr>
      <w:bookmarkStart w:id="9" w:name="OLE_LINK12"/>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第二部分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海港区机关事务管理局部门201</w:t>
      </w:r>
      <w:r>
        <w:rPr>
          <w:rFonts w:ascii="黑体" w:hAnsi="黑体" w:eastAsia="黑体"/>
          <w:sz w:val="72"/>
          <w:szCs w:val="72"/>
        </w:rPr>
        <w:t>7</w:t>
      </w:r>
      <w:r>
        <w:rPr>
          <w:rFonts w:hint="eastAsia" w:ascii="黑体" w:hAnsi="黑体" w:eastAsia="黑体"/>
          <w:sz w:val="72"/>
          <w:szCs w:val="72"/>
        </w:rPr>
        <w:t>年度部门</w:t>
      </w:r>
    </w:p>
    <w:p>
      <w:pPr>
        <w:spacing w:line="240" w:lineRule="auto"/>
        <w:ind w:firstLine="0" w:firstLineChars="0"/>
        <w:jc w:val="center"/>
        <w:rPr>
          <w:rFonts w:ascii="仿宋_GB2312" w:hAnsi="黑体"/>
          <w:sz w:val="72"/>
          <w:szCs w:val="72"/>
        </w:rPr>
      </w:pPr>
      <w:r>
        <w:rPr>
          <w:rFonts w:hint="eastAsia" w:ascii="黑体" w:hAnsi="黑体" w:eastAsia="黑体"/>
          <w:sz w:val="72"/>
          <w:szCs w:val="72"/>
        </w:rPr>
        <w:t>决算报表</w:t>
      </w:r>
    </w:p>
    <w:bookmarkEnd w:id="9"/>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r>
        <w:rPr>
          <w:rFonts w:hint="eastAsia" w:ascii="黑体" w:hAnsi="黑体" w:eastAsia="黑体"/>
          <w:szCs w:val="32"/>
        </w:rPr>
        <w:t>　　　　</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仿宋_GB2312"/>
          <w:szCs w:val="32"/>
        </w:rPr>
      </w:pPr>
      <w:r>
        <w:rPr>
          <w:rFonts w:hint="eastAsia" w:ascii="仿宋_GB2312"/>
          <w:szCs w:val="32"/>
        </w:rPr>
        <w:t>　　　　一、收入支出决算总表</w:t>
      </w:r>
    </w:p>
    <w:p>
      <w:pPr>
        <w:ind w:left="640" w:firstLine="640"/>
        <w:rPr>
          <w:rFonts w:ascii="仿宋_GB2312"/>
          <w:szCs w:val="32"/>
        </w:rPr>
      </w:pPr>
      <w:r>
        <w:rPr>
          <w:rFonts w:hint="eastAsia" w:ascii="仿宋_GB2312"/>
          <w:szCs w:val="32"/>
        </w:rPr>
        <w:t>二、收入决算表</w:t>
      </w:r>
    </w:p>
    <w:p>
      <w:pPr>
        <w:ind w:left="640" w:firstLine="640"/>
        <w:rPr>
          <w:rFonts w:ascii="仿宋_GB2312"/>
          <w:szCs w:val="32"/>
        </w:rPr>
      </w:pPr>
      <w:r>
        <w:rPr>
          <w:rFonts w:hint="eastAsia" w:ascii="仿宋_GB2312"/>
          <w:szCs w:val="32"/>
        </w:rPr>
        <w:t>三、支出决算表</w:t>
      </w:r>
    </w:p>
    <w:p>
      <w:pPr>
        <w:ind w:left="640" w:firstLine="640"/>
        <w:rPr>
          <w:rFonts w:ascii="仿宋_GB2312"/>
          <w:szCs w:val="32"/>
        </w:rPr>
      </w:pPr>
      <w:r>
        <w:rPr>
          <w:rFonts w:hint="eastAsia" w:ascii="仿宋_GB2312"/>
          <w:szCs w:val="32"/>
        </w:rPr>
        <w:t>四、财政拨款收入支出决算总表</w:t>
      </w:r>
    </w:p>
    <w:p>
      <w:pPr>
        <w:ind w:left="640" w:firstLine="640"/>
        <w:rPr>
          <w:rFonts w:ascii="仿宋_GB2312"/>
          <w:szCs w:val="32"/>
        </w:rPr>
      </w:pPr>
      <w:r>
        <w:rPr>
          <w:rFonts w:hint="eastAsia" w:ascii="仿宋_GB2312"/>
          <w:szCs w:val="32"/>
        </w:rPr>
        <w:t>五、一般公共预算财政拨款收入支出决算表</w:t>
      </w:r>
    </w:p>
    <w:p>
      <w:pPr>
        <w:ind w:left="640" w:firstLine="640"/>
        <w:rPr>
          <w:rFonts w:ascii="仿宋_GB2312"/>
          <w:szCs w:val="32"/>
        </w:rPr>
      </w:pPr>
      <w:r>
        <w:rPr>
          <w:rFonts w:hint="eastAsia" w:ascii="仿宋_GB2312"/>
          <w:szCs w:val="32"/>
        </w:rPr>
        <w:t>六、一般公共预算财政拨款基本支出决算表</w:t>
      </w:r>
    </w:p>
    <w:p>
      <w:pPr>
        <w:ind w:left="640" w:firstLine="640"/>
        <w:rPr>
          <w:rFonts w:ascii="仿宋_GB2312"/>
          <w:szCs w:val="32"/>
        </w:rPr>
      </w:pPr>
      <w:r>
        <w:rPr>
          <w:rFonts w:hint="eastAsia" w:ascii="仿宋_GB2312"/>
          <w:szCs w:val="32"/>
        </w:rPr>
        <w:t>七、政府性基金预算财政拨款收入支出决算表</w:t>
      </w:r>
    </w:p>
    <w:p>
      <w:pPr>
        <w:ind w:left="640" w:firstLine="640"/>
        <w:rPr>
          <w:rFonts w:ascii="仿宋_GB2312"/>
          <w:szCs w:val="32"/>
        </w:rPr>
      </w:pPr>
      <w:r>
        <w:rPr>
          <w:rFonts w:hint="eastAsia" w:ascii="仿宋_GB2312"/>
          <w:szCs w:val="32"/>
        </w:rPr>
        <w:t>八、国有资本经营预算财政拨款支出决算表</w:t>
      </w:r>
    </w:p>
    <w:p>
      <w:pPr>
        <w:ind w:left="640" w:firstLine="640"/>
        <w:rPr>
          <w:rFonts w:ascii="仿宋_GB2312"/>
          <w:szCs w:val="32"/>
        </w:rPr>
      </w:pPr>
      <w:r>
        <w:rPr>
          <w:rFonts w:hint="eastAsia" w:ascii="仿宋_GB2312"/>
          <w:szCs w:val="32"/>
        </w:rPr>
        <w:t>九、“三公”经费及相关信息统计表</w:t>
      </w:r>
    </w:p>
    <w:p>
      <w:pPr>
        <w:ind w:left="640" w:firstLine="640"/>
        <w:rPr>
          <w:rFonts w:ascii="仿宋_GB2312"/>
          <w:szCs w:val="32"/>
        </w:rPr>
      </w:pPr>
      <w:r>
        <w:rPr>
          <w:rFonts w:hint="eastAsia" w:ascii="仿宋_GB2312"/>
          <w:szCs w:val="32"/>
        </w:rPr>
        <w:t>十、政府采购情况表</w:t>
      </w:r>
    </w:p>
    <w:p>
      <w:pPr>
        <w:widowControl/>
        <w:spacing w:line="240" w:lineRule="auto"/>
        <w:ind w:firstLine="0" w:firstLineChars="0"/>
        <w:jc w:val="left"/>
        <w:rPr>
          <w:rFonts w:ascii="黑体" w:hAnsi="黑体" w:eastAsia="黑体"/>
          <w:szCs w:val="32"/>
        </w:rPr>
      </w:pPr>
    </w:p>
    <w:p>
      <w:pPr>
        <w:widowControl/>
        <w:spacing w:line="240" w:lineRule="auto"/>
        <w:ind w:firstLine="0" w:firstLineChars="0"/>
        <w:jc w:val="left"/>
        <w:rPr>
          <w:rFonts w:ascii="黑体" w:hAnsi="黑体" w:eastAsia="黑体"/>
          <w:szCs w:val="32"/>
        </w:rPr>
      </w:pPr>
    </w:p>
    <w:p>
      <w:pPr>
        <w:ind w:firstLine="0" w:firstLineChars="0"/>
        <w:rPr>
          <w:rFonts w:ascii="仿宋_GB2312"/>
          <w:szCs w:val="32"/>
        </w:rPr>
      </w:pPr>
      <w:r>
        <w:rPr>
          <w:rFonts w:hint="eastAsia" w:ascii="仿宋_GB2312"/>
          <w:szCs w:val="32"/>
        </w:rPr>
        <w:t>　　　　</w:t>
      </w: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仿宋_GB2312"/>
          <w:szCs w:val="32"/>
        </w:rPr>
      </w:pPr>
    </w:p>
    <w:p>
      <w:pPr>
        <w:ind w:firstLine="0" w:firstLineChars="0"/>
        <w:rPr>
          <w:rFonts w:ascii="黑体" w:hAnsi="黑体" w:eastAsia="黑体"/>
          <w:szCs w:val="32"/>
        </w:rPr>
      </w:pPr>
      <w:r>
        <w:rPr>
          <w:rFonts w:hint="eastAsia" w:ascii="仿宋_GB2312"/>
          <w:szCs w:val="32"/>
        </w:rPr>
        <w:t>附件一：部门决算报表</w:t>
      </w:r>
    </w:p>
    <w:p>
      <w:pPr>
        <w:widowControl/>
        <w:spacing w:line="240" w:lineRule="auto"/>
        <w:ind w:firstLine="0" w:firstLineChars="0"/>
        <w:jc w:val="left"/>
        <w:rPr>
          <w:rFonts w:ascii="黑体" w:hAnsi="黑体" w:eastAsia="黑体"/>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985" w:left="1531" w:header="851" w:footer="992" w:gutter="0"/>
          <w:cols w:space="425" w:num="1"/>
          <w:docGrid w:type="lines" w:linePitch="312" w:charSpace="0"/>
        </w:sect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第三部分</w:t>
      </w:r>
    </w:p>
    <w:p>
      <w:pPr>
        <w:spacing w:line="240" w:lineRule="auto"/>
        <w:ind w:firstLine="0" w:firstLineChars="0"/>
        <w:jc w:val="center"/>
        <w:rPr>
          <w:rFonts w:ascii="黑体" w:hAnsi="黑体" w:eastAsia="黑体"/>
          <w:sz w:val="72"/>
          <w:szCs w:val="72"/>
        </w:rPr>
      </w:pP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 xml:space="preserve">  海港区机关事务管理局部门201</w:t>
      </w:r>
      <w:r>
        <w:rPr>
          <w:rFonts w:ascii="黑体" w:hAnsi="黑体" w:eastAsia="黑体"/>
          <w:sz w:val="72"/>
          <w:szCs w:val="72"/>
        </w:rPr>
        <w:t>7</w:t>
      </w:r>
      <w:r>
        <w:rPr>
          <w:rFonts w:hint="eastAsia" w:ascii="黑体" w:hAnsi="黑体" w:eastAsia="黑体"/>
          <w:sz w:val="72"/>
          <w:szCs w:val="72"/>
        </w:rPr>
        <w:t>年部门决算</w:t>
      </w:r>
    </w:p>
    <w:p>
      <w:pPr>
        <w:spacing w:line="240" w:lineRule="auto"/>
        <w:ind w:firstLine="0" w:firstLineChars="0"/>
        <w:jc w:val="center"/>
        <w:rPr>
          <w:rFonts w:ascii="黑体" w:hAnsi="黑体" w:eastAsia="黑体"/>
          <w:sz w:val="72"/>
          <w:szCs w:val="72"/>
        </w:rPr>
      </w:pPr>
      <w:r>
        <w:rPr>
          <w:rFonts w:hint="eastAsia" w:ascii="黑体" w:hAnsi="黑体" w:eastAsia="黑体"/>
          <w:sz w:val="72"/>
          <w:szCs w:val="72"/>
        </w:rPr>
        <w:t>情况说明</w:t>
      </w:r>
    </w:p>
    <w:p>
      <w:pPr>
        <w:widowControl/>
        <w:spacing w:line="240" w:lineRule="auto"/>
        <w:ind w:firstLine="0" w:firstLineChars="0"/>
        <w:jc w:val="left"/>
        <w:rPr>
          <w:rFonts w:ascii="楷体" w:hAnsi="楷体" w:eastAsia="楷体"/>
          <w:b/>
          <w:szCs w:val="32"/>
        </w:rPr>
      </w:pPr>
      <w:r>
        <w:rPr>
          <w:rFonts w:ascii="楷体" w:hAnsi="楷体" w:eastAsia="楷体"/>
          <w:b/>
          <w:szCs w:val="32"/>
        </w:rPr>
        <w:br w:type="page"/>
      </w:r>
    </w:p>
    <w:p>
      <w:pPr>
        <w:ind w:firstLine="643"/>
        <w:rPr>
          <w:rFonts w:ascii="楷体" w:hAnsi="楷体" w:eastAsia="楷体"/>
          <w:b/>
          <w:szCs w:val="32"/>
        </w:rPr>
      </w:pPr>
      <w:r>
        <w:rPr>
          <w:rFonts w:hint="eastAsia" w:ascii="楷体" w:hAnsi="楷体" w:eastAsia="楷体"/>
          <w:b/>
          <w:szCs w:val="32"/>
        </w:rPr>
        <w:t>一、收入支出决算总体情况说明</w:t>
      </w:r>
      <w:bookmarkStart w:id="10" w:name="OLE_LINK1"/>
      <w:bookmarkStart w:id="11" w:name="OLE_LINK2"/>
    </w:p>
    <w:p>
      <w:pPr>
        <w:ind w:firstLine="640"/>
        <w:rPr>
          <w:rFonts w:ascii="宋体" w:hAnsi="宋体" w:eastAsia="宋体" w:cs="Arial"/>
          <w:b/>
          <w:bCs/>
          <w:color w:val="000000"/>
          <w:kern w:val="0"/>
          <w:sz w:val="22"/>
        </w:rPr>
      </w:pPr>
      <w:bookmarkStart w:id="12" w:name="OLE_LINK23"/>
      <w:r>
        <w:rPr>
          <w:rFonts w:hint="eastAsia" w:ascii="仿宋_GB2312"/>
          <w:szCs w:val="32"/>
        </w:rPr>
        <w:t>2017年度决算收入合计1814.23 万元，决算支出合计1724.25万元，</w:t>
      </w:r>
      <w:bookmarkStart w:id="13" w:name="OLE_LINK37"/>
      <w:r>
        <w:rPr>
          <w:rFonts w:hint="eastAsia" w:ascii="仿宋_GB2312"/>
          <w:szCs w:val="32"/>
        </w:rPr>
        <w:t>年初结转和结余66.35万元，年末结转和结余156.34万元</w:t>
      </w:r>
      <w:bookmarkEnd w:id="13"/>
      <w:r>
        <w:rPr>
          <w:rFonts w:hint="eastAsia" w:ascii="仿宋_GB2312"/>
          <w:szCs w:val="32"/>
        </w:rPr>
        <w:t>。</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年度收入与年初预算对比减少448.37万元，原因是:财政缩减开支.与2</w:t>
      </w:r>
      <w:r>
        <w:rPr>
          <w:rFonts w:ascii="仿宋_GB2312"/>
          <w:szCs w:val="32"/>
        </w:rPr>
        <w:t>016</w:t>
      </w:r>
      <w:r>
        <w:rPr>
          <w:rFonts w:hint="eastAsia" w:ascii="仿宋_GB2312"/>
          <w:szCs w:val="32"/>
        </w:rPr>
        <w:t>年度收入相比，减少84.38万元，原因是：部分收入缩减财政开支。</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年度支出与年初预算对比减少538.36万元，原因是：减少部分支出；与2</w:t>
      </w:r>
      <w:r>
        <w:rPr>
          <w:rFonts w:ascii="仿宋_GB2312"/>
          <w:szCs w:val="32"/>
        </w:rPr>
        <w:t>016</w:t>
      </w:r>
      <w:r>
        <w:rPr>
          <w:rFonts w:hint="eastAsia" w:ascii="仿宋_GB2312"/>
          <w:szCs w:val="32"/>
        </w:rPr>
        <w:t>年度支出相比，增加328.72万元，原因是日常公用及人员经费支出因业务需要增长。</w:t>
      </w:r>
    </w:p>
    <w:bookmarkEnd w:id="10"/>
    <w:bookmarkEnd w:id="11"/>
    <w:bookmarkEnd w:id="12"/>
    <w:p>
      <w:pPr>
        <w:ind w:firstLine="643"/>
        <w:rPr>
          <w:rFonts w:ascii="楷体" w:hAnsi="楷体" w:eastAsia="楷体"/>
          <w:b/>
          <w:szCs w:val="32"/>
        </w:rPr>
      </w:pPr>
      <w:bookmarkStart w:id="14" w:name="OLE_LINK4"/>
      <w:bookmarkStart w:id="15" w:name="OLE_LINK3"/>
      <w:r>
        <w:rPr>
          <w:rFonts w:ascii="楷体" w:hAnsi="楷体" w:eastAsia="楷体"/>
          <w:b/>
          <w:szCs w:val="32"/>
        </w:rPr>
        <w:t>二、收入决算情况说明</w:t>
      </w:r>
    </w:p>
    <w:p>
      <w:pPr>
        <w:widowControl/>
        <w:spacing w:line="580" w:lineRule="exact"/>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 xml:space="preserve">年度收入合计 </w:t>
      </w:r>
      <w:r>
        <w:rPr>
          <w:rFonts w:hint="eastAsia" w:ascii="仿宋_GB2312"/>
          <w:szCs w:val="32"/>
        </w:rPr>
        <w:t>1814.23</w:t>
      </w:r>
      <w:r>
        <w:rPr>
          <w:rFonts w:hint="eastAsia" w:ascii="仿宋" w:hAnsi="仿宋" w:eastAsia="仿宋"/>
          <w:szCs w:val="32"/>
        </w:rPr>
        <w:t>万元，其中：财政拨款收入</w:t>
      </w:r>
      <w:r>
        <w:rPr>
          <w:rFonts w:hint="eastAsia" w:ascii="仿宋_GB2312"/>
          <w:szCs w:val="32"/>
        </w:rPr>
        <w:t>1814.23</w:t>
      </w:r>
      <w:r>
        <w:rPr>
          <w:rFonts w:hint="eastAsia" w:ascii="仿宋" w:hAnsi="仿宋" w:eastAsia="仿宋"/>
          <w:szCs w:val="32"/>
        </w:rPr>
        <w:t>万元，占总收入 100</w:t>
      </w:r>
      <w:r>
        <w:rPr>
          <w:rFonts w:ascii="仿宋" w:hAnsi="仿宋" w:eastAsia="仿宋"/>
          <w:szCs w:val="32"/>
        </w:rPr>
        <w:t>%</w:t>
      </w:r>
      <w:r>
        <w:rPr>
          <w:rFonts w:hint="eastAsia" w:ascii="仿宋" w:hAnsi="仿宋" w:eastAsia="仿宋"/>
          <w:szCs w:val="32"/>
        </w:rPr>
        <w:t>。</w:t>
      </w:r>
    </w:p>
    <w:p>
      <w:pPr>
        <w:widowControl/>
        <w:spacing w:line="580" w:lineRule="exact"/>
        <w:ind w:firstLine="643"/>
        <w:rPr>
          <w:rFonts w:ascii="楷体" w:hAnsi="楷体" w:eastAsia="楷体"/>
          <w:b/>
          <w:szCs w:val="32"/>
        </w:rPr>
      </w:pPr>
      <w:r>
        <w:rPr>
          <w:rFonts w:ascii="楷体" w:hAnsi="楷体" w:eastAsia="楷体"/>
          <w:b/>
          <w:szCs w:val="32"/>
        </w:rPr>
        <w:t>三、支出决算情况说明</w:t>
      </w:r>
    </w:p>
    <w:p>
      <w:pPr>
        <w:ind w:firstLine="640"/>
        <w:rPr>
          <w:rFonts w:ascii="仿宋" w:hAnsi="仿宋" w:eastAsia="仿宋"/>
          <w:szCs w:val="32"/>
        </w:rPr>
      </w:pPr>
      <w:r>
        <w:rPr>
          <w:rFonts w:hint="eastAsia" w:ascii="仿宋" w:hAnsi="仿宋" w:eastAsia="仿宋"/>
          <w:szCs w:val="32"/>
        </w:rPr>
        <w:t>2</w:t>
      </w:r>
      <w:r>
        <w:rPr>
          <w:rFonts w:ascii="仿宋" w:hAnsi="仿宋" w:eastAsia="仿宋"/>
          <w:szCs w:val="32"/>
        </w:rPr>
        <w:t>017</w:t>
      </w:r>
      <w:r>
        <w:rPr>
          <w:rFonts w:hint="eastAsia" w:ascii="仿宋" w:hAnsi="仿宋" w:eastAsia="仿宋"/>
          <w:szCs w:val="32"/>
        </w:rPr>
        <w:t>年度支出合计</w:t>
      </w:r>
      <w:r>
        <w:rPr>
          <w:rFonts w:hint="eastAsia" w:ascii="仿宋_GB2312"/>
          <w:szCs w:val="32"/>
        </w:rPr>
        <w:t>1724.25</w:t>
      </w:r>
      <w:r>
        <w:rPr>
          <w:rFonts w:hint="eastAsia" w:ascii="仿宋" w:hAnsi="仿宋" w:eastAsia="仿宋"/>
          <w:szCs w:val="32"/>
        </w:rPr>
        <w:t>万元，其中：</w:t>
      </w:r>
      <w:bookmarkStart w:id="16" w:name="OLE_LINK35"/>
      <w:r>
        <w:rPr>
          <w:rFonts w:hint="eastAsia" w:ascii="仿宋" w:hAnsi="仿宋" w:eastAsia="仿宋"/>
          <w:szCs w:val="32"/>
        </w:rPr>
        <w:t xml:space="preserve">基本支出 </w:t>
      </w:r>
      <w:r>
        <w:rPr>
          <w:rFonts w:hint="eastAsia" w:ascii="仿宋_GB2312"/>
          <w:szCs w:val="32"/>
        </w:rPr>
        <w:t>1724.25</w:t>
      </w:r>
      <w:r>
        <w:rPr>
          <w:rFonts w:hint="eastAsia" w:ascii="仿宋" w:hAnsi="仿宋" w:eastAsia="仿宋"/>
          <w:szCs w:val="32"/>
        </w:rPr>
        <w:t>万元，占总支出 100%</w:t>
      </w:r>
      <w:bookmarkEnd w:id="16"/>
      <w:r>
        <w:rPr>
          <w:rFonts w:hint="eastAsia" w:ascii="仿宋" w:hAnsi="仿宋" w:eastAsia="仿宋"/>
          <w:szCs w:val="32"/>
        </w:rPr>
        <w:t>。</w:t>
      </w:r>
    </w:p>
    <w:p>
      <w:pPr>
        <w:widowControl/>
        <w:spacing w:line="580" w:lineRule="exact"/>
        <w:ind w:firstLine="643"/>
        <w:rPr>
          <w:rFonts w:ascii="楷体" w:hAnsi="楷体" w:eastAsia="楷体"/>
          <w:b/>
          <w:szCs w:val="32"/>
        </w:rPr>
      </w:pPr>
      <w:r>
        <w:rPr>
          <w:rFonts w:hint="eastAsia" w:ascii="楷体" w:hAnsi="楷体" w:eastAsia="楷体"/>
          <w:b/>
          <w:szCs w:val="32"/>
        </w:rPr>
        <w:t>四、财政拨款</w:t>
      </w:r>
      <w:bookmarkEnd w:id="14"/>
      <w:bookmarkEnd w:id="15"/>
      <w:r>
        <w:rPr>
          <w:rFonts w:hint="eastAsia" w:ascii="楷体" w:hAnsi="楷体" w:eastAsia="楷体"/>
          <w:b/>
          <w:szCs w:val="32"/>
        </w:rPr>
        <w:t>收入支出决算总体情况说明</w:t>
      </w:r>
    </w:p>
    <w:p>
      <w:pPr>
        <w:ind w:firstLine="640"/>
        <w:rPr>
          <w:rFonts w:ascii="仿宋_GB2312"/>
          <w:szCs w:val="32"/>
        </w:rPr>
      </w:pPr>
      <w:bookmarkStart w:id="17" w:name="OLE_LINK29"/>
      <w:r>
        <w:rPr>
          <w:rFonts w:hint="eastAsia" w:ascii="仿宋_GB2312"/>
          <w:szCs w:val="32"/>
        </w:rPr>
        <w:t>2017年度财政拨款收入决算合计1814.23万元，财政拨款支出决算合计1814.23万元，年初结转和结余66.35万元，年末结转和结余156.34万元。</w:t>
      </w:r>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年度财政拨款收入与年初预算对比减少448.37万元，原因是：财政缩减开支；与2</w:t>
      </w:r>
      <w:r>
        <w:rPr>
          <w:rFonts w:ascii="仿宋_GB2312"/>
          <w:szCs w:val="32"/>
        </w:rPr>
        <w:t>016</w:t>
      </w:r>
      <w:r>
        <w:rPr>
          <w:rFonts w:hint="eastAsia" w:ascii="仿宋_GB2312"/>
          <w:szCs w:val="32"/>
        </w:rPr>
        <w:t>年度相比，减少84.38万元，原因是：部分收入缩减财政开支。</w:t>
      </w:r>
      <w:bookmarkEnd w:id="17"/>
    </w:p>
    <w:p>
      <w:pPr>
        <w:ind w:firstLine="640"/>
        <w:rPr>
          <w:rFonts w:ascii="仿宋_GB2312"/>
          <w:szCs w:val="32"/>
        </w:rPr>
      </w:pPr>
      <w:r>
        <w:rPr>
          <w:rFonts w:hint="eastAsia" w:ascii="仿宋_GB2312"/>
          <w:szCs w:val="32"/>
        </w:rPr>
        <w:t>2</w:t>
      </w:r>
      <w:r>
        <w:rPr>
          <w:rFonts w:ascii="仿宋_GB2312"/>
          <w:szCs w:val="32"/>
        </w:rPr>
        <w:t>017</w:t>
      </w:r>
      <w:r>
        <w:rPr>
          <w:rFonts w:hint="eastAsia" w:ascii="仿宋_GB2312"/>
          <w:szCs w:val="32"/>
        </w:rPr>
        <w:t>年度财政拨款支出与年初预算对比减少538.36万元，原因是：减少部分支出；与2</w:t>
      </w:r>
      <w:r>
        <w:rPr>
          <w:rFonts w:ascii="仿宋_GB2312"/>
          <w:szCs w:val="32"/>
        </w:rPr>
        <w:t>016</w:t>
      </w:r>
      <w:r>
        <w:rPr>
          <w:rFonts w:hint="eastAsia" w:ascii="仿宋_GB2312"/>
          <w:szCs w:val="32"/>
        </w:rPr>
        <w:t>年度支出相比，增加328.72万元，原因是：日常公用及人员经费支出因业务需要增长。。</w:t>
      </w:r>
    </w:p>
    <w:p>
      <w:pPr>
        <w:ind w:firstLine="643"/>
        <w:rPr>
          <w:rFonts w:ascii="楷体" w:hAnsi="楷体" w:eastAsia="楷体"/>
          <w:b/>
          <w:szCs w:val="32"/>
        </w:rPr>
      </w:pPr>
      <w:r>
        <w:rPr>
          <w:rFonts w:hint="eastAsia" w:ascii="楷体" w:hAnsi="楷体" w:eastAsia="楷体"/>
          <w:b/>
          <w:szCs w:val="32"/>
        </w:rPr>
        <w:t>五、一般公共预算财政拨款“三公”经费支出决算情况说明。</w:t>
      </w:r>
    </w:p>
    <w:tbl>
      <w:tblPr>
        <w:tblStyle w:val="5"/>
        <w:tblpPr w:leftFromText="180" w:rightFromText="180" w:vertAnchor="text" w:horzAnchor="margin" w:tblpXSpec="center" w:tblpY="38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ind w:firstLine="0" w:firstLineChars="0"/>
              <w:jc w:val="center"/>
              <w:rPr>
                <w:rFonts w:hint="eastAsia" w:ascii="仿宋_GB2312" w:eastAsia="仿宋_GB2312"/>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4"/>
                <w:szCs w:val="24"/>
              </w:rPr>
            </w:pPr>
            <w:r>
              <w:rPr>
                <w:rFonts w:hint="eastAsia" w:ascii="仿宋_GB2312"/>
                <w:sz w:val="24"/>
                <w:szCs w:val="24"/>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52.05</w:t>
            </w:r>
          </w:p>
        </w:tc>
        <w:tc>
          <w:tcPr>
            <w:tcW w:w="1446" w:type="dxa"/>
          </w:tcPr>
          <w:p>
            <w:pPr>
              <w:ind w:firstLine="0" w:firstLineChars="0"/>
              <w:jc w:val="center"/>
              <w:rPr>
                <w:rFonts w:ascii="仿宋_GB2312"/>
                <w:sz w:val="24"/>
                <w:szCs w:val="24"/>
              </w:rPr>
            </w:pPr>
            <w:r>
              <w:rPr>
                <w:rFonts w:hint="eastAsia" w:ascii="仿宋_GB2312"/>
                <w:sz w:val="24"/>
                <w:szCs w:val="24"/>
              </w:rPr>
              <w:t>26.02</w:t>
            </w:r>
          </w:p>
        </w:tc>
        <w:tc>
          <w:tcPr>
            <w:tcW w:w="1446" w:type="dxa"/>
          </w:tcPr>
          <w:p>
            <w:pPr>
              <w:ind w:firstLine="0" w:firstLineChars="0"/>
              <w:jc w:val="center"/>
              <w:rPr>
                <w:rFonts w:ascii="仿宋_GB2312"/>
                <w:sz w:val="24"/>
                <w:szCs w:val="24"/>
              </w:rPr>
            </w:pPr>
            <w:r>
              <w:rPr>
                <w:rFonts w:hint="eastAsia" w:ascii="仿宋_GB2312"/>
                <w:sz w:val="24"/>
                <w:szCs w:val="24"/>
              </w:rPr>
              <w:t>8.49</w:t>
            </w:r>
          </w:p>
        </w:tc>
        <w:tc>
          <w:tcPr>
            <w:tcW w:w="1474" w:type="dxa"/>
          </w:tcPr>
          <w:p>
            <w:pPr>
              <w:ind w:firstLine="0" w:firstLineChars="0"/>
              <w:jc w:val="center"/>
              <w:rPr>
                <w:rFonts w:ascii="仿宋_GB2312"/>
                <w:sz w:val="24"/>
                <w:szCs w:val="24"/>
              </w:rPr>
            </w:pPr>
            <w:r>
              <w:rPr>
                <w:rFonts w:hint="eastAsia" w:ascii="仿宋_GB2312"/>
                <w:sz w:val="24"/>
                <w:szCs w:val="24"/>
              </w:rPr>
              <w:t>26.03</w:t>
            </w:r>
          </w:p>
        </w:tc>
        <w:tc>
          <w:tcPr>
            <w:tcW w:w="1417" w:type="dxa"/>
          </w:tcPr>
          <w:p>
            <w:pPr>
              <w:ind w:firstLine="0" w:firstLineChars="0"/>
              <w:jc w:val="center"/>
              <w:rPr>
                <w:rFonts w:ascii="仿宋_GB2312"/>
                <w:sz w:val="24"/>
                <w:szCs w:val="24"/>
              </w:rPr>
            </w:pPr>
            <w:r>
              <w:rPr>
                <w:rFonts w:hint="eastAsia" w:ascii="仿宋_GB2312"/>
                <w:sz w:val="24"/>
                <w:szCs w:val="24"/>
              </w:rPr>
              <w:t>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52.05</w:t>
            </w:r>
          </w:p>
        </w:tc>
        <w:tc>
          <w:tcPr>
            <w:tcW w:w="1446" w:type="dxa"/>
          </w:tcPr>
          <w:p>
            <w:pPr>
              <w:ind w:firstLine="0" w:firstLineChars="0"/>
              <w:jc w:val="center"/>
              <w:rPr>
                <w:rFonts w:ascii="仿宋_GB2312"/>
                <w:sz w:val="24"/>
                <w:szCs w:val="24"/>
              </w:rPr>
            </w:pPr>
            <w:r>
              <w:rPr>
                <w:rFonts w:hint="eastAsia" w:ascii="仿宋_GB2312"/>
                <w:sz w:val="24"/>
                <w:szCs w:val="24"/>
              </w:rPr>
              <w:t>7.67</w:t>
            </w:r>
          </w:p>
        </w:tc>
        <w:tc>
          <w:tcPr>
            <w:tcW w:w="1446" w:type="dxa"/>
          </w:tcPr>
          <w:p>
            <w:pPr>
              <w:ind w:firstLine="0" w:firstLineChars="0"/>
              <w:jc w:val="center"/>
              <w:rPr>
                <w:rFonts w:ascii="仿宋_GB2312"/>
                <w:sz w:val="24"/>
                <w:szCs w:val="24"/>
              </w:rPr>
            </w:pPr>
            <w:r>
              <w:rPr>
                <w:rFonts w:hint="eastAsia" w:ascii="仿宋_GB2312"/>
                <w:sz w:val="24"/>
                <w:szCs w:val="24"/>
              </w:rPr>
              <w:t>8.49</w:t>
            </w:r>
          </w:p>
        </w:tc>
        <w:tc>
          <w:tcPr>
            <w:tcW w:w="1474" w:type="dxa"/>
          </w:tcPr>
          <w:p>
            <w:pPr>
              <w:ind w:firstLine="0" w:firstLineChars="0"/>
              <w:jc w:val="center"/>
              <w:rPr>
                <w:rFonts w:ascii="仿宋_GB2312"/>
                <w:sz w:val="24"/>
                <w:szCs w:val="24"/>
              </w:rPr>
            </w:pPr>
            <w:r>
              <w:rPr>
                <w:rFonts w:hint="eastAsia" w:ascii="仿宋_GB2312"/>
                <w:sz w:val="24"/>
                <w:szCs w:val="24"/>
              </w:rPr>
              <w:t>44.38</w:t>
            </w:r>
          </w:p>
        </w:tc>
        <w:tc>
          <w:tcPr>
            <w:tcW w:w="1417" w:type="dxa"/>
          </w:tcPr>
          <w:p>
            <w:pPr>
              <w:ind w:firstLine="0" w:firstLineChars="0"/>
              <w:jc w:val="center"/>
              <w:rPr>
                <w:rFonts w:ascii="仿宋_GB2312"/>
                <w:sz w:val="24"/>
                <w:szCs w:val="24"/>
              </w:rPr>
            </w:pPr>
            <w:r>
              <w:rPr>
                <w:rFonts w:hint="eastAsia" w:ascii="仿宋_GB2312"/>
                <w:sz w:val="24"/>
                <w:szCs w:val="24"/>
              </w:rPr>
              <w:t>43.56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bookmarkStart w:id="18" w:name="_Hlk3185114"/>
            <w:r>
              <w:rPr>
                <w:rFonts w:hint="eastAsia" w:ascii="仿宋_GB2312"/>
                <w:sz w:val="24"/>
                <w:szCs w:val="24"/>
              </w:rPr>
              <w:t>其中：公务用车购置费</w:t>
            </w:r>
          </w:p>
        </w:tc>
        <w:tc>
          <w:tcPr>
            <w:tcW w:w="1446" w:type="dxa"/>
          </w:tcPr>
          <w:p>
            <w:pPr>
              <w:ind w:firstLine="0" w:firstLineChars="0"/>
              <w:jc w:val="center"/>
              <w:rPr>
                <w:rFonts w:ascii="仿宋_GB2312"/>
                <w:sz w:val="24"/>
                <w:szCs w:val="24"/>
              </w:rPr>
            </w:pPr>
            <w:r>
              <w:rPr>
                <w:rFonts w:hint="eastAsia" w:ascii="仿宋_GB2312"/>
                <w:sz w:val="24"/>
                <w:szCs w:val="24"/>
              </w:rPr>
              <w:t>49.18</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49.18</w:t>
            </w:r>
          </w:p>
        </w:tc>
        <w:tc>
          <w:tcPr>
            <w:tcW w:w="1417" w:type="dxa"/>
          </w:tcPr>
          <w:p>
            <w:pPr>
              <w:ind w:firstLine="0" w:firstLineChars="0"/>
              <w:jc w:val="center"/>
              <w:rPr>
                <w:rFonts w:ascii="仿宋_GB2312"/>
                <w:sz w:val="24"/>
                <w:szCs w:val="24"/>
              </w:rPr>
            </w:pPr>
            <w:r>
              <w:rPr>
                <w:rFonts w:hint="eastAsia" w:ascii="仿宋_GB2312"/>
                <w:sz w:val="24"/>
                <w:szCs w:val="24"/>
              </w:rPr>
              <w:t>49.18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00" w:lineRule="exact"/>
              <w:ind w:firstLine="480"/>
              <w:rPr>
                <w:rFonts w:ascii="仿宋_GB2312"/>
                <w:sz w:val="24"/>
                <w:szCs w:val="24"/>
              </w:rPr>
            </w:pPr>
            <w:r>
              <w:rPr>
                <w:rFonts w:hint="eastAsia" w:ascii="仿宋_GB2312"/>
                <w:sz w:val="24"/>
                <w:szCs w:val="24"/>
              </w:rPr>
              <w:t>其中：公务用车维护费</w:t>
            </w:r>
          </w:p>
        </w:tc>
        <w:tc>
          <w:tcPr>
            <w:tcW w:w="1446" w:type="dxa"/>
          </w:tcPr>
          <w:p>
            <w:pPr>
              <w:ind w:firstLine="0" w:firstLineChars="0"/>
              <w:jc w:val="center"/>
              <w:rPr>
                <w:rFonts w:ascii="仿宋_GB2312"/>
                <w:sz w:val="24"/>
                <w:szCs w:val="24"/>
              </w:rPr>
            </w:pPr>
            <w:r>
              <w:rPr>
                <w:rFonts w:hint="eastAsia" w:ascii="仿宋_GB2312"/>
                <w:sz w:val="24"/>
                <w:szCs w:val="24"/>
              </w:rPr>
              <w:t>2.87</w:t>
            </w:r>
          </w:p>
        </w:tc>
        <w:tc>
          <w:tcPr>
            <w:tcW w:w="1446" w:type="dxa"/>
          </w:tcPr>
          <w:p>
            <w:pPr>
              <w:ind w:firstLine="0" w:firstLineChars="0"/>
              <w:jc w:val="center"/>
              <w:rPr>
                <w:rFonts w:ascii="仿宋_GB2312"/>
                <w:sz w:val="24"/>
                <w:szCs w:val="24"/>
              </w:rPr>
            </w:pPr>
            <w:r>
              <w:rPr>
                <w:rFonts w:hint="eastAsia" w:ascii="仿宋_GB2312"/>
                <w:sz w:val="24"/>
                <w:szCs w:val="24"/>
              </w:rPr>
              <w:t>7.67</w:t>
            </w:r>
          </w:p>
        </w:tc>
        <w:tc>
          <w:tcPr>
            <w:tcW w:w="1446" w:type="dxa"/>
          </w:tcPr>
          <w:p>
            <w:pPr>
              <w:ind w:firstLine="0" w:firstLineChars="0"/>
              <w:jc w:val="center"/>
              <w:rPr>
                <w:rFonts w:ascii="仿宋_GB2312"/>
                <w:sz w:val="24"/>
                <w:szCs w:val="24"/>
              </w:rPr>
            </w:pPr>
            <w:r>
              <w:rPr>
                <w:rFonts w:hint="eastAsia" w:ascii="仿宋_GB2312"/>
                <w:sz w:val="24"/>
                <w:szCs w:val="24"/>
              </w:rPr>
              <w:t>8.49</w:t>
            </w:r>
          </w:p>
        </w:tc>
        <w:tc>
          <w:tcPr>
            <w:tcW w:w="1474" w:type="dxa"/>
          </w:tcPr>
          <w:p>
            <w:pPr>
              <w:ind w:firstLine="0" w:firstLineChars="0"/>
              <w:jc w:val="center"/>
              <w:rPr>
                <w:rFonts w:ascii="仿宋_GB2312"/>
                <w:sz w:val="24"/>
                <w:szCs w:val="24"/>
              </w:rPr>
            </w:pPr>
            <w:r>
              <w:rPr>
                <w:rFonts w:hint="eastAsia" w:ascii="仿宋_GB2312"/>
                <w:sz w:val="24"/>
                <w:szCs w:val="24"/>
              </w:rPr>
              <w:t>-4.8</w:t>
            </w:r>
          </w:p>
        </w:tc>
        <w:tc>
          <w:tcPr>
            <w:tcW w:w="1417" w:type="dxa"/>
          </w:tcPr>
          <w:p>
            <w:pPr>
              <w:ind w:firstLine="0" w:firstLineChars="0"/>
              <w:jc w:val="center"/>
              <w:rPr>
                <w:rFonts w:ascii="仿宋_GB2312"/>
                <w:sz w:val="24"/>
                <w:szCs w:val="24"/>
              </w:rPr>
            </w:pPr>
            <w:r>
              <w:rPr>
                <w:rFonts w:hint="eastAsia" w:ascii="仿宋_GB2312"/>
                <w:sz w:val="24"/>
                <w:szCs w:val="24"/>
              </w:rPr>
              <w:t>-5.62</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公务接待费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18.35</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bl>
    <w:p>
      <w:pPr>
        <w:ind w:firstLine="640"/>
        <w:rPr>
          <w:rFonts w:ascii="仿宋_GB2312"/>
          <w:b/>
          <w:szCs w:val="32"/>
        </w:rPr>
      </w:pPr>
      <w:r>
        <w:rPr>
          <w:rFonts w:hint="eastAsia" w:ascii="仿宋_GB2312"/>
          <w:b/>
          <w:szCs w:val="32"/>
        </w:rPr>
        <w:t>（一）对比增减原因分析</w:t>
      </w:r>
    </w:p>
    <w:p>
      <w:pPr>
        <w:ind w:firstLine="640"/>
        <w:rPr>
          <w:rFonts w:ascii="仿宋_GB2312"/>
          <w:szCs w:val="32"/>
        </w:rPr>
      </w:pPr>
      <w:r>
        <w:rPr>
          <w:rFonts w:hint="eastAsia" w:ascii="仿宋_GB2312"/>
          <w:b/>
          <w:szCs w:val="32"/>
        </w:rPr>
        <w:t>1．</w:t>
      </w:r>
      <w:r>
        <w:rPr>
          <w:rFonts w:hint="eastAsia" w:ascii="仿宋_GB2312"/>
          <w:szCs w:val="32"/>
        </w:rPr>
        <w:t>2</w:t>
      </w:r>
      <w:r>
        <w:rPr>
          <w:rFonts w:ascii="仿宋_GB2312"/>
          <w:szCs w:val="32"/>
        </w:rPr>
        <w:t>017</w:t>
      </w:r>
      <w:r>
        <w:rPr>
          <w:rFonts w:hint="eastAsia" w:ascii="仿宋_GB2312"/>
          <w:szCs w:val="32"/>
        </w:rPr>
        <w:t>年度“三公经费”支出总额52.05万元，与年初预算相比增加26.03万元，增长50%，原因是:公务车平台公车购买，与2</w:t>
      </w:r>
      <w:r>
        <w:rPr>
          <w:rFonts w:ascii="仿宋_GB2312"/>
          <w:szCs w:val="32"/>
        </w:rPr>
        <w:t>016</w:t>
      </w:r>
      <w:r>
        <w:rPr>
          <w:rFonts w:hint="eastAsia" w:ascii="仿宋_GB2312"/>
          <w:szCs w:val="32"/>
        </w:rPr>
        <w:t>年度决算数相比增加43.56万元，原因是：本年度公车平台购车。</w:t>
      </w:r>
    </w:p>
    <w:p>
      <w:pPr>
        <w:ind w:firstLine="640"/>
        <w:rPr>
          <w:rFonts w:ascii="仿宋_GB2312"/>
          <w:szCs w:val="32"/>
        </w:rPr>
      </w:pPr>
      <w:r>
        <w:rPr>
          <w:rFonts w:hint="eastAsia" w:ascii="仿宋_GB2312"/>
          <w:b/>
          <w:szCs w:val="32"/>
        </w:rPr>
        <w:t>2．</w:t>
      </w:r>
      <w:r>
        <w:rPr>
          <w:rFonts w:hint="eastAsia" w:ascii="仿宋_GB2312"/>
          <w:szCs w:val="32"/>
        </w:rPr>
        <w:t>2</w:t>
      </w:r>
      <w:r>
        <w:rPr>
          <w:rFonts w:ascii="仿宋_GB2312"/>
          <w:szCs w:val="32"/>
        </w:rPr>
        <w:t>017</w:t>
      </w:r>
      <w:r>
        <w:rPr>
          <w:rFonts w:hint="eastAsia" w:ascii="仿宋_GB2312"/>
          <w:szCs w:val="32"/>
        </w:rPr>
        <w:t>年度因公出国（境）费0万元，2017年未发生因公出国费用，年初预算未安排 ，2016年也未发生因公出国费用。</w:t>
      </w:r>
      <w:r>
        <w:rPr>
          <w:rFonts w:hint="eastAsia" w:ascii="仿宋_GB2312"/>
          <w:szCs w:val="32"/>
          <w:lang w:val="en-US" w:eastAsia="zh-CN"/>
        </w:rPr>
        <w:t xml:space="preserve"> </w:t>
      </w:r>
      <w:r>
        <w:rPr>
          <w:rFonts w:hint="eastAsia" w:ascii="仿宋_GB2312"/>
          <w:b/>
          <w:szCs w:val="32"/>
        </w:rPr>
        <w:t>3．</w:t>
      </w:r>
      <w:r>
        <w:rPr>
          <w:rFonts w:hint="eastAsia" w:ascii="仿宋_GB2312"/>
          <w:szCs w:val="32"/>
        </w:rPr>
        <w:t>2</w:t>
      </w:r>
      <w:r>
        <w:rPr>
          <w:rFonts w:ascii="仿宋_GB2312"/>
          <w:szCs w:val="32"/>
        </w:rPr>
        <w:t>017</w:t>
      </w:r>
      <w:r>
        <w:rPr>
          <w:rFonts w:hint="eastAsia" w:ascii="仿宋_GB2312"/>
          <w:szCs w:val="32"/>
        </w:rPr>
        <w:t>年度公务用车购置及运行维护费52.05万元，与年初预算相比增加26.03万元，增长50%，原因是：公务车平台公车购买，与2</w:t>
      </w:r>
      <w:r>
        <w:rPr>
          <w:rFonts w:ascii="仿宋_GB2312"/>
          <w:szCs w:val="32"/>
        </w:rPr>
        <w:t>016</w:t>
      </w:r>
      <w:r>
        <w:rPr>
          <w:rFonts w:hint="eastAsia" w:ascii="仿宋_GB2312"/>
          <w:szCs w:val="32"/>
        </w:rPr>
        <w:t>年度决算数相比增加43.56万元，原因是：本年度公车平台购车。</w:t>
      </w:r>
    </w:p>
    <w:p>
      <w:pPr>
        <w:ind w:firstLine="640"/>
        <w:rPr>
          <w:rFonts w:ascii="仿宋_GB2312"/>
          <w:szCs w:val="32"/>
        </w:rPr>
      </w:pPr>
      <w:r>
        <w:rPr>
          <w:rFonts w:hint="eastAsia" w:ascii="仿宋_GB2312"/>
          <w:szCs w:val="32"/>
        </w:rPr>
        <w:t>其中：公务用车购置费,</w:t>
      </w:r>
      <w:r>
        <w:rPr>
          <w:rFonts w:hint="eastAsia"/>
        </w:rPr>
        <w:t xml:space="preserve"> </w:t>
      </w:r>
      <w:r>
        <w:rPr>
          <w:rFonts w:hint="eastAsia" w:ascii="仿宋_GB2312"/>
          <w:szCs w:val="32"/>
        </w:rPr>
        <w:t>与年初预算相比增加49.18万元，增长100%，原因是年初未做购车预算，本年度实际使用中公车平台需购买新车，与2016年度决算数相比增加49.18万元，原因是：本年度公车平台因工作需要购买新车。</w:t>
      </w:r>
    </w:p>
    <w:p>
      <w:pPr>
        <w:ind w:firstLine="640"/>
        <w:rPr>
          <w:rFonts w:ascii="仿宋_GB2312"/>
          <w:szCs w:val="32"/>
        </w:rPr>
      </w:pPr>
      <w:r>
        <w:rPr>
          <w:rFonts w:hint="eastAsia" w:ascii="仿宋_GB2312"/>
          <w:szCs w:val="32"/>
        </w:rPr>
        <w:t>其中：公务用车维护费,</w:t>
      </w:r>
      <w:r>
        <w:rPr>
          <w:rFonts w:hint="eastAsia"/>
        </w:rPr>
        <w:t xml:space="preserve"> </w:t>
      </w:r>
      <w:r>
        <w:rPr>
          <w:rFonts w:hint="eastAsia" w:ascii="仿宋_GB2312"/>
          <w:szCs w:val="32"/>
        </w:rPr>
        <w:t>与年初预算相比减少4.8万元，降低62%，原因是：公车控制使用，与2016年度决算数相比减少5.62万元，原因是：公车控制使用。</w:t>
      </w:r>
    </w:p>
    <w:p>
      <w:pPr>
        <w:ind w:firstLine="640"/>
        <w:rPr>
          <w:rFonts w:ascii="仿宋_GB2312"/>
          <w:szCs w:val="32"/>
        </w:rPr>
      </w:pPr>
      <w:r>
        <w:rPr>
          <w:rFonts w:hint="eastAsia" w:ascii="仿宋_GB2312"/>
          <w:b/>
          <w:szCs w:val="32"/>
        </w:rPr>
        <w:t>4．</w:t>
      </w:r>
      <w:r>
        <w:rPr>
          <w:rFonts w:hint="eastAsia" w:ascii="仿宋_GB2312"/>
          <w:szCs w:val="32"/>
        </w:rPr>
        <w:t>2</w:t>
      </w:r>
      <w:r>
        <w:rPr>
          <w:rFonts w:ascii="仿宋_GB2312"/>
          <w:szCs w:val="32"/>
        </w:rPr>
        <w:t>017</w:t>
      </w:r>
      <w:r>
        <w:rPr>
          <w:rFonts w:hint="eastAsia" w:ascii="仿宋_GB2312"/>
          <w:szCs w:val="32"/>
        </w:rPr>
        <w:t>年度公务接待费0万元，</w:t>
      </w:r>
      <w:r>
        <w:rPr>
          <w:rFonts w:hint="eastAsia" w:ascii="仿宋_GB2312"/>
          <w:szCs w:val="32"/>
          <w:lang w:eastAsia="zh-CN"/>
        </w:rPr>
        <w:t>与年初预算相比减少</w:t>
      </w:r>
      <w:r>
        <w:rPr>
          <w:rFonts w:hint="eastAsia" w:ascii="仿宋_GB2312"/>
          <w:szCs w:val="32"/>
          <w:lang w:val="en-US" w:eastAsia="zh-CN"/>
        </w:rPr>
        <w:t>18.35万元，减少100%，</w:t>
      </w:r>
      <w:r>
        <w:rPr>
          <w:rFonts w:hint="eastAsia" w:ascii="仿宋_GB2312"/>
          <w:color w:val="auto"/>
          <w:szCs w:val="32"/>
          <w:highlight w:val="none"/>
        </w:rPr>
        <w:t>2016年度决算数为“0”，</w:t>
      </w:r>
      <w:r>
        <w:rPr>
          <w:rFonts w:hint="eastAsia" w:ascii="仿宋_GB2312"/>
          <w:szCs w:val="32"/>
          <w:lang w:eastAsia="zh-CN"/>
        </w:rPr>
        <w:t>原因是</w:t>
      </w:r>
      <w:r>
        <w:rPr>
          <w:rFonts w:hint="eastAsia" w:ascii="仿宋_GB2312"/>
          <w:szCs w:val="32"/>
        </w:rPr>
        <w:t>2017年未发生因公务接待费用，2016年也未发生公务接待费用。</w:t>
      </w:r>
    </w:p>
    <w:p>
      <w:pPr>
        <w:ind w:firstLine="643"/>
        <w:rPr>
          <w:rFonts w:ascii="仿宋" w:hAnsi="仿宋" w:eastAsia="仿宋"/>
          <w:b/>
          <w:szCs w:val="32"/>
        </w:rPr>
      </w:pPr>
      <w:r>
        <w:rPr>
          <w:rFonts w:hint="eastAsia" w:ascii="仿宋" w:hAnsi="仿宋" w:eastAsia="仿宋"/>
          <w:b/>
          <w:szCs w:val="32"/>
        </w:rPr>
        <w:t>（二）2</w:t>
      </w:r>
      <w:r>
        <w:rPr>
          <w:rFonts w:ascii="仿宋" w:hAnsi="仿宋" w:eastAsia="仿宋"/>
          <w:b/>
          <w:szCs w:val="32"/>
        </w:rPr>
        <w:t>017</w:t>
      </w:r>
      <w:r>
        <w:rPr>
          <w:rFonts w:hint="eastAsia" w:ascii="仿宋" w:hAnsi="仿宋" w:eastAsia="仿宋"/>
          <w:b/>
          <w:szCs w:val="32"/>
        </w:rPr>
        <w:t>年度“三公”经费支出相关情况说明。</w:t>
      </w:r>
    </w:p>
    <w:p>
      <w:pPr>
        <w:ind w:firstLine="640"/>
        <w:rPr>
          <w:rFonts w:ascii="仿宋_GB2312"/>
          <w:szCs w:val="32"/>
        </w:rPr>
      </w:pPr>
      <w:r>
        <w:rPr>
          <w:rFonts w:hint="eastAsia" w:ascii="仿宋_GB2312"/>
          <w:szCs w:val="32"/>
        </w:rPr>
        <w:t>1．公务用车购置数量为4辆，公务用车保有量4辆；</w:t>
      </w:r>
    </w:p>
    <w:p>
      <w:pPr>
        <w:ind w:firstLine="640"/>
        <w:rPr>
          <w:rFonts w:ascii="仿宋_GB2312"/>
          <w:szCs w:val="32"/>
        </w:rPr>
      </w:pPr>
      <w:r>
        <w:rPr>
          <w:rFonts w:hint="eastAsia" w:ascii="仿宋_GB2312"/>
          <w:szCs w:val="32"/>
        </w:rPr>
        <w:t>2．因公出国（境）团组个数为0个， 0人次；</w:t>
      </w:r>
    </w:p>
    <w:p>
      <w:pPr>
        <w:ind w:firstLine="640"/>
        <w:rPr>
          <w:rFonts w:ascii="仿宋_GB2312"/>
          <w:szCs w:val="32"/>
        </w:rPr>
      </w:pPr>
      <w:r>
        <w:rPr>
          <w:rFonts w:hint="eastAsia" w:ascii="仿宋_GB2312"/>
          <w:szCs w:val="32"/>
        </w:rPr>
        <w:t>3．公务接待批次0批次，0人次。</w:t>
      </w:r>
    </w:p>
    <w:p>
      <w:pPr>
        <w:ind w:firstLine="643"/>
        <w:rPr>
          <w:rFonts w:hint="eastAsia" w:ascii="楷体" w:hAnsi="楷体" w:eastAsia="楷体"/>
          <w:b/>
          <w:szCs w:val="32"/>
        </w:rPr>
      </w:pPr>
      <w:r>
        <w:rPr>
          <w:rFonts w:hint="eastAsia" w:ascii="楷体" w:hAnsi="楷体" w:eastAsia="楷体"/>
          <w:b/>
          <w:szCs w:val="32"/>
        </w:rPr>
        <w:t>六、绩效预算情况说明</w:t>
      </w:r>
    </w:p>
    <w:p>
      <w:pPr>
        <w:ind w:firstLine="640"/>
        <w:rPr>
          <w:rFonts w:ascii="仿宋_GB2312"/>
          <w:szCs w:val="32"/>
        </w:rPr>
      </w:pPr>
      <w:r>
        <w:rPr>
          <w:rFonts w:hint="eastAsia" w:ascii="仿宋_GB2312"/>
          <w:szCs w:val="32"/>
        </w:rPr>
        <w:t>（一）预算绩效管理工作开展情况</w:t>
      </w:r>
    </w:p>
    <w:p>
      <w:pPr>
        <w:shd w:val="clear" w:color="auto" w:fill="FFFFFF"/>
        <w:ind w:firstLine="640"/>
        <w:rPr>
          <w:rFonts w:ascii="仿宋_GB2312" w:hAnsi="仿宋"/>
          <w:szCs w:val="32"/>
        </w:rPr>
      </w:pPr>
      <w:r>
        <w:rPr>
          <w:rFonts w:hint="eastAsia" w:ascii="仿宋_GB2312" w:hAnsi="仿宋"/>
          <w:szCs w:val="32"/>
        </w:rPr>
        <w:t>（1）为机关办公与职工生活提供后勤服务；</w:t>
      </w:r>
    </w:p>
    <w:p>
      <w:pPr>
        <w:shd w:val="clear" w:color="auto" w:fill="FFFFFF"/>
        <w:ind w:firstLine="640"/>
        <w:rPr>
          <w:rFonts w:hint="eastAsia" w:ascii="仿宋_GB2312" w:hAnsi="仿宋"/>
          <w:szCs w:val="32"/>
        </w:rPr>
      </w:pPr>
      <w:r>
        <w:rPr>
          <w:rFonts w:hint="eastAsia" w:ascii="仿宋_GB2312" w:hAnsi="仿宋"/>
          <w:szCs w:val="32"/>
        </w:rPr>
        <w:t>（2）承办机关委托事项。</w:t>
      </w:r>
    </w:p>
    <w:p>
      <w:pPr>
        <w:ind w:firstLine="640"/>
        <w:rPr>
          <w:rFonts w:ascii="仿宋_GB2312"/>
          <w:szCs w:val="32"/>
        </w:rPr>
      </w:pPr>
      <w:r>
        <w:rPr>
          <w:rFonts w:hint="eastAsia" w:ascii="仿宋_GB2312"/>
          <w:szCs w:val="32"/>
        </w:rPr>
        <w:t>（二）预算项目绩效评价开展情况</w:t>
      </w:r>
    </w:p>
    <w:p>
      <w:pPr>
        <w:shd w:val="clear" w:color="auto" w:fill="FFFFFF"/>
        <w:ind w:firstLine="640"/>
        <w:rPr>
          <w:rFonts w:ascii="仿宋_GB2312" w:hAnsi="仿宋"/>
          <w:szCs w:val="32"/>
        </w:rPr>
      </w:pPr>
    </w:p>
    <w:p>
      <w:pPr>
        <w:ind w:firstLine="640"/>
        <w:rPr>
          <w:rFonts w:ascii="仿宋_GB2312" w:hAnsi="仿宋"/>
          <w:szCs w:val="32"/>
        </w:rPr>
      </w:pPr>
      <w:r>
        <w:rPr>
          <w:rFonts w:ascii="仿宋_GB2312" w:hAnsi="仿宋"/>
          <w:szCs w:val="32"/>
        </w:rPr>
        <w:t>1、政务服务：突出政务、加强事务、提升服务，力求重点工作出精品，难点工作求突破、基础工作有创新、常规工作见特色。以机关干部作风量化指标为依据，增强工作综合服务实力。</w:t>
      </w:r>
    </w:p>
    <w:p>
      <w:pPr>
        <w:ind w:firstLine="640"/>
        <w:rPr>
          <w:rFonts w:ascii="仿宋_GB2312" w:hAnsi="仿宋"/>
          <w:szCs w:val="32"/>
        </w:rPr>
      </w:pPr>
      <w:r>
        <w:rPr>
          <w:rFonts w:hint="eastAsia" w:ascii="仿宋_GB2312" w:hAnsi="仿宋"/>
          <w:szCs w:val="32"/>
        </w:rPr>
        <w:t>2</w:t>
      </w:r>
      <w:r>
        <w:rPr>
          <w:rFonts w:ascii="仿宋_GB2312" w:hAnsi="仿宋"/>
          <w:szCs w:val="32"/>
        </w:rPr>
        <w:t>、值班管理：严格执行领导带班和双人双岗24小时值班制度。保证联络畅通。严格情况报告、电话记录、处理结果和值班要情登记制度。</w:t>
      </w:r>
    </w:p>
    <w:p>
      <w:pPr>
        <w:ind w:firstLine="640"/>
        <w:rPr>
          <w:rFonts w:ascii="仿宋_GB2312" w:hAnsi="仿宋"/>
          <w:szCs w:val="32"/>
        </w:rPr>
      </w:pPr>
      <w:r>
        <w:rPr>
          <w:rFonts w:hint="eastAsia" w:ascii="仿宋_GB2312" w:hAnsi="仿宋"/>
          <w:szCs w:val="32"/>
        </w:rPr>
        <w:t>3</w:t>
      </w:r>
      <w:r>
        <w:rPr>
          <w:rFonts w:ascii="仿宋_GB2312" w:hAnsi="仿宋"/>
          <w:szCs w:val="32"/>
        </w:rPr>
        <w:t>、应急管理：建设运行维护好市政府应急平台，实现各种实用功能；加强应急宣传培训，完善应急预案体系建设，确保预案内容科学合理，有效组织实施；提升演练效果，确保遇突发事件有效应对；发挥专家组的决策咨询和技术指导作用，为突发事件应对处置提供帮助；做好指导、协调全区各部门应急工作，确保信息报送及时畅通。</w:t>
      </w:r>
    </w:p>
    <w:p>
      <w:pPr>
        <w:ind w:firstLine="640"/>
        <w:rPr>
          <w:rFonts w:ascii="楷体" w:hAnsi="楷体" w:eastAsia="楷体"/>
          <w:b/>
          <w:szCs w:val="32"/>
        </w:rPr>
      </w:pPr>
      <w:r>
        <w:rPr>
          <w:rFonts w:hint="eastAsia" w:ascii="仿宋_GB2312" w:hAnsi="仿宋"/>
          <w:szCs w:val="32"/>
        </w:rPr>
        <w:t>4、</w:t>
      </w:r>
      <w:r>
        <w:rPr>
          <w:rFonts w:ascii="仿宋_GB2312" w:hAnsi="仿宋"/>
          <w:szCs w:val="32"/>
        </w:rPr>
        <w:t>办公室事务管理：以服务领导和机关各单位保障有力为目标，增强优质后勤管理水平，通过加强车队公车管理，降低运行成本，提升服务管理水平，保障区领导和机关工作的正常运转。</w:t>
      </w:r>
    </w:p>
    <w:p>
      <w:pPr>
        <w:ind w:firstLine="640"/>
        <w:rPr>
          <w:rFonts w:ascii="仿宋_GB2312"/>
          <w:szCs w:val="32"/>
        </w:rPr>
      </w:pPr>
      <w:r>
        <w:rPr>
          <w:rFonts w:hint="eastAsia" w:ascii="仿宋_GB2312"/>
          <w:szCs w:val="32"/>
        </w:rPr>
        <w:t>5、为了更好的贯彻落实中央</w:t>
      </w:r>
      <w:bookmarkStart w:id="22" w:name="_GoBack"/>
      <w:r>
        <w:rPr>
          <w:rFonts w:hint="eastAsia" w:ascii="仿宋_GB2312"/>
          <w:szCs w:val="32"/>
        </w:rPr>
        <w:t>八项规定</w:t>
      </w:r>
      <w:bookmarkEnd w:id="22"/>
      <w:r>
        <w:rPr>
          <w:rFonts w:hint="eastAsia" w:ascii="仿宋_GB2312"/>
          <w:szCs w:val="32"/>
        </w:rPr>
        <w:t>精神，实行公务接待集中统一管理，规范接待标准、程序，提高公务接待整体水平。秦皇岛市海港区对外联络办公室主要职责是：（1）负责研究制定接待工作的规章制度和管理办法并组织实施；（2）负责以省委、省人大、省政府、省政协名义对区委、区政府中心工作进行检查、督导、考核、考察、调研团组的接待工作；（3）负责国内正县级以上领导率队考察团的接待工作；（4）配合有关部门完成市级以上领导机关在我区召开的大型会议及相关服务工作；（5）负责区委、区政府领导批准、邀请的重要外宾、港澳台地区以及国内外大型企业集团重要宾客的接待工作；（6）负责区委、区政府主要领导率团外出考察活动；（7）负责区级重要会议和大型活动涉及的接待工作；（8）负责市对外联系对口安排的接待任务；（9）负责管理、指导区直各部门、定点酒店的公务接待工作；（10）负责区委、区政府交办的其他事项。</w:t>
      </w:r>
    </w:p>
    <w:p>
      <w:pPr>
        <w:ind w:firstLine="640"/>
        <w:rPr>
          <w:rFonts w:hint="eastAsia" w:ascii="仿宋_GB2312"/>
          <w:szCs w:val="32"/>
        </w:rPr>
      </w:pPr>
      <w:r>
        <w:rPr>
          <w:rFonts w:hint="eastAsia" w:ascii="仿宋_GB2312"/>
          <w:szCs w:val="32"/>
        </w:rPr>
        <w:t>（三）预算项目绩效自评选例</w:t>
      </w:r>
    </w:p>
    <w:p>
      <w:pPr>
        <w:spacing w:line="400" w:lineRule="exact"/>
        <w:ind w:firstLine="560"/>
        <w:rPr>
          <w:rFonts w:ascii="仿宋_GB2312"/>
          <w:sz w:val="28"/>
          <w:szCs w:val="28"/>
        </w:rPr>
      </w:pPr>
      <w:r>
        <w:rPr>
          <w:rFonts w:hint="eastAsia" w:ascii="仿宋_GB2312"/>
          <w:sz w:val="28"/>
          <w:szCs w:val="28"/>
        </w:rPr>
        <w:t>一、加大对各种设备的监护和保养力度，保证各类设施设备处于良好状态。</w:t>
      </w:r>
    </w:p>
    <w:p>
      <w:pPr>
        <w:ind w:firstLine="560"/>
        <w:rPr>
          <w:rFonts w:hint="eastAsia" w:ascii="仿宋_GB2312"/>
          <w:sz w:val="28"/>
          <w:szCs w:val="28"/>
        </w:rPr>
      </w:pPr>
      <w:r>
        <w:rPr>
          <w:rFonts w:hint="eastAsia" w:ascii="仿宋_GB2312"/>
          <w:sz w:val="28"/>
          <w:szCs w:val="28"/>
        </w:rPr>
        <w:t>二、加大安全检查力度，确保安全运行万无一失，抓维修快速度反应机制建设，确保办公楼设施设备的高效顺畅运行。建立安全管理责任制，划分责任区，落实责任人，定期开展安全隐患排查和消防检查，通过改革升级电子监控、安保、消防报警系统，使人防、技防能力和水平得到加强。</w:t>
      </w:r>
    </w:p>
    <w:p>
      <w:pPr>
        <w:ind w:firstLine="640"/>
        <w:rPr>
          <w:rFonts w:hint="eastAsia" w:ascii="仿宋_GB2312"/>
          <w:sz w:val="28"/>
          <w:szCs w:val="28"/>
        </w:rPr>
      </w:pPr>
      <w:r>
        <w:rPr>
          <w:rFonts w:hint="eastAsia" w:ascii="仿宋_GB2312"/>
          <w:szCs w:val="32"/>
        </w:rPr>
        <w:t>三、</w:t>
      </w:r>
      <w:r>
        <w:rPr>
          <w:rFonts w:hint="eastAsia" w:ascii="仿宋_GB2312"/>
          <w:sz w:val="28"/>
          <w:szCs w:val="28"/>
        </w:rPr>
        <w:t>坚持周密细致准备、热情周到服务，落实会务保障和接待任务，保证了各类会议和接待工作的顺利举行。</w:t>
      </w:r>
    </w:p>
    <w:p>
      <w:pPr>
        <w:ind w:firstLine="560"/>
        <w:rPr>
          <w:rFonts w:ascii="仿宋_GB2312"/>
          <w:sz w:val="28"/>
          <w:szCs w:val="28"/>
        </w:rPr>
      </w:pPr>
      <w:r>
        <w:rPr>
          <w:rFonts w:hint="eastAsia" w:ascii="仿宋_GB2312"/>
          <w:sz w:val="28"/>
          <w:szCs w:val="28"/>
        </w:rPr>
        <w:t>四、科学安排公车使用、加油、维修保养，降低费用支出，提高运行效率。深化公务用车制度改革。巩固区公务用车改革的成果，加强对公务用车改革落实情况，加大督察和监管力度。严格按照中央和省、市统一部署，积极稳妥推进全区行政单位公务用车制度改革和公务用车平台建设。</w:t>
      </w:r>
    </w:p>
    <w:p>
      <w:pPr>
        <w:ind w:firstLine="640"/>
        <w:rPr>
          <w:rFonts w:hint="eastAsia" w:ascii="仿宋_GB2312" w:hAnsi="仿宋_GB2312" w:cs="仿宋_GB2312"/>
        </w:rPr>
      </w:pPr>
      <w:r>
        <w:rPr>
          <w:rFonts w:hint="eastAsia" w:ascii="仿宋_GB2312"/>
          <w:szCs w:val="32"/>
        </w:rPr>
        <w:t>（四）部门决算量化评价说明，</w:t>
      </w:r>
      <w:r>
        <w:rPr>
          <w:rFonts w:hint="eastAsia" w:ascii="仿宋_GB2312" w:hAnsi="仿宋_GB2312" w:cs="仿宋_GB2312"/>
        </w:rPr>
        <w:t>我部门绩效预算执行情况通过部门决算软件进行测评后得分为75分，主要扣分及原因为：</w:t>
      </w:r>
      <w:r>
        <w:rPr>
          <w:rFonts w:ascii="仿宋_GB2312" w:hAnsi="仿宋_GB2312" w:cs="仿宋_GB2312"/>
        </w:rPr>
        <w:t>1</w:t>
      </w:r>
      <w:r>
        <w:rPr>
          <w:rFonts w:hint="eastAsia" w:ascii="仿宋_GB2312" w:hAnsi="仿宋_GB2312" w:cs="仿宋_GB2312"/>
        </w:rPr>
        <w:t>、财政拨款收入预决算差异率扣2分，原因为是当年基本工资标准进行调整人员性支出大幅增加等原因导致我部门本年实际收入大于年初预算。</w:t>
      </w:r>
      <w:r>
        <w:rPr>
          <w:rFonts w:ascii="仿宋_GB2312" w:hAnsi="仿宋_GB2312" w:cs="仿宋_GB2312"/>
        </w:rPr>
        <w:t>2</w:t>
      </w:r>
      <w:r>
        <w:rPr>
          <w:rFonts w:hint="eastAsia" w:ascii="仿宋_GB2312" w:hAnsi="仿宋_GB2312" w:cs="仿宋_GB2312"/>
        </w:rPr>
        <w:t>、年初结转和结余预决算差异率扣5分，原因为本年实际收入增加导致决算数大于年初预算数。</w:t>
      </w:r>
      <w:r>
        <w:rPr>
          <w:rFonts w:ascii="仿宋_GB2312" w:hAnsi="仿宋_GB2312" w:cs="仿宋_GB2312"/>
        </w:rPr>
        <w:t>3</w:t>
      </w:r>
      <w:r>
        <w:rPr>
          <w:rFonts w:hint="eastAsia" w:ascii="仿宋_GB2312" w:hAnsi="仿宋_GB2312" w:cs="仿宋_GB2312"/>
        </w:rPr>
        <w:t>、人员经费预决算差异率扣0.5分，原因为是当年基本工资标准进行调整人员性支出大幅增加。</w:t>
      </w:r>
      <w:r>
        <w:rPr>
          <w:rFonts w:ascii="仿宋_GB2312" w:hAnsi="仿宋_GB2312" w:cs="仿宋_GB2312"/>
        </w:rPr>
        <w:t>4</w:t>
      </w:r>
      <w:r>
        <w:rPr>
          <w:rFonts w:hint="eastAsia" w:ascii="仿宋_GB2312" w:hAnsi="仿宋_GB2312" w:cs="仿宋_GB2312"/>
        </w:rPr>
        <w:t>、公用经费预决算差异率扣2分，原因为本年实际收入增加导致支出增加，同比年初支出预算差异率增大。</w:t>
      </w:r>
      <w:r>
        <w:rPr>
          <w:rFonts w:ascii="仿宋_GB2312" w:hAnsi="仿宋_GB2312" w:cs="仿宋_GB2312"/>
        </w:rPr>
        <w:t>5</w:t>
      </w:r>
      <w:r>
        <w:rPr>
          <w:rFonts w:hint="eastAsia" w:ascii="仿宋_GB2312" w:hAnsi="仿宋_GB2312" w:cs="仿宋_GB2312"/>
        </w:rPr>
        <w:t>、财政拨款结转和结余率扣</w:t>
      </w:r>
      <w:r>
        <w:rPr>
          <w:rFonts w:ascii="仿宋_GB2312" w:hAnsi="仿宋_GB2312" w:cs="仿宋_GB2312"/>
        </w:rPr>
        <w:t>1</w:t>
      </w:r>
      <w:r>
        <w:rPr>
          <w:rFonts w:hint="eastAsia" w:ascii="仿宋_GB2312" w:hAnsi="仿宋_GB2312" w:cs="仿宋_GB2312"/>
        </w:rPr>
        <w:t>分，基本差额不大。</w:t>
      </w:r>
      <w:r>
        <w:rPr>
          <w:rFonts w:ascii="仿宋_GB2312" w:hAnsi="仿宋_GB2312" w:cs="仿宋_GB2312"/>
        </w:rPr>
        <w:t>6</w:t>
      </w:r>
      <w:r>
        <w:rPr>
          <w:rFonts w:hint="eastAsia" w:ascii="仿宋_GB2312" w:hAnsi="仿宋_GB2312" w:cs="仿宋_GB2312"/>
        </w:rPr>
        <w:t>、财政拨款结转和结余上下年变动率扣5分，结转和结余本年度数额较大。</w:t>
      </w:r>
      <w:r>
        <w:rPr>
          <w:rFonts w:ascii="仿宋_GB2312" w:hAnsi="仿宋_GB2312" w:cs="仿宋_GB2312"/>
        </w:rPr>
        <w:t>7</w:t>
      </w:r>
      <w:r>
        <w:rPr>
          <w:rFonts w:hint="eastAsia" w:ascii="仿宋_GB2312" w:hAnsi="仿宋_GB2312" w:cs="仿宋_GB2312"/>
        </w:rPr>
        <w:t>、财政收回存量资金占上年财政拨款结转和结余比重扣</w:t>
      </w:r>
      <w:r>
        <w:rPr>
          <w:rFonts w:ascii="仿宋_GB2312" w:hAnsi="仿宋_GB2312" w:cs="仿宋_GB2312"/>
        </w:rPr>
        <w:t>1.5</w:t>
      </w:r>
      <w:r>
        <w:rPr>
          <w:rFonts w:hint="eastAsia" w:ascii="仿宋_GB2312" w:hAnsi="仿宋_GB2312" w:cs="仿宋_GB2312"/>
        </w:rPr>
        <w:t>分，原因为节能减排，公务用车运行费大幅度减少，缴回财政。</w:t>
      </w:r>
      <w:r>
        <w:rPr>
          <w:rFonts w:ascii="仿宋_GB2312" w:hAnsi="仿宋_GB2312" w:cs="仿宋_GB2312"/>
        </w:rPr>
        <w:t>8</w:t>
      </w:r>
      <w:r>
        <w:rPr>
          <w:rFonts w:hint="eastAsia" w:ascii="仿宋_GB2312" w:hAnsi="仿宋_GB2312" w:cs="仿宋_GB2312"/>
        </w:rPr>
        <w:t>、“三公”经费支出预决算差异率扣</w:t>
      </w:r>
      <w:r>
        <w:rPr>
          <w:rFonts w:ascii="仿宋_GB2312" w:hAnsi="仿宋_GB2312" w:cs="仿宋_GB2312"/>
        </w:rPr>
        <w:t>5</w:t>
      </w:r>
      <w:r>
        <w:rPr>
          <w:rFonts w:hint="eastAsia" w:ascii="仿宋_GB2312" w:hAnsi="仿宋_GB2312" w:cs="仿宋_GB2312"/>
        </w:rPr>
        <w:t>分，原因为节能减排，公务用车运行费大幅度减少。</w:t>
      </w:r>
      <w:r>
        <w:rPr>
          <w:rFonts w:ascii="仿宋_GB2312" w:hAnsi="仿宋_GB2312" w:cs="仿宋_GB2312"/>
        </w:rPr>
        <w:t>9</w:t>
      </w:r>
      <w:r>
        <w:rPr>
          <w:rFonts w:hint="eastAsia" w:ascii="仿宋_GB2312" w:hAnsi="仿宋_GB2312" w:cs="仿宋_GB2312"/>
        </w:rPr>
        <w:t>、在职人员控制率扣</w:t>
      </w:r>
      <w:r>
        <w:rPr>
          <w:rFonts w:ascii="仿宋_GB2312" w:hAnsi="仿宋_GB2312" w:cs="仿宋_GB2312"/>
        </w:rPr>
        <w:t>3</w:t>
      </w:r>
      <w:r>
        <w:rPr>
          <w:rFonts w:hint="eastAsia" w:ascii="仿宋_GB2312" w:hAnsi="仿宋_GB2312" w:cs="仿宋_GB2312"/>
        </w:rPr>
        <w:t>分，我院实有人数52人，编制人数11人。</w:t>
      </w:r>
    </w:p>
    <w:p>
      <w:pPr>
        <w:ind w:firstLine="643"/>
        <w:rPr>
          <w:rFonts w:ascii="楷体" w:hAnsi="楷体" w:eastAsia="楷体"/>
          <w:b/>
          <w:szCs w:val="32"/>
        </w:rPr>
      </w:pPr>
      <w:r>
        <w:rPr>
          <w:rFonts w:hint="eastAsia" w:ascii="楷体" w:hAnsi="楷体" w:eastAsia="楷体"/>
          <w:b/>
          <w:szCs w:val="32"/>
        </w:rPr>
        <w:t>七、其他重要事项的情况说明。</w:t>
      </w:r>
    </w:p>
    <w:p>
      <w:pPr>
        <w:ind w:firstLine="643"/>
        <w:rPr>
          <w:rFonts w:ascii="仿宋_GB2312"/>
          <w:szCs w:val="32"/>
        </w:rPr>
      </w:pPr>
      <w:r>
        <w:rPr>
          <w:rFonts w:hint="eastAsia" w:ascii="仿宋" w:hAnsi="仿宋" w:eastAsia="仿宋"/>
          <w:b/>
          <w:szCs w:val="32"/>
        </w:rPr>
        <w:t>1．机关运行经费支出情况的说明。</w:t>
      </w:r>
      <w:r>
        <w:rPr>
          <w:rFonts w:hint="eastAsia" w:ascii="仿宋_GB2312"/>
          <w:szCs w:val="32"/>
        </w:rPr>
        <w:t>201</w:t>
      </w:r>
      <w:r>
        <w:rPr>
          <w:rFonts w:ascii="仿宋_GB2312"/>
          <w:szCs w:val="32"/>
        </w:rPr>
        <w:t>7</w:t>
      </w:r>
      <w:r>
        <w:rPr>
          <w:rFonts w:hint="eastAsia" w:ascii="仿宋_GB2312"/>
          <w:szCs w:val="32"/>
        </w:rPr>
        <w:t>年度本部门机关运行经费支出0万元，本年无机关运行经费支出。</w:t>
      </w:r>
    </w:p>
    <w:p>
      <w:pPr>
        <w:ind w:firstLine="643"/>
        <w:rPr>
          <w:rFonts w:ascii="仿宋_GB2312"/>
          <w:szCs w:val="32"/>
        </w:rPr>
      </w:pPr>
      <w:r>
        <w:rPr>
          <w:rFonts w:hint="eastAsia" w:ascii="仿宋" w:hAnsi="仿宋" w:eastAsia="仿宋"/>
          <w:b/>
          <w:szCs w:val="32"/>
        </w:rPr>
        <w:t>2．政府采购情况的说明。</w:t>
      </w:r>
      <w:r>
        <w:rPr>
          <w:rFonts w:hint="eastAsia" w:ascii="仿宋_GB2312"/>
          <w:szCs w:val="32"/>
        </w:rPr>
        <w:t>201</w:t>
      </w:r>
      <w:r>
        <w:rPr>
          <w:rFonts w:ascii="仿宋_GB2312"/>
          <w:szCs w:val="32"/>
        </w:rPr>
        <w:t>7</w:t>
      </w:r>
      <w:r>
        <w:rPr>
          <w:rFonts w:hint="eastAsia" w:ascii="仿宋_GB2312"/>
          <w:szCs w:val="32"/>
        </w:rPr>
        <w:t>年度本部门政府采购支出总额49.17万元，其中：政府采购货物支出49.17万元、政府采购工程支出0万元、政府采购服务支出0万元。</w:t>
      </w:r>
    </w:p>
    <w:p>
      <w:pPr>
        <w:widowControl/>
        <w:spacing w:line="240" w:lineRule="auto"/>
        <w:ind w:firstLine="643"/>
        <w:jc w:val="left"/>
        <w:rPr>
          <w:rFonts w:ascii="仿宋" w:hAnsi="仿宋" w:eastAsia="仿宋"/>
          <w:b/>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985" w:right="1531" w:bottom="1701" w:left="1531" w:header="851" w:footer="992" w:gutter="0"/>
          <w:cols w:space="425" w:num="1"/>
          <w:docGrid w:type="lines" w:linePitch="312" w:charSpace="0"/>
        </w:sectPr>
      </w:pPr>
      <w:r>
        <w:rPr>
          <w:rFonts w:hint="eastAsia" w:ascii="仿宋" w:hAnsi="仿宋" w:eastAsia="仿宋"/>
          <w:b/>
          <w:szCs w:val="32"/>
        </w:rPr>
        <w:t>3．国有资产占用情况。</w:t>
      </w:r>
    </w:p>
    <w:tbl>
      <w:tblPr>
        <w:tblStyle w:val="4"/>
        <w:tblW w:w="15146" w:type="dxa"/>
        <w:jc w:val="center"/>
        <w:tblLayout w:type="fixed"/>
        <w:tblCellMar>
          <w:top w:w="0" w:type="dxa"/>
          <w:left w:w="108" w:type="dxa"/>
          <w:bottom w:w="0" w:type="dxa"/>
          <w:right w:w="108" w:type="dxa"/>
        </w:tblCellMar>
      </w:tblPr>
      <w:tblGrid>
        <w:gridCol w:w="4586"/>
        <w:gridCol w:w="656"/>
        <w:gridCol w:w="876"/>
        <w:gridCol w:w="876"/>
        <w:gridCol w:w="986"/>
        <w:gridCol w:w="986"/>
        <w:gridCol w:w="4642"/>
        <w:gridCol w:w="656"/>
        <w:gridCol w:w="882"/>
      </w:tblGrid>
      <w:tr>
        <w:tblPrEx>
          <w:tblCellMar>
            <w:top w:w="0" w:type="dxa"/>
            <w:left w:w="108" w:type="dxa"/>
            <w:bottom w:w="0" w:type="dxa"/>
            <w:right w:w="108" w:type="dxa"/>
          </w:tblCellMar>
        </w:tblPrEx>
        <w:trPr>
          <w:trHeight w:val="402" w:hRule="atLeast"/>
          <w:jc w:val="center"/>
        </w:trPr>
        <w:tc>
          <w:tcPr>
            <w:tcW w:w="45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项　　目</w:t>
            </w:r>
          </w:p>
        </w:tc>
        <w:tc>
          <w:tcPr>
            <w:tcW w:w="656"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75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数量</w:t>
            </w:r>
          </w:p>
        </w:tc>
        <w:tc>
          <w:tcPr>
            <w:tcW w:w="1972"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价值（万元）</w:t>
            </w:r>
          </w:p>
        </w:tc>
        <w:tc>
          <w:tcPr>
            <w:tcW w:w="6180"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xml:space="preserve">补充资料 </w:t>
            </w:r>
          </w:p>
        </w:tc>
      </w:tr>
      <w:tr>
        <w:tblPrEx>
          <w:tblCellMar>
            <w:top w:w="0" w:type="dxa"/>
            <w:left w:w="108" w:type="dxa"/>
            <w:bottom w:w="0" w:type="dxa"/>
            <w:right w:w="108" w:type="dxa"/>
          </w:tblCellMar>
        </w:tblPrEx>
        <w:trPr>
          <w:trHeight w:val="308" w:hRule="atLeast"/>
          <w:jc w:val="center"/>
        </w:trPr>
        <w:tc>
          <w:tcPr>
            <w:tcW w:w="4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65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年初数</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年末数</w:t>
            </w:r>
          </w:p>
        </w:tc>
        <w:tc>
          <w:tcPr>
            <w:tcW w:w="6180"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栏　　次</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882"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资产总额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1328.19</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1415.46</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一、本年坏账损失金额</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一、流动资产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88.18</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156.52</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二、危房面积（平方米）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1240.01</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1258.94</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（一）上年年末数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bookmarkStart w:id="19" w:name="_Hlk3187520"/>
            <w:r>
              <w:rPr>
                <w:rFonts w:hint="eastAsia" w:ascii="宋体" w:hAnsi="宋体" w:eastAsia="宋体" w:cs="Arial"/>
                <w:color w:val="000000"/>
                <w:kern w:val="0"/>
                <w:sz w:val="22"/>
              </w:rPr>
              <w:t xml:space="preserve">  （一）房屋（平方米）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（二）本年增加数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1.办公用房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（三）本年减少数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2.业务用房</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其中：本年修复数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3.其他（不含构筑物）</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（四）年末数</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（二）车辆（台、辆）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79.37</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79.37</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三、年末单位负担费用的供暖面积（平方米）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77"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1.轿车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四、年末单位出租出借房屋面积（平方米）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2.越野车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五、年末单位土地证证载面积（平方米）</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3.小型载客汽车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六、年末单位车辆工作用途情况（台、辆）</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4.大中型载客汽车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1.副部（省）级及以上领导用车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2"/>
              </w:rPr>
            </w:pPr>
            <w:r>
              <w:rPr>
                <w:rFonts w:hint="eastAsia" w:ascii="宋体" w:hAnsi="宋体" w:eastAsia="宋体" w:cs="Arial"/>
                <w:color w:val="000000"/>
                <w:kern w:val="0"/>
                <w:sz w:val="22"/>
              </w:rPr>
              <w:t>5.其他车型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79.37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79.37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2.一般公务用车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（三）单价50万元（含）以上的通用设备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3.一般执法执勤用车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10090" w:rightChars="-3153"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（四）单价100万元（含）以上的专用设备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4.特种专业技术用车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（五）其他固定资产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1160.64</w:t>
            </w: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1179.57</w:t>
            </w: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xml:space="preserve">    5.其他用车</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4　</w:t>
            </w:r>
          </w:p>
        </w:tc>
      </w:tr>
      <w:bookmarkEnd w:id="19"/>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减：累计折旧及减值准备</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三、长期投资</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四、在建工程</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五、无形资产</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减：累计摊销</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882"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586"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六、其他资产</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98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p>
        </w:tc>
        <w:tc>
          <w:tcPr>
            <w:tcW w:w="4642"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5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882"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2"/>
              </w:rPr>
            </w:pPr>
            <w:r>
              <w:rPr>
                <w:rFonts w:hint="eastAsia" w:ascii="宋体" w:hAnsi="宋体" w:eastAsia="宋体" w:cs="Arial"/>
                <w:color w:val="000000"/>
                <w:kern w:val="0"/>
                <w:sz w:val="22"/>
              </w:rPr>
              <w:t>　</w:t>
            </w:r>
          </w:p>
        </w:tc>
      </w:tr>
    </w:tbl>
    <w:p>
      <w:pPr>
        <w:widowControl/>
        <w:spacing w:line="240" w:lineRule="auto"/>
        <w:ind w:firstLine="0" w:firstLineChars="0"/>
        <w:jc w:val="left"/>
        <w:rPr>
          <w:rFonts w:ascii="仿宋" w:hAnsi="仿宋" w:eastAsia="仿宋"/>
          <w:b/>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Cs w:val="32"/>
        </w:rPr>
        <w:br w:type="page"/>
      </w:r>
    </w:p>
    <w:p>
      <w:pPr>
        <w:ind w:firstLine="640"/>
        <w:rPr>
          <w:rFonts w:ascii="仿宋_GB2312"/>
          <w:szCs w:val="32"/>
        </w:rPr>
      </w:pPr>
      <w:r>
        <w:rPr>
          <w:rFonts w:hint="eastAsia" w:ascii="仿宋_GB2312"/>
          <w:szCs w:val="32"/>
        </w:rPr>
        <w:t>截至201</w:t>
      </w:r>
      <w:r>
        <w:rPr>
          <w:rFonts w:ascii="仿宋_GB2312"/>
          <w:szCs w:val="32"/>
        </w:rPr>
        <w:t>7</w:t>
      </w:r>
      <w:r>
        <w:rPr>
          <w:rFonts w:hint="eastAsia" w:ascii="仿宋_GB2312"/>
          <w:szCs w:val="32"/>
        </w:rPr>
        <w:t>年12月31日，固定资产1258.94万元，与2016年相比减少18.93万元，主要原因是：资产划转及资产报废处置。</w:t>
      </w:r>
    </w:p>
    <w:p>
      <w:pPr>
        <w:ind w:firstLine="640"/>
        <w:rPr>
          <w:rFonts w:ascii="仿宋_GB2312"/>
          <w:szCs w:val="32"/>
        </w:rPr>
      </w:pPr>
      <w:r>
        <w:rPr>
          <w:rFonts w:hint="eastAsia" w:ascii="仿宋_GB2312"/>
          <w:szCs w:val="32"/>
        </w:rPr>
        <w:t>本部门共有车辆4辆，其中，一般公务用车0辆、一般执法执勤用车0辆、特种专业技术用车0辆、其他用车0辆，其他用车主要是办公使用。</w:t>
      </w:r>
    </w:p>
    <w:p>
      <w:pPr>
        <w:ind w:firstLine="0" w:firstLineChars="0"/>
        <w:rPr>
          <w:rFonts w:ascii="仿宋_GB2312"/>
          <w:szCs w:val="32"/>
        </w:rPr>
      </w:pPr>
    </w:p>
    <w:p>
      <w:pPr>
        <w:widowControl/>
        <w:spacing w:line="580" w:lineRule="exact"/>
        <w:ind w:firstLine="643"/>
        <w:rPr>
          <w:rFonts w:ascii="仿宋" w:hAnsi="仿宋" w:eastAsia="仿宋"/>
          <w:b/>
          <w:szCs w:val="32"/>
        </w:rPr>
      </w:pPr>
      <w:r>
        <w:rPr>
          <w:rFonts w:ascii="仿宋" w:hAnsi="仿宋" w:eastAsia="仿宋"/>
          <w:b/>
          <w:szCs w:val="32"/>
        </w:rPr>
        <w:t>4</w:t>
      </w:r>
      <w:r>
        <w:rPr>
          <w:rFonts w:hint="eastAsia" w:ascii="仿宋" w:hAnsi="仿宋" w:eastAsia="仿宋"/>
          <w:b/>
          <w:szCs w:val="32"/>
        </w:rPr>
        <w:t>．</w:t>
      </w:r>
      <w:r>
        <w:rPr>
          <w:rFonts w:ascii="仿宋" w:hAnsi="仿宋" w:eastAsia="仿宋"/>
          <w:b/>
          <w:szCs w:val="32"/>
        </w:rPr>
        <w:t>其他需要说明的情况</w:t>
      </w:r>
      <w:r>
        <w:rPr>
          <w:rFonts w:hint="eastAsia" w:ascii="仿宋" w:hAnsi="仿宋" w:eastAsia="仿宋"/>
          <w:b/>
          <w:szCs w:val="32"/>
        </w:rPr>
        <w:t>。</w:t>
      </w:r>
    </w:p>
    <w:p>
      <w:pPr>
        <w:ind w:firstLine="640"/>
        <w:rPr>
          <w:rFonts w:ascii="仿宋" w:hAnsi="仿宋" w:eastAsia="仿宋"/>
        </w:rPr>
      </w:pPr>
      <w:r>
        <w:rPr>
          <w:rFonts w:hint="eastAsia" w:ascii="仿宋" w:hAnsi="仿宋" w:eastAsia="仿宋" w:cs="仿宋"/>
        </w:rPr>
        <w:t>会议费支出情况。</w:t>
      </w:r>
      <w:bookmarkStart w:id="20" w:name="OLE_LINK46"/>
      <w:bookmarkStart w:id="21" w:name="OLE_LINK47"/>
      <w:r>
        <w:rPr>
          <w:rFonts w:hint="eastAsia" w:ascii="仿宋" w:hAnsi="仿宋" w:eastAsia="仿宋"/>
          <w:szCs w:val="32"/>
        </w:rPr>
        <w:t>2017年会议费总计0万元</w:t>
      </w:r>
      <w:r>
        <w:rPr>
          <w:rFonts w:hint="eastAsia" w:ascii="仿宋" w:hAnsi="仿宋" w:eastAsia="仿宋"/>
          <w:szCs w:val="32"/>
          <w:lang w:eastAsia="zh-CN"/>
        </w:rPr>
        <w:t>，</w:t>
      </w:r>
      <w:r>
        <w:rPr>
          <w:rFonts w:hint="eastAsia" w:ascii="仿宋" w:hAnsi="仿宋" w:eastAsia="仿宋"/>
          <w:szCs w:val="32"/>
        </w:rPr>
        <w:t>2016年度决算数为0万元，原因是：2017年未发生会议费支出，2016年也未发生会议费支出。</w:t>
      </w:r>
    </w:p>
    <w:bookmarkEnd w:id="20"/>
    <w:bookmarkEnd w:id="21"/>
    <w:p>
      <w:pPr>
        <w:ind w:firstLine="640"/>
        <w:rPr>
          <w:rFonts w:ascii="仿宋" w:hAnsi="仿宋" w:eastAsia="仿宋"/>
        </w:rPr>
      </w:pPr>
      <w:r>
        <w:rPr>
          <w:rFonts w:hint="eastAsia" w:ascii="仿宋" w:hAnsi="仿宋" w:eastAsia="仿宋" w:cs="仿宋"/>
        </w:rPr>
        <w:t>培训费支出情况。</w:t>
      </w:r>
      <w:r>
        <w:rPr>
          <w:rFonts w:ascii="仿宋" w:hAnsi="仿宋" w:eastAsia="仿宋" w:cs="仿宋"/>
        </w:rPr>
        <w:t>2017</w:t>
      </w:r>
      <w:r>
        <w:rPr>
          <w:rFonts w:hint="eastAsia" w:ascii="仿宋" w:hAnsi="仿宋" w:eastAsia="仿宋" w:cs="仿宋"/>
        </w:rPr>
        <w:t>年培训费0万元，</w:t>
      </w:r>
      <w:r>
        <w:rPr>
          <w:rFonts w:hint="eastAsia" w:ascii="仿宋" w:hAnsi="仿宋" w:eastAsia="仿宋"/>
          <w:szCs w:val="32"/>
        </w:rPr>
        <w:t>2016年度决算数为0万元，原因是：2017年未发生培训费支出，2016年也未发生培训费支出。</w:t>
      </w:r>
    </w:p>
    <w:p>
      <w:pPr>
        <w:ind w:firstLine="643"/>
        <w:rPr>
          <w:rFonts w:ascii="仿宋_GB2312"/>
          <w:b/>
          <w:szCs w:val="32"/>
        </w:rPr>
      </w:pPr>
      <w:r>
        <w:rPr>
          <w:rFonts w:hint="eastAsia" w:ascii="仿宋" w:hAnsi="仿宋" w:eastAsia="仿宋"/>
          <w:b/>
          <w:szCs w:val="32"/>
        </w:rPr>
        <w:t xml:space="preserve"> </w:t>
      </w:r>
    </w:p>
    <w:p>
      <w:pPr>
        <w:widowControl/>
        <w:spacing w:line="240" w:lineRule="auto"/>
        <w:ind w:firstLine="0" w:firstLineChars="0"/>
        <w:jc w:val="left"/>
        <w:rPr>
          <w:rFonts w:ascii="黑体" w:hAnsi="黑体" w:eastAsia="黑体"/>
          <w:szCs w:val="32"/>
        </w:rPr>
      </w:pPr>
      <w:r>
        <w:rPr>
          <w:rFonts w:ascii="黑体" w:hAnsi="黑体" w:eastAsia="黑体"/>
          <w:szCs w:val="32"/>
        </w:rPr>
        <w:br w:type="page"/>
      </w: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p>
    <w:p>
      <w:pPr>
        <w:spacing w:line="240" w:lineRule="auto"/>
        <w:ind w:firstLine="1440"/>
        <w:rPr>
          <w:rFonts w:ascii="黑体" w:hAnsi="黑体" w:eastAsia="黑体"/>
          <w:sz w:val="72"/>
          <w:szCs w:val="72"/>
        </w:rPr>
      </w:pPr>
      <w:r>
        <w:rPr>
          <w:rFonts w:hint="eastAsia" w:ascii="黑体" w:hAnsi="黑体" w:eastAsia="黑体"/>
          <w:sz w:val="72"/>
          <w:szCs w:val="72"/>
        </w:rPr>
        <w:t>第四部分  名词解释</w:t>
      </w:r>
    </w:p>
    <w:p>
      <w:pPr>
        <w:widowControl/>
        <w:spacing w:line="240" w:lineRule="auto"/>
        <w:ind w:firstLine="0" w:firstLineChars="0"/>
        <w:jc w:val="left"/>
        <w:rPr>
          <w:rFonts w:ascii="黑体" w:hAnsi="黑体" w:eastAsia="黑体"/>
          <w:sz w:val="72"/>
          <w:szCs w:val="72"/>
        </w:rPr>
      </w:pPr>
      <w:r>
        <w:rPr>
          <w:rFonts w:ascii="黑体" w:hAnsi="黑体" w:eastAsia="黑体"/>
          <w:sz w:val="72"/>
          <w:szCs w:val="72"/>
        </w:rPr>
        <w:br w:type="page"/>
      </w:r>
    </w:p>
    <w:p>
      <w:pPr>
        <w:widowControl/>
        <w:spacing w:line="580" w:lineRule="exact"/>
        <w:ind w:firstLine="640"/>
        <w:rPr>
          <w:color w:val="000000"/>
          <w:kern w:val="0"/>
          <w:szCs w:val="32"/>
        </w:rPr>
      </w:pPr>
      <w:r>
        <w:rPr>
          <w:color w:val="000000"/>
          <w:kern w:val="0"/>
          <w:szCs w:val="32"/>
        </w:rPr>
        <w:t>（一）财政拨款收入：本年度从本级财政部门取得的财政拨款，包括一般公共预算财政拨款和政府性基金预算财政拨款。</w:t>
      </w:r>
    </w:p>
    <w:p>
      <w:pPr>
        <w:widowControl/>
        <w:spacing w:line="580" w:lineRule="exact"/>
        <w:ind w:firstLine="640"/>
        <w:rPr>
          <w:color w:val="000000"/>
          <w:kern w:val="0"/>
          <w:szCs w:val="32"/>
        </w:rPr>
      </w:pPr>
      <w:r>
        <w:rPr>
          <w:color w:val="000000"/>
          <w:kern w:val="0"/>
          <w:szCs w:val="32"/>
        </w:rPr>
        <w:t>（二）事业收入：指事业单位开展专业业务活动及辅助活动所取得的收入。</w:t>
      </w:r>
    </w:p>
    <w:p>
      <w:pPr>
        <w:widowControl/>
        <w:spacing w:line="580" w:lineRule="exact"/>
        <w:ind w:firstLine="640"/>
        <w:rPr>
          <w:color w:val="000000"/>
          <w:kern w:val="0"/>
          <w:szCs w:val="32"/>
        </w:rPr>
      </w:pPr>
      <w:r>
        <w:rPr>
          <w:color w:val="000000"/>
          <w:kern w:val="0"/>
          <w:szCs w:val="32"/>
        </w:rPr>
        <w:t>（三）其他收入：指除上述“财政拨款收入”、“事业收入”、“经营收入”等以外的收入。</w:t>
      </w:r>
    </w:p>
    <w:p>
      <w:pPr>
        <w:widowControl/>
        <w:spacing w:line="580" w:lineRule="exact"/>
        <w:ind w:firstLine="640"/>
        <w:rPr>
          <w:color w:val="000000"/>
          <w:kern w:val="0"/>
          <w:szCs w:val="32"/>
        </w:rPr>
      </w:pPr>
      <w:r>
        <w:rPr>
          <w:color w:val="000000"/>
          <w:kern w:val="0"/>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rPr>
          <w:color w:val="000000"/>
          <w:kern w:val="0"/>
          <w:szCs w:val="32"/>
        </w:rPr>
      </w:pPr>
      <w:r>
        <w:rPr>
          <w:color w:val="000000"/>
          <w:kern w:val="0"/>
          <w:szCs w:val="32"/>
        </w:rPr>
        <w:t>（五）年初结转和结余：指以前年度尚未完成、结转到本年仍按原规定用途继续使用的资金，或项目已完成等产生的结余资金。</w:t>
      </w:r>
    </w:p>
    <w:p>
      <w:pPr>
        <w:widowControl/>
        <w:spacing w:line="580" w:lineRule="exact"/>
        <w:ind w:firstLine="640"/>
        <w:rPr>
          <w:color w:val="000000"/>
          <w:kern w:val="0"/>
          <w:szCs w:val="32"/>
        </w:rPr>
      </w:pPr>
      <w:r>
        <w:rPr>
          <w:color w:val="000000"/>
          <w:kern w:val="0"/>
          <w:szCs w:val="32"/>
        </w:rPr>
        <w:t>（六）结余分配：指事业单位按照事业单位会计制度的规定从非财政补助结余中分配的事业基金和职工福利基金等。</w:t>
      </w:r>
    </w:p>
    <w:p>
      <w:pPr>
        <w:widowControl/>
        <w:spacing w:line="580" w:lineRule="exact"/>
        <w:ind w:firstLine="640"/>
        <w:rPr>
          <w:color w:val="000000"/>
          <w:kern w:val="0"/>
          <w:szCs w:val="32"/>
        </w:rPr>
      </w:pPr>
      <w:r>
        <w:rPr>
          <w:color w:val="000000"/>
          <w:kern w:val="0"/>
          <w:szCs w:val="32"/>
        </w:rPr>
        <w:t>（七）年末结转和结余：指单位按有关规定结转到下年或以后年度继续使用的资金，或项目已完成等产生的结余资金。</w:t>
      </w:r>
    </w:p>
    <w:p>
      <w:pPr>
        <w:widowControl/>
        <w:spacing w:line="580" w:lineRule="exact"/>
        <w:ind w:firstLine="640"/>
        <w:rPr>
          <w:color w:val="000000"/>
          <w:kern w:val="0"/>
          <w:szCs w:val="32"/>
        </w:rPr>
      </w:pPr>
      <w:r>
        <w:rPr>
          <w:color w:val="000000"/>
          <w:kern w:val="0"/>
          <w:szCs w:val="32"/>
        </w:rPr>
        <w:t>（八）基本支出：填列单位为保障机构正常运转、完成日常工作任务而发生的各项支出。</w:t>
      </w:r>
    </w:p>
    <w:p>
      <w:pPr>
        <w:widowControl/>
        <w:spacing w:line="580" w:lineRule="exact"/>
        <w:ind w:firstLine="640"/>
        <w:rPr>
          <w:color w:val="000000"/>
          <w:kern w:val="0"/>
          <w:szCs w:val="32"/>
        </w:rPr>
      </w:pPr>
      <w:r>
        <w:rPr>
          <w:color w:val="000000"/>
          <w:kern w:val="0"/>
          <w:szCs w:val="32"/>
        </w:rPr>
        <w:t>（九）项目支出：填列单位为完成特定的行政工作任务或事业发展目标，在基本支出之外发生的各项支出</w:t>
      </w:r>
    </w:p>
    <w:p>
      <w:pPr>
        <w:widowControl/>
        <w:spacing w:line="580" w:lineRule="exact"/>
        <w:ind w:firstLine="640"/>
        <w:rPr>
          <w:color w:val="000000"/>
          <w:kern w:val="0"/>
          <w:szCs w:val="32"/>
        </w:rPr>
      </w:pPr>
      <w:r>
        <w:rPr>
          <w:color w:val="000000"/>
          <w:kern w:val="0"/>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80" w:lineRule="exact"/>
        <w:ind w:firstLine="640"/>
        <w:rPr>
          <w:color w:val="000000"/>
          <w:kern w:val="0"/>
          <w:szCs w:val="32"/>
        </w:rPr>
      </w:pPr>
      <w:r>
        <w:rPr>
          <w:color w:val="000000"/>
          <w:kern w:val="0"/>
          <w:szCs w:val="32"/>
        </w:rPr>
        <w:t>（十一）其他资本性支出：填列由各级非发展与改革部门集中安排的用于购置固定资产、战备性和应急性储备、土地和无形资产，以及购建基础设施、大型修缮和财政支持企业更新改造所发生的支出。</w:t>
      </w:r>
    </w:p>
    <w:p>
      <w:pPr>
        <w:widowControl/>
        <w:spacing w:line="580" w:lineRule="exact"/>
        <w:ind w:firstLine="640"/>
        <w:rPr>
          <w:color w:val="000000"/>
          <w:kern w:val="0"/>
          <w:szCs w:val="32"/>
        </w:rPr>
      </w:pPr>
      <w:r>
        <w:rPr>
          <w:color w:val="000000"/>
          <w:kern w:val="0"/>
          <w:szCs w:val="32"/>
        </w:rPr>
        <w:t>（十二）“三公”经费：指部门用</w:t>
      </w:r>
      <w:r>
        <w:rPr>
          <w:rFonts w:hint="eastAsia"/>
          <w:color w:val="000000"/>
          <w:kern w:val="0"/>
          <w:szCs w:val="32"/>
        </w:rPr>
        <w:t>一般公共预算拨款</w:t>
      </w:r>
      <w:r>
        <w:rPr>
          <w:color w:val="000000"/>
          <w:kern w:val="0"/>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rPr>
          <w:color w:val="000000"/>
          <w:kern w:val="0"/>
          <w:szCs w:val="32"/>
        </w:rPr>
      </w:pPr>
      <w:r>
        <w:rPr>
          <w:color w:val="000000"/>
          <w:kern w:val="0"/>
          <w:szCs w:val="32"/>
        </w:rPr>
        <w:t>（十三）其他交通费用：填列单位除公务用车运行维护费以外的其他交通费用。如飞机、船舶等的燃料费、维修费、过桥过路费、保险费、出租车费用、公务交通补贴等。</w:t>
      </w:r>
    </w:p>
    <w:p>
      <w:pPr>
        <w:widowControl/>
        <w:spacing w:line="580" w:lineRule="exact"/>
        <w:ind w:firstLine="640"/>
        <w:rPr>
          <w:color w:val="000000"/>
          <w:kern w:val="0"/>
          <w:szCs w:val="32"/>
        </w:rPr>
      </w:pPr>
      <w:r>
        <w:rPr>
          <w:color w:val="000000"/>
          <w:kern w:val="0"/>
          <w:szCs w:val="32"/>
        </w:rPr>
        <w:t>（十四）公务用车购置：填列单位公务用车车辆购置支出（含车辆购置税）。</w:t>
      </w:r>
    </w:p>
    <w:p>
      <w:pPr>
        <w:widowControl/>
        <w:spacing w:line="580" w:lineRule="exact"/>
        <w:ind w:firstLine="640"/>
        <w:rPr>
          <w:color w:val="000000"/>
          <w:kern w:val="0"/>
          <w:szCs w:val="32"/>
        </w:rPr>
      </w:pPr>
      <w:r>
        <w:rPr>
          <w:color w:val="000000"/>
          <w:kern w:val="0"/>
          <w:szCs w:val="32"/>
        </w:rPr>
        <w:t>（十五）其他交通工具购置：填列单位除公务用车外的其他各类交通工具（如船舶、飞机）购置支出（含车辆购置税）。</w:t>
      </w:r>
    </w:p>
    <w:p>
      <w:pPr>
        <w:widowControl/>
        <w:spacing w:line="580" w:lineRule="exact"/>
        <w:ind w:firstLine="640"/>
        <w:rPr>
          <w:color w:val="000000"/>
          <w:kern w:val="0"/>
          <w:szCs w:val="32"/>
        </w:rPr>
      </w:pPr>
      <w:r>
        <w:rPr>
          <w:color w:val="000000"/>
          <w:kern w:val="0"/>
          <w:szCs w:val="32"/>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ind w:left="640" w:firstLine="640"/>
        <w:rPr>
          <w:rFonts w:ascii="仿宋_GB2312"/>
          <w:szCs w:val="32"/>
        </w:rPr>
      </w:pPr>
    </w:p>
    <w:p>
      <w:pPr>
        <w:ind w:left="640" w:firstLine="640"/>
        <w:rPr>
          <w:rFonts w:ascii="仿宋_GB2312"/>
          <w:szCs w:val="32"/>
        </w:rPr>
      </w:pPr>
    </w:p>
    <w:p>
      <w:pPr>
        <w:ind w:left="640" w:firstLine="640"/>
        <w:rPr>
          <w:rFonts w:ascii="仿宋_GB231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9</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21</w:t>
    </w:r>
    <w:r>
      <w:rPr>
        <w:rFonts w:ascii="Arial" w:hAnsi="Arial" w:cs="Arial"/>
        <w:b/>
        <w:sz w:val="21"/>
        <w:szCs w:val="21"/>
      </w:rPr>
      <w:fldChar w:fldCharType="end"/>
    </w:r>
    <w:r>
      <w:rPr>
        <w:rFonts w:hint="eastAsia"/>
        <w:b/>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D9"/>
    <w:rsid w:val="00005A31"/>
    <w:rsid w:val="000244B1"/>
    <w:rsid w:val="00054C53"/>
    <w:rsid w:val="0007561C"/>
    <w:rsid w:val="000F00FD"/>
    <w:rsid w:val="00103253"/>
    <w:rsid w:val="0011224D"/>
    <w:rsid w:val="00127C8F"/>
    <w:rsid w:val="00155A0C"/>
    <w:rsid w:val="00172A9E"/>
    <w:rsid w:val="00175A3A"/>
    <w:rsid w:val="0017741E"/>
    <w:rsid w:val="0019263B"/>
    <w:rsid w:val="001F41FA"/>
    <w:rsid w:val="00204503"/>
    <w:rsid w:val="00231700"/>
    <w:rsid w:val="00271D6D"/>
    <w:rsid w:val="0027309A"/>
    <w:rsid w:val="00273E03"/>
    <w:rsid w:val="0029596B"/>
    <w:rsid w:val="002A3356"/>
    <w:rsid w:val="002D1C92"/>
    <w:rsid w:val="00302292"/>
    <w:rsid w:val="00305FCB"/>
    <w:rsid w:val="00310A7C"/>
    <w:rsid w:val="00312F9F"/>
    <w:rsid w:val="003155B1"/>
    <w:rsid w:val="003209A7"/>
    <w:rsid w:val="00382D72"/>
    <w:rsid w:val="003D0079"/>
    <w:rsid w:val="003D144F"/>
    <w:rsid w:val="003F6043"/>
    <w:rsid w:val="00404BA5"/>
    <w:rsid w:val="00405DD5"/>
    <w:rsid w:val="004277AF"/>
    <w:rsid w:val="00443128"/>
    <w:rsid w:val="00450D4D"/>
    <w:rsid w:val="004E7B5F"/>
    <w:rsid w:val="004F1F8E"/>
    <w:rsid w:val="004F4797"/>
    <w:rsid w:val="00502034"/>
    <w:rsid w:val="005046AD"/>
    <w:rsid w:val="005462E5"/>
    <w:rsid w:val="00562ED9"/>
    <w:rsid w:val="00593550"/>
    <w:rsid w:val="00594763"/>
    <w:rsid w:val="005C39CD"/>
    <w:rsid w:val="005C5A21"/>
    <w:rsid w:val="005C7CFB"/>
    <w:rsid w:val="005E2EB4"/>
    <w:rsid w:val="005E382E"/>
    <w:rsid w:val="00630D6A"/>
    <w:rsid w:val="00632195"/>
    <w:rsid w:val="0063565C"/>
    <w:rsid w:val="006508EE"/>
    <w:rsid w:val="00661402"/>
    <w:rsid w:val="00661FC6"/>
    <w:rsid w:val="00663E9F"/>
    <w:rsid w:val="00682F9B"/>
    <w:rsid w:val="006A1D43"/>
    <w:rsid w:val="006B012E"/>
    <w:rsid w:val="006C00CA"/>
    <w:rsid w:val="006D0738"/>
    <w:rsid w:val="006D6A17"/>
    <w:rsid w:val="006F5699"/>
    <w:rsid w:val="006F7A05"/>
    <w:rsid w:val="00712D5F"/>
    <w:rsid w:val="00744B46"/>
    <w:rsid w:val="00746674"/>
    <w:rsid w:val="007C0837"/>
    <w:rsid w:val="007C4984"/>
    <w:rsid w:val="007D592B"/>
    <w:rsid w:val="007E0799"/>
    <w:rsid w:val="0080381A"/>
    <w:rsid w:val="008248C5"/>
    <w:rsid w:val="00830C9C"/>
    <w:rsid w:val="008529DA"/>
    <w:rsid w:val="00870A31"/>
    <w:rsid w:val="008716D0"/>
    <w:rsid w:val="0088425E"/>
    <w:rsid w:val="008951B5"/>
    <w:rsid w:val="008C5FD8"/>
    <w:rsid w:val="008C78C5"/>
    <w:rsid w:val="008F3A14"/>
    <w:rsid w:val="0092275C"/>
    <w:rsid w:val="00933F7D"/>
    <w:rsid w:val="00937A08"/>
    <w:rsid w:val="00945029"/>
    <w:rsid w:val="00952574"/>
    <w:rsid w:val="00965A07"/>
    <w:rsid w:val="00965AC4"/>
    <w:rsid w:val="009A2241"/>
    <w:rsid w:val="009D3E47"/>
    <w:rsid w:val="009F4499"/>
    <w:rsid w:val="00A05198"/>
    <w:rsid w:val="00A13A55"/>
    <w:rsid w:val="00A266EB"/>
    <w:rsid w:val="00A4272B"/>
    <w:rsid w:val="00A513A6"/>
    <w:rsid w:val="00A72ED1"/>
    <w:rsid w:val="00A93803"/>
    <w:rsid w:val="00AA33A5"/>
    <w:rsid w:val="00AB34E3"/>
    <w:rsid w:val="00AC76D6"/>
    <w:rsid w:val="00AF2C1C"/>
    <w:rsid w:val="00B42B02"/>
    <w:rsid w:val="00B701EF"/>
    <w:rsid w:val="00B72BF5"/>
    <w:rsid w:val="00B86180"/>
    <w:rsid w:val="00B966B9"/>
    <w:rsid w:val="00B96A7F"/>
    <w:rsid w:val="00BA26B2"/>
    <w:rsid w:val="00BB55D2"/>
    <w:rsid w:val="00BC4069"/>
    <w:rsid w:val="00BC625F"/>
    <w:rsid w:val="00BE31D1"/>
    <w:rsid w:val="00BF1C0F"/>
    <w:rsid w:val="00C36EFE"/>
    <w:rsid w:val="00CE7AA1"/>
    <w:rsid w:val="00CF1175"/>
    <w:rsid w:val="00CF7D21"/>
    <w:rsid w:val="00D068E1"/>
    <w:rsid w:val="00D2211A"/>
    <w:rsid w:val="00D2301D"/>
    <w:rsid w:val="00D34D1F"/>
    <w:rsid w:val="00D4698B"/>
    <w:rsid w:val="00D51081"/>
    <w:rsid w:val="00D82AF5"/>
    <w:rsid w:val="00D87BD4"/>
    <w:rsid w:val="00D87C18"/>
    <w:rsid w:val="00DE515A"/>
    <w:rsid w:val="00E03175"/>
    <w:rsid w:val="00E5216F"/>
    <w:rsid w:val="00E553CD"/>
    <w:rsid w:val="00E7487B"/>
    <w:rsid w:val="00E86868"/>
    <w:rsid w:val="00EA5972"/>
    <w:rsid w:val="00EB45A9"/>
    <w:rsid w:val="00EB63A9"/>
    <w:rsid w:val="00EC62AA"/>
    <w:rsid w:val="00ED09E5"/>
    <w:rsid w:val="00ED6876"/>
    <w:rsid w:val="00ED6B4C"/>
    <w:rsid w:val="00EF493B"/>
    <w:rsid w:val="00F0463B"/>
    <w:rsid w:val="00F0518B"/>
    <w:rsid w:val="00F05F78"/>
    <w:rsid w:val="00F06F8D"/>
    <w:rsid w:val="00F7462B"/>
    <w:rsid w:val="00F944BC"/>
    <w:rsid w:val="00F9758A"/>
    <w:rsid w:val="00FC3BAC"/>
    <w:rsid w:val="00FD5BCA"/>
    <w:rsid w:val="00FF65FE"/>
    <w:rsid w:val="123C6FA2"/>
    <w:rsid w:val="17CD5EEB"/>
    <w:rsid w:val="3C3E4F6A"/>
    <w:rsid w:val="4F424464"/>
    <w:rsid w:val="55B80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Calibri" w:hAnsi="Calibri" w:eastAsia="宋体" w:cs="Times New Roman"/>
      <w:kern w:val="0"/>
      <w:sz w:val="18"/>
      <w:szCs w:val="18"/>
    </w:rPr>
  </w:style>
  <w:style w:type="character" w:customStyle="1" w:styleId="8">
    <w:name w:val="页脚 Char"/>
    <w:basedOn w:val="6"/>
    <w:link w:val="2"/>
    <w:qFormat/>
    <w:uiPriority w:val="99"/>
    <w:rPr>
      <w:rFonts w:ascii="Calibri" w:hAnsi="Calibri" w:eastAsia="宋体" w:cs="Times New Roman"/>
      <w:kern w:val="0"/>
      <w:sz w:val="18"/>
      <w:szCs w:val="18"/>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0D557-6F78-46FF-B649-517BD976463D}">
  <ds:schemaRefs/>
</ds:datastoreItem>
</file>

<file path=docProps/app.xml><?xml version="1.0" encoding="utf-8"?>
<Properties xmlns="http://schemas.openxmlformats.org/officeDocument/2006/extended-properties" xmlns:vt="http://schemas.openxmlformats.org/officeDocument/2006/docPropsVTypes">
  <Template>Normal</Template>
  <Company>gkk</Company>
  <Pages>23</Pages>
  <Words>1104</Words>
  <Characters>6299</Characters>
  <Lines>52</Lines>
  <Paragraphs>14</Paragraphs>
  <TotalTime>2</TotalTime>
  <ScaleCrop>false</ScaleCrop>
  <LinksUpToDate>false</LinksUpToDate>
  <CharactersWithSpaces>7389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2019-03-11T02:14:00Z</dcterms:created>
  <dc:creator>jia</dc:creator>
  <cp:lastModifiedBy>A城市人家 毕岩松U</cp:lastModifiedBy>
  <dcterms:modified xsi:type="dcterms:W3CDTF">2023-11-07T08:24:33Z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