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jc w:val="center"/>
        <w:rPr>
          <w:rFonts w:ascii="宋体" w:eastAsia="宋体"/>
          <w:sz w:val="44"/>
          <w:szCs w:val="44"/>
        </w:rPr>
      </w:pPr>
      <w:r>
        <w:rPr>
          <w:rFonts w:hint="eastAsia" w:ascii="宋体" w:eastAsia="宋体"/>
          <w:sz w:val="44"/>
          <w:szCs w:val="44"/>
        </w:rPr>
        <w:t>2016年度部门决算公开</w:t>
      </w:r>
      <w:r>
        <w:rPr>
          <w:rFonts w:ascii="宋体" w:eastAsia="宋体"/>
          <w:sz w:val="44"/>
          <w:szCs w:val="44"/>
        </w:rPr>
        <w:t>目录</w:t>
      </w:r>
    </w:p>
    <w:p>
      <w:pPr>
        <w:ind w:firstLine="880"/>
        <w:rPr>
          <w:rFonts w:ascii="黑体" w:eastAsia="黑体"/>
          <w:szCs w:val="32"/>
        </w:rPr>
      </w:pPr>
      <w:r>
        <w:rPr>
          <w:rFonts w:ascii="方正小标宋_GBK" w:eastAsia="方正小标宋_GBK"/>
          <w:sz w:val="44"/>
          <w:szCs w:val="44"/>
        </w:rPr>
        <mc:AlternateContent>
          <mc:Choice Requires="wps">
            <w:drawing>
              <wp:anchor distT="0" distB="0" distL="113665" distR="113665" simplePos="0" relativeHeight="251659264" behindDoc="0" locked="0" layoutInCell="1" allowOverlap="1">
                <wp:simplePos x="0" y="0"/>
                <wp:positionH relativeFrom="column">
                  <wp:posOffset>-448945</wp:posOffset>
                </wp:positionH>
                <wp:positionV relativeFrom="paragraph">
                  <wp:posOffset>-1029335</wp:posOffset>
                </wp:positionV>
                <wp:extent cx="1008380" cy="472440"/>
                <wp:effectExtent l="0" t="0" r="0" b="0"/>
                <wp:wrapNone/>
                <wp:docPr id="1" name="文本框 1"/>
                <wp:cNvGraphicFramePr/>
                <a:graphic xmlns:a="http://schemas.openxmlformats.org/drawingml/2006/main">
                  <a:graphicData uri="http://schemas.microsoft.com/office/word/2010/wordprocessingShape">
                    <wps:wsp>
                      <wps:cNvSpPr/>
                      <wps:spPr>
                        <a:xfrm>
                          <a:off x="0" y="0"/>
                          <a:ext cx="1008380" cy="472440"/>
                        </a:xfrm>
                        <a:prstGeom prst="rect">
                          <a:avLst/>
                        </a:prstGeom>
                        <a:solidFill>
                          <a:srgbClr val="FFFFFF"/>
                        </a:solidFill>
                        <a:ln w="9525" cmpd="sng">
                          <a:noFill/>
                          <a:prstDash val="solid"/>
                          <a:miter/>
                        </a:ln>
                      </wps:spPr>
                      <wps:txbx>
                        <w:txbxContent>
                          <w:p>
                            <w:pPr>
                              <w:ind w:firstLine="640"/>
                            </w:pPr>
                          </w:p>
                        </w:txbxContent>
                      </wps:txbx>
                      <wps:bodyPr vert="horz" wrap="square" lIns="91440" tIns="45720" rIns="91440" bIns="45720" anchor="t" anchorCtr="0" upright="1">
                        <a:spAutoFit/>
                      </wps:bodyPr>
                    </wps:wsp>
                  </a:graphicData>
                </a:graphic>
              </wp:anchor>
            </w:drawing>
          </mc:Choice>
          <mc:Fallback>
            <w:pict>
              <v:rect id="文本框 1" o:spid="_x0000_s1026" o:spt="1" style="position:absolute;left:0pt;margin-left:-35.35pt;margin-top:-81.05pt;height:37.2pt;width:79.4pt;z-index:251659264;mso-width-relative:page;mso-height-relative:page;" fillcolor="#FFFFFF" filled="t" stroked="f" coordsize="21600,21600" o:gfxdata="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dJRqvYAAAACwEA&#10;AA8AAAAAAAAAAQAgAAAAIgAAAGRycy9kb3ducmV2LnhtbFBLAQIUABQAAAAIAIdO4kDCpk8qGgIA&#10;ACUEAAAOAAAAAAAAAAEAIAAAACcBAABkcnMvZTJvRG9jLnhtbFBLBQYAAAAABgAGAFkBAACzBQAA&#10;AAA=&#10;">
                <v:fill on="t" focussize="0,0"/>
                <v:stroke on="f" joinstyle="miter"/>
                <v:imagedata o:title=""/>
                <o:lock v:ext="edit" aspectratio="f"/>
                <v:textbox style="mso-fit-shape-to-text:t;">
                  <w:txbxContent>
                    <w:p>
                      <w:pPr>
                        <w:ind w:firstLine="640"/>
                      </w:pPr>
                    </w:p>
                  </w:txbxContent>
                </v:textbox>
              </v:rect>
            </w:pict>
          </mc:Fallback>
        </mc:AlternateContent>
      </w:r>
    </w:p>
    <w:p>
      <w:pPr>
        <w:ind w:firstLine="0" w:firstLineChars="0"/>
        <w:jc w:val="center"/>
        <w:rPr>
          <w:rFonts w:ascii="仿宋_GB2312"/>
          <w:sz w:val="24"/>
          <w:szCs w:val="32"/>
        </w:rPr>
      </w:pPr>
      <w:r>
        <w:rPr>
          <w:rFonts w:hint="eastAsia" w:ascii="黑体" w:eastAsia="黑体"/>
          <w:szCs w:val="32"/>
        </w:rPr>
        <w:t xml:space="preserve">第一部分   </w:t>
      </w:r>
      <w:r>
        <w:rPr>
          <w:rFonts w:ascii="黑体" w:eastAsia="黑体"/>
          <w:szCs w:val="32"/>
        </w:rPr>
        <w:t>编办</w:t>
      </w:r>
      <w:r>
        <w:rPr>
          <w:rFonts w:hint="eastAsia" w:ascii="黑体" w:eastAsia="黑体"/>
          <w:szCs w:val="32"/>
        </w:rPr>
        <w:t>部门概况</w:t>
      </w:r>
    </w:p>
    <w:p>
      <w:pPr>
        <w:ind w:firstLine="640"/>
        <w:rPr>
          <w:rFonts w:ascii="仿宋_GB2312"/>
          <w:szCs w:val="32"/>
        </w:rPr>
      </w:pPr>
      <w:r>
        <w:rPr>
          <w:rFonts w:hint="eastAsia" w:ascii="仿宋_GB2312"/>
          <w:szCs w:val="32"/>
        </w:rPr>
        <w:t>一、部门职责</w:t>
      </w:r>
    </w:p>
    <w:p>
      <w:pPr>
        <w:ind w:left="1120" w:leftChars="200" w:hanging="480" w:hangingChars="150"/>
        <w:rPr>
          <w:rFonts w:ascii="仿宋_GB2312" w:cs="宋体"/>
          <w:szCs w:val="32"/>
        </w:rPr>
      </w:pPr>
      <w:r>
        <w:rPr>
          <w:rFonts w:hint="eastAsia" w:ascii="仿宋_GB2312" w:cs="宋体"/>
          <w:szCs w:val="32"/>
        </w:rPr>
        <w:t>（一）贯彻落实上级关于行政管理体制和机构改革以及机构</w:t>
      </w:r>
    </w:p>
    <w:p>
      <w:pPr>
        <w:ind w:left="320" w:hanging="320" w:hangingChars="100"/>
        <w:rPr>
          <w:rFonts w:ascii="仿宋_GB2312" w:cs="宋体"/>
          <w:szCs w:val="32"/>
        </w:rPr>
      </w:pPr>
      <w:r>
        <w:rPr>
          <w:rFonts w:hint="eastAsia" w:ascii="仿宋_GB2312" w:cs="宋体"/>
          <w:szCs w:val="32"/>
        </w:rPr>
        <w:t>编制管理的政策法规；组织拟订全区行政管理体制和机构改革以及机构编制管理的政策规定并监督实施；管理和指导全区各级党政机关，人大、政协、法院、检察院机关，各民主党派、人民团体机关的机构编制工作；管理和指导全区事业单位机构编制工作。</w:t>
      </w:r>
      <w:r>
        <w:rPr>
          <w:rFonts w:hint="eastAsia" w:ascii="仿宋_GB2312" w:cs="宋体"/>
          <w:szCs w:val="32"/>
        </w:rPr>
        <w:br w:type="textWrapping"/>
      </w:r>
      <w:r>
        <w:rPr>
          <w:rFonts w:hint="eastAsia" w:ascii="仿宋_GB2312" w:cs="宋体"/>
          <w:szCs w:val="32"/>
        </w:rPr>
        <w:t xml:space="preserve">    （二）组织拟订全区行政管理体制和机构改革的总体方案并组织实施；拟订区委、区政府机构改革方案；审核区委、区政府各部门职能配置、机构设置、人员编制和领导职数；审核镇行政管理体制和机构改革方案；审核并管理全区各级各类人员编制总额。</w:t>
      </w:r>
      <w:r>
        <w:rPr>
          <w:rFonts w:hint="eastAsia" w:ascii="仿宋_GB2312" w:cs="宋体"/>
          <w:szCs w:val="32"/>
        </w:rPr>
        <w:br w:type="textWrapping"/>
      </w:r>
      <w:r>
        <w:rPr>
          <w:rFonts w:hint="eastAsia" w:ascii="仿宋_GB2312" w:cs="宋体"/>
          <w:szCs w:val="32"/>
        </w:rPr>
        <w:t xml:space="preserve">    （三）审核区人大、区政协、区法院、区检察院和区各民主党派、人民团体机关的职能配置、机构设置、人员编制和领导职数；审核区委、区政府或各部门派出机构的职能配置、机构设置、人员编制和领导职数。</w:t>
      </w:r>
      <w:r>
        <w:rPr>
          <w:rFonts w:hint="eastAsia" w:ascii="仿宋_GB2312" w:cs="宋体"/>
          <w:szCs w:val="32"/>
        </w:rPr>
        <w:br w:type="textWrapping"/>
      </w:r>
      <w:r>
        <w:rPr>
          <w:rFonts w:hint="eastAsia" w:ascii="仿宋_GB2312" w:cs="宋体"/>
          <w:szCs w:val="32"/>
        </w:rPr>
        <w:t xml:space="preserve">    （四）组织拟订全区事业单位管理体制和机构改革方案；审核区委、区政府直属事业机构或所属事业单位以及区直各部门所属事业单位的机构编制事宜；负责事业单位机构编制管理方面的其他重要事项，负责镇和街道所属事业单位管理体制改革和机构编制管理工作；负责全区事业单位法人登记管理和监督检查工作。</w:t>
      </w:r>
      <w:r>
        <w:rPr>
          <w:rFonts w:hint="eastAsia" w:ascii="仿宋_GB2312" w:cs="宋体"/>
          <w:szCs w:val="32"/>
        </w:rPr>
        <w:br w:type="textWrapping"/>
      </w:r>
      <w:r>
        <w:rPr>
          <w:rFonts w:hint="eastAsia" w:ascii="仿宋_GB2312" w:cs="宋体"/>
          <w:szCs w:val="32"/>
        </w:rPr>
        <w:t xml:space="preserve">    （五）协调区直各部门之间、区直各部门与镇、街、园区之间的职责分工。</w:t>
      </w:r>
      <w:r>
        <w:rPr>
          <w:rFonts w:hint="eastAsia" w:ascii="仿宋_GB2312" w:cs="宋体"/>
          <w:szCs w:val="32"/>
        </w:rPr>
        <w:br w:type="textWrapping"/>
      </w:r>
      <w:r>
        <w:rPr>
          <w:rFonts w:hint="eastAsia" w:ascii="仿宋_GB2312" w:cs="宋体"/>
          <w:szCs w:val="32"/>
        </w:rPr>
        <w:t xml:space="preserve">    （六）审核全区股级以上机关、事业单位机构的设置与调整事宜。</w:t>
      </w:r>
      <w:r>
        <w:rPr>
          <w:rFonts w:hint="eastAsia" w:ascii="仿宋_GB2312" w:cs="宋体"/>
          <w:szCs w:val="32"/>
        </w:rPr>
        <w:br w:type="textWrapping"/>
      </w:r>
      <w:r>
        <w:rPr>
          <w:rFonts w:hint="eastAsia" w:ascii="仿宋_GB2312" w:cs="宋体"/>
          <w:szCs w:val="32"/>
        </w:rPr>
        <w:t xml:space="preserve">    （七）指导辖区内园区行政管理体制改革工作；审核辖区内园区职能配置、机构设置、人员编制和领导职数。</w:t>
      </w:r>
      <w:r>
        <w:rPr>
          <w:rFonts w:hint="eastAsia" w:ascii="仿宋_GB2312" w:cs="宋体"/>
          <w:szCs w:val="32"/>
        </w:rPr>
        <w:br w:type="textWrapping"/>
      </w:r>
      <w:r>
        <w:rPr>
          <w:rFonts w:hint="eastAsia" w:ascii="仿宋_GB2312" w:cs="宋体"/>
          <w:szCs w:val="32"/>
        </w:rPr>
        <w:t xml:space="preserve">    （八）负责机构编制日常管理；负责机构编制实名制管理以及编制使用核准等工作；建立健全机构编制部门与有关部门的配合制约机制。</w:t>
      </w:r>
      <w:r>
        <w:rPr>
          <w:rFonts w:hint="eastAsia" w:ascii="仿宋_GB2312" w:cs="宋体"/>
          <w:szCs w:val="32"/>
        </w:rPr>
        <w:br w:type="textWrapping"/>
      </w:r>
      <w:r>
        <w:rPr>
          <w:rFonts w:hint="eastAsia" w:ascii="仿宋_GB2312" w:cs="宋体"/>
          <w:szCs w:val="32"/>
        </w:rPr>
        <w:t xml:space="preserve">    （九）负责对全区行政、事业单位管理体制和机构改革及机构编制执行情况的跟踪评估和监督检查，及时报告区编委并上报区委、区政府；负责受理违反机构编制法规、纪律的检举、控告和投诉，对违反机构编制法规、纪律问题进行调查处理。</w:t>
      </w:r>
      <w:r>
        <w:rPr>
          <w:rFonts w:hint="eastAsia" w:ascii="仿宋_GB2312" w:cs="宋体"/>
          <w:szCs w:val="32"/>
        </w:rPr>
        <w:br w:type="textWrapping"/>
      </w:r>
      <w:r>
        <w:rPr>
          <w:rFonts w:hint="eastAsia" w:ascii="仿宋_GB2312" w:cs="宋体"/>
          <w:szCs w:val="32"/>
        </w:rPr>
        <w:t xml:space="preserve">    （十）负责全区机构编制电子政务和信息化建设与管理工作；负责全区机构编制统计工作。</w:t>
      </w:r>
      <w:r>
        <w:rPr>
          <w:rFonts w:hint="eastAsia" w:ascii="仿宋_GB2312" w:cs="宋体"/>
          <w:szCs w:val="32"/>
        </w:rPr>
        <w:br w:type="textWrapping"/>
      </w:r>
      <w:r>
        <w:rPr>
          <w:rFonts w:hint="eastAsia" w:ascii="仿宋_GB2312" w:cs="宋体"/>
          <w:szCs w:val="32"/>
        </w:rPr>
        <w:t xml:space="preserve">    （十一）承办区委、区政府和区机构编制委员会交办的其他事项。</w:t>
      </w:r>
    </w:p>
    <w:p>
      <w:pPr>
        <w:ind w:left="358" w:leftChars="112" w:firstLine="320" w:firstLineChars="100"/>
        <w:rPr>
          <w:rFonts w:ascii="仿宋_GB2312"/>
          <w:szCs w:val="32"/>
        </w:rPr>
      </w:pPr>
      <w:r>
        <w:rPr>
          <w:rFonts w:hint="eastAsia" w:ascii="仿宋_GB2312"/>
          <w:szCs w:val="32"/>
        </w:rPr>
        <w:t>二、部门决算单位构成</w:t>
      </w:r>
    </w:p>
    <w:p>
      <w:pPr>
        <w:spacing w:line="560" w:lineRule="exact"/>
        <w:ind w:firstLine="560" w:firstLineChars="0"/>
        <w:rPr>
          <w:rFonts w:ascii="仿宋_GB2312" w:cs="仿宋"/>
          <w:szCs w:val="32"/>
        </w:rPr>
      </w:pPr>
      <w:r>
        <w:rPr>
          <w:rFonts w:hint="eastAsia" w:ascii="仿宋_GB2312" w:cs="仿宋"/>
          <w:szCs w:val="32"/>
        </w:rPr>
        <w:t>海港区编办部门决算仅有1个独立决算单位。</w:t>
      </w:r>
    </w:p>
    <w:p>
      <w:pPr>
        <w:ind w:firstLine="0" w:firstLineChars="0"/>
        <w:rPr>
          <w:rFonts w:ascii="黑体" w:eastAsia="黑体"/>
          <w:szCs w:val="32"/>
        </w:rPr>
      </w:pPr>
    </w:p>
    <w:p>
      <w:pPr>
        <w:ind w:firstLine="0" w:firstLineChars="0"/>
        <w:jc w:val="center"/>
        <w:rPr>
          <w:rFonts w:ascii="仿宋_GB2312"/>
          <w:sz w:val="20"/>
          <w:szCs w:val="32"/>
        </w:rPr>
      </w:pPr>
      <w:r>
        <w:rPr>
          <w:rFonts w:hint="eastAsia" w:ascii="黑体" w:eastAsia="黑体"/>
          <w:szCs w:val="32"/>
        </w:rPr>
        <w:t xml:space="preserve">第二部分   </w:t>
      </w:r>
      <w:r>
        <w:rPr>
          <w:rFonts w:ascii="黑体" w:eastAsia="黑体"/>
          <w:szCs w:val="32"/>
        </w:rPr>
        <w:t>编办</w:t>
      </w:r>
      <w:r>
        <w:rPr>
          <w:rFonts w:hint="eastAsia" w:ascii="黑体" w:eastAsia="黑体"/>
          <w:szCs w:val="32"/>
        </w:rPr>
        <w:t>部门2016年度部门决算报表</w:t>
      </w:r>
    </w:p>
    <w:p>
      <w:pPr>
        <w:ind w:firstLine="640"/>
        <w:rPr>
          <w:rFonts w:ascii="仿宋_GB2312"/>
          <w:szCs w:val="32"/>
        </w:rPr>
      </w:pPr>
      <w:r>
        <w:rPr>
          <w:rFonts w:hint="eastAsia" w:ascii="仿宋_GB2312"/>
          <w:szCs w:val="32"/>
        </w:rPr>
        <w:t>一、收入支出决算总表</w:t>
      </w:r>
    </w:p>
    <w:p>
      <w:pPr>
        <w:ind w:firstLine="640"/>
        <w:rPr>
          <w:rFonts w:ascii="仿宋_GB2312"/>
          <w:szCs w:val="32"/>
        </w:rPr>
      </w:pPr>
      <w:r>
        <w:rPr>
          <w:rFonts w:hint="eastAsia" w:ascii="仿宋_GB2312"/>
          <w:szCs w:val="32"/>
        </w:rPr>
        <w:t>二、收入决算表</w:t>
      </w:r>
    </w:p>
    <w:p>
      <w:pPr>
        <w:ind w:firstLine="640"/>
        <w:rPr>
          <w:rFonts w:ascii="仿宋_GB2312"/>
          <w:szCs w:val="32"/>
        </w:rPr>
      </w:pPr>
      <w:r>
        <w:rPr>
          <w:rFonts w:hint="eastAsia" w:ascii="仿宋_GB2312"/>
          <w:szCs w:val="32"/>
        </w:rPr>
        <w:t>三、支出决算表</w:t>
      </w:r>
    </w:p>
    <w:p>
      <w:pPr>
        <w:ind w:firstLine="640"/>
        <w:rPr>
          <w:rFonts w:ascii="仿宋_GB2312"/>
          <w:szCs w:val="32"/>
        </w:rPr>
      </w:pPr>
      <w:r>
        <w:rPr>
          <w:rFonts w:hint="eastAsia" w:ascii="仿宋_GB2312"/>
          <w:szCs w:val="32"/>
        </w:rPr>
        <w:t>四、财政拨款收入支出决算总表</w:t>
      </w:r>
    </w:p>
    <w:p>
      <w:pPr>
        <w:ind w:firstLine="640"/>
        <w:rPr>
          <w:rFonts w:ascii="仿宋_GB2312"/>
          <w:szCs w:val="32"/>
        </w:rPr>
      </w:pPr>
      <w:r>
        <w:rPr>
          <w:rFonts w:hint="eastAsia" w:ascii="仿宋_GB2312"/>
          <w:szCs w:val="32"/>
        </w:rPr>
        <w:t>五、一般公共预算财政拨款支出决算表</w:t>
      </w:r>
    </w:p>
    <w:p>
      <w:pPr>
        <w:ind w:firstLine="640"/>
        <w:rPr>
          <w:rFonts w:ascii="仿宋_GB2312"/>
          <w:szCs w:val="32"/>
        </w:rPr>
      </w:pPr>
      <w:r>
        <w:rPr>
          <w:rFonts w:hint="eastAsia" w:ascii="仿宋_GB2312"/>
          <w:szCs w:val="32"/>
        </w:rPr>
        <w:t>六、一般公共预算财政拨款基本支出决算表</w:t>
      </w:r>
    </w:p>
    <w:p>
      <w:pPr>
        <w:ind w:firstLine="640"/>
        <w:rPr>
          <w:rFonts w:ascii="仿宋_GB2312"/>
          <w:szCs w:val="32"/>
        </w:rPr>
      </w:pPr>
      <w:r>
        <w:rPr>
          <w:rFonts w:hint="eastAsia" w:ascii="仿宋_GB2312"/>
          <w:szCs w:val="32"/>
        </w:rPr>
        <w:t>七、政府性基金预算财政拨款收入支出决算表</w:t>
      </w:r>
    </w:p>
    <w:p>
      <w:pPr>
        <w:ind w:firstLine="640"/>
        <w:rPr>
          <w:rFonts w:ascii="仿宋_GB2312"/>
          <w:szCs w:val="32"/>
        </w:rPr>
      </w:pPr>
      <w:r>
        <w:rPr>
          <w:rFonts w:hint="eastAsia" w:ascii="仿宋_GB2312"/>
          <w:szCs w:val="32"/>
        </w:rPr>
        <w:t>八、国有资本经营预算财政拨款支出决算表</w:t>
      </w:r>
    </w:p>
    <w:p>
      <w:pPr>
        <w:ind w:firstLine="640"/>
        <w:rPr>
          <w:rFonts w:ascii="仿宋_GB2312"/>
          <w:szCs w:val="32"/>
        </w:rPr>
      </w:pPr>
      <w:r>
        <w:rPr>
          <w:rFonts w:hint="eastAsia" w:ascii="仿宋_GB2312"/>
          <w:szCs w:val="32"/>
        </w:rPr>
        <w:t>九、“三公”经费及相关信息统计表</w:t>
      </w:r>
    </w:p>
    <w:p>
      <w:pPr>
        <w:ind w:firstLine="640"/>
        <w:rPr>
          <w:rFonts w:ascii="仿宋_GB2312"/>
          <w:szCs w:val="32"/>
        </w:rPr>
      </w:pPr>
      <w:r>
        <w:rPr>
          <w:rFonts w:hint="eastAsia" w:ascii="仿宋_GB2312"/>
          <w:szCs w:val="32"/>
        </w:rPr>
        <w:t>十、政府采购情况表</w:t>
      </w:r>
    </w:p>
    <w:p>
      <w:pPr>
        <w:ind w:firstLine="0" w:firstLineChars="0"/>
        <w:rPr>
          <w:rFonts w:ascii="黑体" w:eastAsia="黑体"/>
          <w:szCs w:val="32"/>
        </w:rPr>
      </w:pPr>
    </w:p>
    <w:p>
      <w:pPr>
        <w:ind w:firstLine="0" w:firstLineChars="0"/>
        <w:jc w:val="center"/>
        <w:rPr>
          <w:rFonts w:ascii="黑体" w:eastAsia="黑体"/>
          <w:szCs w:val="32"/>
        </w:rPr>
      </w:pPr>
      <w:r>
        <w:rPr>
          <w:rFonts w:hint="eastAsia" w:ascii="黑体" w:eastAsia="黑体"/>
          <w:szCs w:val="32"/>
        </w:rPr>
        <w:t xml:space="preserve">第三部分  </w:t>
      </w:r>
      <w:r>
        <w:rPr>
          <w:rFonts w:ascii="黑体" w:eastAsia="黑体"/>
          <w:szCs w:val="32"/>
        </w:rPr>
        <w:t>编办</w:t>
      </w:r>
      <w:r>
        <w:rPr>
          <w:rFonts w:hint="eastAsia" w:ascii="黑体" w:eastAsia="黑体"/>
          <w:szCs w:val="32"/>
        </w:rPr>
        <w:t>部门2016年部门决算情况说明</w:t>
      </w:r>
    </w:p>
    <w:p>
      <w:pPr>
        <w:numPr>
          <w:ilvl w:val="0"/>
          <w:numId w:val="1"/>
        </w:numPr>
        <w:ind w:firstLineChars="0"/>
        <w:rPr>
          <w:rFonts w:ascii="仿宋_GB2312"/>
          <w:b/>
          <w:szCs w:val="32"/>
        </w:rPr>
      </w:pPr>
      <w:r>
        <w:rPr>
          <w:rFonts w:hint="eastAsia" w:ascii="仿宋_GB2312"/>
          <w:b/>
          <w:szCs w:val="32"/>
        </w:rPr>
        <w:t>预算执行情况分析</w:t>
      </w:r>
    </w:p>
    <w:p>
      <w:pPr>
        <w:ind w:left="640" w:firstLine="0" w:firstLineChars="0"/>
        <w:rPr>
          <w:rFonts w:ascii="仿宋_GB2312" w:cs="仿宋_GB2312"/>
          <w:b/>
          <w:szCs w:val="32"/>
        </w:rPr>
      </w:pPr>
      <w:r>
        <w:rPr>
          <w:rFonts w:hint="eastAsia" w:ascii="仿宋_GB2312" w:cs="仿宋_GB2312"/>
          <w:b/>
          <w:szCs w:val="32"/>
        </w:rPr>
        <w:t>1、收入支出决算总体情况说明</w:t>
      </w:r>
    </w:p>
    <w:p>
      <w:pPr>
        <w:ind w:firstLine="640"/>
        <w:rPr>
          <w:rFonts w:ascii="仿宋_GB2312" w:cs="仿宋_GB2312"/>
          <w:szCs w:val="32"/>
        </w:rPr>
      </w:pPr>
      <w:r>
        <w:rPr>
          <w:rFonts w:hint="eastAsia" w:ascii="仿宋_GB2312" w:cs="仿宋_GB2312"/>
          <w:szCs w:val="32"/>
        </w:rPr>
        <w:t>2016年</w:t>
      </w:r>
      <w:r>
        <w:rPr>
          <w:rFonts w:ascii="仿宋_GB2312" w:cs="仿宋_GB2312"/>
          <w:szCs w:val="32"/>
        </w:rPr>
        <w:t>部门</w:t>
      </w:r>
      <w:r>
        <w:rPr>
          <w:rFonts w:hint="eastAsia" w:ascii="仿宋_GB2312" w:cs="仿宋_GB2312"/>
          <w:szCs w:val="32"/>
        </w:rPr>
        <w:t>收入</w:t>
      </w:r>
      <w:r>
        <w:rPr>
          <w:rFonts w:ascii="仿宋_GB2312" w:cs="仿宋_GB2312"/>
          <w:szCs w:val="32"/>
        </w:rPr>
        <w:t>总计</w:t>
      </w:r>
      <w:r>
        <w:rPr>
          <w:rFonts w:hint="eastAsia" w:ascii="仿宋_GB2312" w:cs="仿宋_GB2312"/>
          <w:szCs w:val="32"/>
        </w:rPr>
        <w:t>308.75万元，较2015年</w:t>
      </w:r>
      <w:r>
        <w:rPr>
          <w:rFonts w:ascii="仿宋_GB2312" w:cs="仿宋_GB2312"/>
          <w:szCs w:val="32"/>
        </w:rPr>
        <w:t>部门</w:t>
      </w:r>
      <w:r>
        <w:rPr>
          <w:rFonts w:hint="eastAsia" w:ascii="仿宋_GB2312" w:cs="仿宋_GB2312"/>
          <w:szCs w:val="32"/>
        </w:rPr>
        <w:t>收入261.08万元增加47.67万元。</w:t>
      </w:r>
    </w:p>
    <w:p>
      <w:pPr>
        <w:ind w:firstLine="640"/>
        <w:rPr>
          <w:rFonts w:ascii="仿宋_GB2312" w:cs="仿宋_GB2312"/>
          <w:szCs w:val="32"/>
        </w:rPr>
      </w:pPr>
      <w:r>
        <w:rPr>
          <w:rFonts w:hint="eastAsia" w:ascii="仿宋_GB2312" w:cs="仿宋_GB2312"/>
          <w:szCs w:val="32"/>
        </w:rPr>
        <w:t>2016年</w:t>
      </w:r>
      <w:r>
        <w:rPr>
          <w:rFonts w:ascii="仿宋_GB2312" w:cs="仿宋_GB2312"/>
          <w:szCs w:val="32"/>
        </w:rPr>
        <w:t>部门</w:t>
      </w:r>
      <w:r>
        <w:rPr>
          <w:rFonts w:hint="eastAsia" w:ascii="仿宋_GB2312" w:cs="仿宋_GB2312"/>
          <w:szCs w:val="32"/>
        </w:rPr>
        <w:t>支出</w:t>
      </w:r>
      <w:r>
        <w:rPr>
          <w:rFonts w:ascii="仿宋_GB2312" w:cs="仿宋_GB2312"/>
          <w:szCs w:val="32"/>
        </w:rPr>
        <w:t>总计</w:t>
      </w:r>
      <w:r>
        <w:rPr>
          <w:rFonts w:hint="eastAsia" w:ascii="仿宋_GB2312" w:cs="仿宋_GB2312"/>
          <w:szCs w:val="32"/>
        </w:rPr>
        <w:t>297.55万元，较2015年</w:t>
      </w:r>
      <w:r>
        <w:rPr>
          <w:rFonts w:ascii="仿宋_GB2312" w:cs="仿宋_GB2312"/>
          <w:szCs w:val="32"/>
        </w:rPr>
        <w:t>部门</w:t>
      </w:r>
      <w:r>
        <w:rPr>
          <w:rFonts w:hint="eastAsia" w:ascii="仿宋_GB2312" w:cs="仿宋_GB2312"/>
          <w:szCs w:val="32"/>
        </w:rPr>
        <w:t>支出250.1万元增加47.45万元。</w:t>
      </w:r>
    </w:p>
    <w:p>
      <w:pPr>
        <w:ind w:firstLine="643"/>
        <w:rPr>
          <w:rFonts w:ascii="仿宋_GB2312" w:cs="仿宋_GB2312"/>
          <w:b/>
          <w:szCs w:val="32"/>
        </w:rPr>
      </w:pPr>
      <w:r>
        <w:rPr>
          <w:rFonts w:hint="eastAsia" w:ascii="仿宋_GB2312" w:cs="仿宋_GB2312"/>
          <w:b/>
          <w:szCs w:val="32"/>
        </w:rPr>
        <w:t>2、收入决算情况说明</w:t>
      </w:r>
    </w:p>
    <w:p>
      <w:pPr>
        <w:ind w:firstLine="640"/>
        <w:rPr>
          <w:rFonts w:ascii="仿宋_GB2312" w:cs="仿宋_GB2312"/>
          <w:szCs w:val="32"/>
        </w:rPr>
      </w:pPr>
      <w:r>
        <w:rPr>
          <w:rFonts w:hint="eastAsia" w:ascii="仿宋_GB2312" w:cs="仿宋_GB2312"/>
          <w:szCs w:val="32"/>
        </w:rPr>
        <w:t>2016年</w:t>
      </w:r>
      <w:r>
        <w:rPr>
          <w:rFonts w:ascii="仿宋_GB2312" w:cs="仿宋_GB2312"/>
          <w:szCs w:val="32"/>
        </w:rPr>
        <w:t>部门</w:t>
      </w:r>
      <w:r>
        <w:rPr>
          <w:rFonts w:hint="eastAsia" w:ascii="仿宋_GB2312" w:cs="仿宋_GB2312"/>
          <w:szCs w:val="32"/>
        </w:rPr>
        <w:t>收入</w:t>
      </w:r>
      <w:r>
        <w:rPr>
          <w:rFonts w:ascii="仿宋_GB2312" w:cs="仿宋_GB2312"/>
          <w:szCs w:val="32"/>
        </w:rPr>
        <w:t>总计</w:t>
      </w:r>
      <w:r>
        <w:rPr>
          <w:rFonts w:hint="eastAsia" w:ascii="仿宋_GB2312" w:cs="仿宋_GB2312"/>
          <w:szCs w:val="32"/>
        </w:rPr>
        <w:t>308.75万元，较2015年</w:t>
      </w:r>
      <w:r>
        <w:rPr>
          <w:rFonts w:ascii="仿宋_GB2312" w:cs="仿宋_GB2312"/>
          <w:szCs w:val="32"/>
        </w:rPr>
        <w:t>部门</w:t>
      </w:r>
      <w:r>
        <w:rPr>
          <w:rFonts w:hint="eastAsia" w:ascii="仿宋_GB2312" w:cs="仿宋_GB2312"/>
          <w:szCs w:val="32"/>
        </w:rPr>
        <w:t>收入261.08万元增加47.67万元。</w:t>
      </w:r>
    </w:p>
    <w:p>
      <w:pPr>
        <w:ind w:firstLine="643"/>
        <w:rPr>
          <w:rFonts w:ascii="仿宋_GB2312" w:cs="仿宋_GB2312"/>
          <w:b/>
          <w:szCs w:val="32"/>
        </w:rPr>
      </w:pPr>
      <w:r>
        <w:rPr>
          <w:rFonts w:hint="eastAsia" w:ascii="仿宋_GB2312" w:cs="仿宋_GB2312"/>
          <w:b/>
          <w:szCs w:val="32"/>
        </w:rPr>
        <w:t>3、支出决算情况说明</w:t>
      </w:r>
    </w:p>
    <w:p>
      <w:pPr>
        <w:ind w:firstLine="640"/>
        <w:rPr>
          <w:rFonts w:ascii="仿宋_GB2312" w:cs="仿宋_GB2312"/>
          <w:szCs w:val="32"/>
        </w:rPr>
      </w:pPr>
      <w:r>
        <w:rPr>
          <w:rFonts w:hint="eastAsia" w:ascii="仿宋_GB2312" w:cs="仿宋_GB2312"/>
          <w:szCs w:val="32"/>
        </w:rPr>
        <w:t>2016年</w:t>
      </w:r>
      <w:r>
        <w:rPr>
          <w:rFonts w:ascii="仿宋_GB2312" w:cs="仿宋_GB2312"/>
          <w:szCs w:val="32"/>
        </w:rPr>
        <w:t>部门</w:t>
      </w:r>
      <w:r>
        <w:rPr>
          <w:rFonts w:hint="eastAsia" w:ascii="仿宋_GB2312" w:cs="仿宋_GB2312"/>
          <w:szCs w:val="32"/>
        </w:rPr>
        <w:t>支出</w:t>
      </w:r>
      <w:r>
        <w:rPr>
          <w:rFonts w:ascii="仿宋_GB2312" w:cs="仿宋_GB2312"/>
          <w:szCs w:val="32"/>
        </w:rPr>
        <w:t>总计</w:t>
      </w:r>
      <w:r>
        <w:rPr>
          <w:rFonts w:hint="eastAsia" w:ascii="仿宋_GB2312" w:cs="仿宋_GB2312"/>
          <w:szCs w:val="32"/>
        </w:rPr>
        <w:t>297.55万元，较2015年</w:t>
      </w:r>
      <w:r>
        <w:rPr>
          <w:rFonts w:ascii="仿宋_GB2312" w:cs="仿宋_GB2312"/>
          <w:szCs w:val="32"/>
        </w:rPr>
        <w:t>部门</w:t>
      </w:r>
      <w:r>
        <w:rPr>
          <w:rFonts w:hint="eastAsia" w:ascii="仿宋_GB2312" w:cs="仿宋_GB2312"/>
          <w:szCs w:val="32"/>
        </w:rPr>
        <w:t>支出250.1万元增加47.45万元。</w:t>
      </w:r>
    </w:p>
    <w:p>
      <w:pPr>
        <w:ind w:firstLine="643"/>
        <w:rPr>
          <w:rFonts w:ascii="仿宋_GB2312" w:cs="仿宋_GB2312"/>
          <w:b/>
          <w:szCs w:val="32"/>
        </w:rPr>
      </w:pPr>
      <w:r>
        <w:rPr>
          <w:rFonts w:hint="eastAsia" w:ascii="仿宋_GB2312" w:cs="仿宋_GB2312"/>
          <w:b/>
          <w:szCs w:val="32"/>
        </w:rPr>
        <w:t>4、财政拨款收入支出决算总体情况说明</w:t>
      </w:r>
    </w:p>
    <w:p>
      <w:pPr>
        <w:ind w:firstLine="640"/>
        <w:rPr>
          <w:rFonts w:ascii="仿宋_GB2312" w:cs="仿宋_GB2312"/>
          <w:szCs w:val="32"/>
        </w:rPr>
      </w:pPr>
      <w:r>
        <w:rPr>
          <w:rFonts w:hint="eastAsia" w:ascii="仿宋_GB2312" w:cs="仿宋_GB2312"/>
          <w:szCs w:val="32"/>
        </w:rPr>
        <w:t>2016年</w:t>
      </w:r>
      <w:r>
        <w:rPr>
          <w:rFonts w:ascii="仿宋_GB2312" w:cs="仿宋_GB2312"/>
          <w:szCs w:val="32"/>
        </w:rPr>
        <w:t>财政拨款</w:t>
      </w:r>
      <w:r>
        <w:rPr>
          <w:rFonts w:hint="eastAsia" w:ascii="仿宋_GB2312" w:cs="仿宋_GB2312"/>
          <w:szCs w:val="32"/>
        </w:rPr>
        <w:t>收入308.75万元，较2015年</w:t>
      </w:r>
      <w:r>
        <w:rPr>
          <w:rFonts w:ascii="仿宋_GB2312" w:cs="仿宋_GB2312"/>
          <w:szCs w:val="32"/>
        </w:rPr>
        <w:t>财政拨款</w:t>
      </w:r>
      <w:r>
        <w:rPr>
          <w:rFonts w:hint="eastAsia" w:ascii="仿宋_GB2312" w:cs="仿宋_GB2312"/>
          <w:szCs w:val="32"/>
        </w:rPr>
        <w:t>收入261.08万元增加47.67万元，主要为2016年度调整人员工资</w:t>
      </w:r>
      <w:r>
        <w:rPr>
          <w:rFonts w:ascii="仿宋_GB2312" w:cs="仿宋_GB2312"/>
          <w:szCs w:val="32"/>
        </w:rPr>
        <w:t>以及养老保险比例上调</w:t>
      </w:r>
      <w:r>
        <w:rPr>
          <w:rFonts w:hint="eastAsia" w:ascii="仿宋_GB2312" w:cs="仿宋_GB2312"/>
          <w:szCs w:val="32"/>
        </w:rPr>
        <w:t>；2016年财政拨款支出</w:t>
      </w:r>
      <w:r>
        <w:rPr>
          <w:rFonts w:ascii="仿宋_GB2312" w:cs="仿宋_GB2312"/>
          <w:szCs w:val="32"/>
        </w:rPr>
        <w:t>总计</w:t>
      </w:r>
      <w:r>
        <w:rPr>
          <w:rFonts w:hint="eastAsia" w:ascii="仿宋_GB2312" w:cs="仿宋_GB2312"/>
          <w:szCs w:val="32"/>
        </w:rPr>
        <w:t>297.55万元，2015年</w:t>
      </w:r>
      <w:r>
        <w:rPr>
          <w:rFonts w:ascii="仿宋_GB2312" w:cs="仿宋_GB2312"/>
          <w:szCs w:val="32"/>
        </w:rPr>
        <w:t>财政拨款支出总计</w:t>
      </w:r>
      <w:r>
        <w:rPr>
          <w:rFonts w:hint="eastAsia" w:ascii="仿宋_GB2312" w:cs="仿宋_GB2312"/>
          <w:szCs w:val="32"/>
        </w:rPr>
        <w:t>250.1万元</w:t>
      </w:r>
      <w:r>
        <w:rPr>
          <w:rFonts w:ascii="仿宋_GB2312" w:cs="仿宋_GB2312"/>
          <w:szCs w:val="32"/>
        </w:rPr>
        <w:t>，2016年预算安排财政拨款支出290.25万元，增加的主要原因：</w:t>
      </w:r>
      <w:r>
        <w:rPr>
          <w:rFonts w:hint="eastAsia" w:ascii="仿宋_GB2312" w:cs="仿宋_GB2312"/>
          <w:szCs w:val="32"/>
        </w:rPr>
        <w:t>2016年增加调整人员工资以及</w:t>
      </w:r>
      <w:r>
        <w:rPr>
          <w:rFonts w:ascii="仿宋_GB2312" w:cs="仿宋_GB2312"/>
          <w:szCs w:val="32"/>
        </w:rPr>
        <w:t>养老保险比例上调</w:t>
      </w:r>
      <w:r>
        <w:rPr>
          <w:rFonts w:hint="eastAsia" w:ascii="仿宋_GB2312" w:cs="仿宋_GB2312"/>
          <w:szCs w:val="32"/>
        </w:rPr>
        <w:t>。我办没有政府性基金收入支出。</w:t>
      </w:r>
    </w:p>
    <w:p>
      <w:pPr>
        <w:ind w:firstLine="643"/>
        <w:rPr>
          <w:rFonts w:ascii="仿宋" w:hAnsi="仿宋" w:eastAsia="仿宋" w:cs="仿宋_GB2312"/>
          <w:b/>
          <w:szCs w:val="32"/>
          <w:lang w:bidi="ar"/>
        </w:rPr>
      </w:pPr>
      <w:r>
        <w:rPr>
          <w:rFonts w:ascii="仿宋" w:hAnsi="仿宋" w:eastAsia="仿宋" w:cs="仿宋_GB2312"/>
          <w:b/>
          <w:szCs w:val="32"/>
          <w:lang w:bidi="ar"/>
        </w:rPr>
        <w:t>5</w:t>
      </w:r>
      <w:r>
        <w:rPr>
          <w:rFonts w:hint="eastAsia" w:ascii="仿宋" w:hAnsi="仿宋" w:eastAsia="仿宋" w:cs="仿宋_GB2312"/>
          <w:b/>
          <w:szCs w:val="32"/>
          <w:lang w:bidi="ar"/>
        </w:rPr>
        <w:t>、财政拨款支出与年初预算情况说明</w:t>
      </w:r>
    </w:p>
    <w:p>
      <w:pPr>
        <w:ind w:firstLine="640"/>
        <w:rPr>
          <w:rFonts w:hint="eastAsia" w:ascii="仿宋_GB2312" w:cs="仿宋_GB2312"/>
          <w:szCs w:val="32"/>
        </w:rPr>
      </w:pPr>
      <w:r>
        <w:rPr>
          <w:rFonts w:hint="eastAsia" w:ascii="仿宋_GB2312" w:cs="仿宋_GB2312"/>
          <w:szCs w:val="32"/>
        </w:rPr>
        <w:t>2016年</w:t>
      </w:r>
      <w:r>
        <w:rPr>
          <w:rFonts w:ascii="仿宋_GB2312" w:cs="仿宋_GB2312"/>
          <w:szCs w:val="32"/>
        </w:rPr>
        <w:t>部门</w:t>
      </w:r>
      <w:r>
        <w:rPr>
          <w:rFonts w:hint="eastAsia" w:ascii="仿宋_GB2312" w:cs="仿宋_GB2312"/>
          <w:szCs w:val="32"/>
        </w:rPr>
        <w:t>支出</w:t>
      </w:r>
      <w:r>
        <w:rPr>
          <w:rFonts w:ascii="仿宋_GB2312" w:cs="仿宋_GB2312"/>
          <w:szCs w:val="32"/>
        </w:rPr>
        <w:t>总计</w:t>
      </w:r>
      <w:r>
        <w:rPr>
          <w:rFonts w:hint="eastAsia" w:ascii="仿宋_GB2312" w:cs="仿宋_GB2312"/>
          <w:szCs w:val="32"/>
        </w:rPr>
        <w:t>297.55万元，年初预算安排290.25万元，差额为7.3万元，增支主要原因为2016年调整人员工资以及</w:t>
      </w:r>
      <w:r>
        <w:rPr>
          <w:rFonts w:ascii="仿宋_GB2312" w:cs="仿宋_GB2312"/>
          <w:szCs w:val="32"/>
        </w:rPr>
        <w:t>养老保险比例上调</w:t>
      </w:r>
      <w:r>
        <w:rPr>
          <w:rFonts w:hint="eastAsia" w:ascii="仿宋_GB2312" w:cs="仿宋_GB2312"/>
          <w:szCs w:val="32"/>
        </w:rPr>
        <w:t>。</w:t>
      </w:r>
    </w:p>
    <w:p>
      <w:pPr>
        <w:ind w:left="640" w:firstLine="0" w:firstLineChars="0"/>
        <w:rPr>
          <w:rFonts w:ascii="仿宋_GB2312"/>
          <w:b/>
          <w:szCs w:val="32"/>
        </w:rPr>
      </w:pPr>
      <w:r>
        <w:rPr>
          <w:rFonts w:hint="eastAsia" w:ascii="仿宋_GB2312"/>
          <w:b/>
          <w:szCs w:val="32"/>
        </w:rPr>
        <w:t>二、一般公共预算财政拨款“三公”经费支出决算情况说明</w:t>
      </w:r>
    </w:p>
    <w:p>
      <w:pPr>
        <w:spacing w:line="560" w:lineRule="exact"/>
        <w:ind w:firstLine="640"/>
        <w:rPr>
          <w:rFonts w:ascii="仿宋_GB2312" w:cs="仿宋"/>
          <w:szCs w:val="32"/>
        </w:rPr>
      </w:pPr>
      <w:r>
        <w:rPr>
          <w:rFonts w:hint="eastAsia" w:ascii="仿宋_GB2312" w:cs="仿宋"/>
          <w:szCs w:val="32"/>
        </w:rPr>
        <w:t>2016年财政年初预算批复我办“三公”经费预算2.92万元，实际支出0.64万元。其中，因公出国</w:t>
      </w:r>
      <w:r>
        <w:rPr>
          <w:rFonts w:hint="eastAsia" w:ascii="仿宋_GB2312" w:cs="Tahoma"/>
          <w:kern w:val="0"/>
          <w:szCs w:val="32"/>
        </w:rPr>
        <w:t>（境）0万元（团组数0组0人）；</w:t>
      </w:r>
      <w:r>
        <w:rPr>
          <w:rFonts w:hint="eastAsia" w:ascii="仿宋_GB2312" w:cs="仿宋"/>
          <w:szCs w:val="32"/>
        </w:rPr>
        <w:t>公务用车运行维护费预算安排2.57万元，实际支出为0.64万元，</w:t>
      </w:r>
      <w:r>
        <w:rPr>
          <w:rFonts w:ascii="仿宋_GB2312" w:cs="仿宋"/>
          <w:szCs w:val="32"/>
        </w:rPr>
        <w:t>截</w:t>
      </w:r>
      <w:r>
        <w:rPr>
          <w:rFonts w:hint="eastAsia" w:ascii="仿宋_GB2312" w:cs="仿宋"/>
          <w:szCs w:val="32"/>
          <w:lang w:val="en-US" w:eastAsia="zh-CN"/>
        </w:rPr>
        <w:t>至</w:t>
      </w:r>
      <w:bookmarkStart w:id="0" w:name="_GoBack"/>
      <w:bookmarkEnd w:id="0"/>
      <w:r>
        <w:rPr>
          <w:rFonts w:ascii="仿宋_GB2312" w:cs="仿宋"/>
          <w:szCs w:val="32"/>
        </w:rPr>
        <w:t>2016年底，我办公务用车1辆，当年无新购车辆，</w:t>
      </w:r>
      <w:r>
        <w:rPr>
          <w:rFonts w:hint="eastAsia" w:ascii="仿宋_GB2312" w:cs="仿宋"/>
          <w:szCs w:val="32"/>
        </w:rPr>
        <w:t>年初</w:t>
      </w:r>
      <w:r>
        <w:rPr>
          <w:rFonts w:ascii="仿宋_GB2312" w:cs="仿宋"/>
          <w:szCs w:val="32"/>
        </w:rPr>
        <w:t>4</w:t>
      </w:r>
      <w:r>
        <w:rPr>
          <w:rFonts w:hint="eastAsia" w:ascii="仿宋_GB2312" w:cs="仿宋"/>
          <w:szCs w:val="32"/>
        </w:rPr>
        <w:t>月开始公务用车改革，我办公务用车取消，造成经费支出减少；公务接待费0万元（共接待0批次0人）。我办全年无因公出国</w:t>
      </w:r>
      <w:r>
        <w:rPr>
          <w:rFonts w:hint="eastAsia" w:ascii="仿宋_GB2312" w:cs="Tahoma"/>
          <w:kern w:val="0"/>
          <w:szCs w:val="32"/>
        </w:rPr>
        <w:t>（境）</w:t>
      </w:r>
      <w:r>
        <w:rPr>
          <w:rFonts w:hint="eastAsia" w:ascii="仿宋_GB2312" w:cs="仿宋"/>
          <w:szCs w:val="32"/>
        </w:rPr>
        <w:t>、公务接待费等费用发生。</w:t>
      </w:r>
    </w:p>
    <w:p>
      <w:pPr>
        <w:ind w:left="640" w:firstLine="0" w:firstLineChars="0"/>
        <w:rPr>
          <w:rFonts w:ascii="仿宋_GB2312"/>
          <w:b/>
          <w:szCs w:val="32"/>
        </w:rPr>
      </w:pPr>
      <w:r>
        <w:rPr>
          <w:rFonts w:hint="eastAsia" w:ascii="仿宋_GB2312"/>
          <w:b/>
          <w:szCs w:val="32"/>
        </w:rPr>
        <w:t>三、机关运行经费支出情况的说明</w:t>
      </w:r>
    </w:p>
    <w:p>
      <w:pPr>
        <w:spacing w:line="560" w:lineRule="exact"/>
        <w:ind w:firstLine="640"/>
        <w:rPr>
          <w:rFonts w:ascii="仿宋_GB2312" w:cs="宋体"/>
          <w:kern w:val="0"/>
          <w:szCs w:val="32"/>
        </w:rPr>
      </w:pPr>
      <w:r>
        <w:rPr>
          <w:rFonts w:hint="eastAsia" w:ascii="仿宋_GB2312" w:cs="仿宋_GB2312"/>
          <w:szCs w:val="32"/>
        </w:rPr>
        <w:t>2016年</w:t>
      </w:r>
      <w:r>
        <w:rPr>
          <w:rFonts w:ascii="仿宋_GB2312" w:cs="仿宋_GB2312"/>
          <w:szCs w:val="32"/>
        </w:rPr>
        <w:t>本</w:t>
      </w:r>
      <w:r>
        <w:rPr>
          <w:rFonts w:hint="eastAsia" w:ascii="仿宋_GB2312" w:cs="仿宋_GB2312"/>
          <w:szCs w:val="32"/>
        </w:rPr>
        <w:t>部门行政运行经费支出24.75万元，较2015年支出18.57万元增加6.18万元。主要原因是：</w:t>
      </w:r>
      <w:r>
        <w:rPr>
          <w:rFonts w:hint="eastAsia" w:ascii="仿宋_GB2312" w:cs="宋体"/>
          <w:kern w:val="0"/>
          <w:szCs w:val="32"/>
        </w:rPr>
        <w:t>因本年度开展行政审批制度改革工作，印刷海港区行政权力清单等资料。</w:t>
      </w:r>
    </w:p>
    <w:p>
      <w:pPr>
        <w:ind w:left="640" w:firstLine="0" w:firstLineChars="0"/>
        <w:rPr>
          <w:rFonts w:ascii="仿宋_GB2312"/>
          <w:b/>
          <w:szCs w:val="32"/>
        </w:rPr>
      </w:pPr>
      <w:r>
        <w:rPr>
          <w:rFonts w:hint="eastAsia" w:ascii="仿宋_GB2312"/>
          <w:b/>
          <w:szCs w:val="32"/>
        </w:rPr>
        <w:t>四、政府采购情况的说明</w:t>
      </w:r>
    </w:p>
    <w:p>
      <w:pPr>
        <w:spacing w:line="560" w:lineRule="exact"/>
        <w:ind w:firstLine="640"/>
        <w:rPr>
          <w:rFonts w:ascii="仿宋_GB2312" w:cs="仿宋"/>
          <w:szCs w:val="32"/>
        </w:rPr>
      </w:pPr>
      <w:r>
        <w:rPr>
          <w:rFonts w:hint="eastAsia" w:ascii="仿宋_GB2312" w:cs="仿宋"/>
          <w:szCs w:val="32"/>
        </w:rPr>
        <w:t>2016年本部门政府采购支出总额14.52万元。其中：</w:t>
      </w:r>
      <w:r>
        <w:rPr>
          <w:rFonts w:ascii="仿宋_GB2312" w:cs="仿宋"/>
          <w:szCs w:val="32"/>
        </w:rPr>
        <w:t>政府采购</w:t>
      </w:r>
      <w:r>
        <w:rPr>
          <w:rFonts w:hint="eastAsia" w:ascii="仿宋_GB2312" w:cs="仿宋"/>
          <w:szCs w:val="32"/>
        </w:rPr>
        <w:t>货物支出14.52万元</w:t>
      </w:r>
      <w:r>
        <w:rPr>
          <w:rFonts w:ascii="仿宋_GB2312" w:cs="仿宋"/>
          <w:szCs w:val="32"/>
        </w:rPr>
        <w:t>、政府采购</w:t>
      </w:r>
      <w:r>
        <w:rPr>
          <w:rFonts w:hint="eastAsia" w:ascii="仿宋_GB2312" w:cs="仿宋"/>
          <w:szCs w:val="32"/>
        </w:rPr>
        <w:t>工程支出0万元</w:t>
      </w:r>
      <w:r>
        <w:rPr>
          <w:rFonts w:ascii="仿宋_GB2312" w:cs="仿宋"/>
          <w:szCs w:val="32"/>
        </w:rPr>
        <w:t>、政府采购服务</w:t>
      </w:r>
      <w:r>
        <w:rPr>
          <w:rFonts w:hint="eastAsia" w:ascii="仿宋_GB2312" w:cs="仿宋"/>
          <w:szCs w:val="32"/>
        </w:rPr>
        <w:t>支出0万元。采购资金来源全部为财政性资金。</w:t>
      </w:r>
    </w:p>
    <w:p>
      <w:pPr>
        <w:ind w:left="640" w:firstLine="0" w:firstLineChars="0"/>
        <w:rPr>
          <w:rFonts w:ascii="仿宋_GB2312"/>
          <w:b/>
          <w:szCs w:val="32"/>
        </w:rPr>
      </w:pPr>
      <w:r>
        <w:rPr>
          <w:rFonts w:hint="eastAsia" w:ascii="仿宋_GB2312"/>
          <w:b/>
          <w:szCs w:val="32"/>
        </w:rPr>
        <w:t>五、国有资产占用情况</w:t>
      </w:r>
    </w:p>
    <w:p>
      <w:pPr>
        <w:spacing w:line="560" w:lineRule="exact"/>
        <w:ind w:firstLine="645" w:firstLineChars="0"/>
        <w:rPr>
          <w:rFonts w:ascii="仿宋_GB2312"/>
          <w:b/>
          <w:szCs w:val="32"/>
        </w:rPr>
      </w:pPr>
      <w:r>
        <w:rPr>
          <w:rFonts w:hint="eastAsia" w:ascii="仿宋_GB2312" w:cs="仿宋_GB2312"/>
          <w:szCs w:val="32"/>
        </w:rPr>
        <w:t>截至2016年12月31日，本部门</w:t>
      </w:r>
      <w:r>
        <w:rPr>
          <w:rFonts w:ascii="仿宋_GB2312" w:cs="仿宋_GB2312"/>
          <w:szCs w:val="32"/>
        </w:rPr>
        <w:t>共有</w:t>
      </w:r>
      <w:r>
        <w:rPr>
          <w:rFonts w:hint="eastAsia" w:ascii="仿宋_GB2312" w:cs="仿宋_GB2312"/>
          <w:szCs w:val="32"/>
        </w:rPr>
        <w:t>车辆1辆，其中一般公务用车1辆</w:t>
      </w:r>
      <w:r>
        <w:rPr>
          <w:rFonts w:ascii="仿宋_GB2312" w:cs="仿宋_GB2312"/>
          <w:szCs w:val="32"/>
        </w:rPr>
        <w:t>，</w:t>
      </w:r>
      <w:r>
        <w:rPr>
          <w:rFonts w:hint="eastAsia" w:ascii="仿宋_GB2312" w:cs="仿宋_GB2312"/>
          <w:szCs w:val="32"/>
        </w:rPr>
        <w:t>其他固定资产29.81万元，全部为通用类资产和家具类资产。</w:t>
      </w:r>
    </w:p>
    <w:p>
      <w:pPr>
        <w:spacing w:line="560" w:lineRule="exact"/>
        <w:ind w:firstLine="645" w:firstLineChars="0"/>
        <w:rPr>
          <w:rFonts w:ascii="仿宋_GB2312" w:cs="仿宋_GB2312"/>
          <w:szCs w:val="32"/>
        </w:rPr>
      </w:pPr>
      <w:r>
        <w:rPr>
          <w:rFonts w:hint="eastAsia" w:ascii="仿宋_GB2312"/>
          <w:b/>
          <w:szCs w:val="32"/>
        </w:rPr>
        <w:t>六、绩效预算情况说明</w:t>
      </w:r>
    </w:p>
    <w:p>
      <w:pPr>
        <w:spacing w:line="560" w:lineRule="exact"/>
        <w:ind w:firstLine="645" w:firstLineChars="0"/>
        <w:rPr>
          <w:rFonts w:ascii="仿宋_GB2312" w:cs="仿宋_GB2312"/>
          <w:szCs w:val="32"/>
        </w:rPr>
      </w:pPr>
      <w:r>
        <w:rPr>
          <w:rFonts w:hint="eastAsia" w:ascii="仿宋_GB2312" w:cs="仿宋_GB2312"/>
          <w:szCs w:val="32"/>
        </w:rPr>
        <w:t>我部门绩效预算执行情况通过部门决算软件进行测评后得分为82.5分，主要减分情况和原因：</w:t>
      </w:r>
    </w:p>
    <w:p>
      <w:pPr>
        <w:spacing w:line="560" w:lineRule="exact"/>
        <w:ind w:firstLine="645" w:firstLineChars="0"/>
        <w:rPr>
          <w:rFonts w:ascii="仿宋_GB2312" w:cs="仿宋_GB2312"/>
          <w:szCs w:val="32"/>
        </w:rPr>
      </w:pPr>
      <w:r>
        <w:rPr>
          <w:rFonts w:hint="eastAsia" w:ascii="仿宋_GB2312" w:cs="仿宋_GB2312"/>
          <w:szCs w:val="32"/>
        </w:rPr>
        <w:t>1、财政拨款收入预决算差异率扣减1分，原因为当年基本工资标准进行调整人员性支出大幅增加18.5万元，导致我部门本年实际收入大于年初预算；</w:t>
      </w:r>
    </w:p>
    <w:p>
      <w:pPr>
        <w:spacing w:line="560" w:lineRule="exact"/>
        <w:ind w:firstLine="645" w:firstLineChars="0"/>
        <w:rPr>
          <w:rFonts w:ascii="仿宋_GB2312" w:cs="仿宋_GB2312"/>
          <w:szCs w:val="32"/>
        </w:rPr>
      </w:pPr>
      <w:r>
        <w:rPr>
          <w:rFonts w:hint="eastAsia" w:ascii="仿宋_GB2312" w:cs="仿宋_GB2312"/>
          <w:szCs w:val="32"/>
        </w:rPr>
        <w:t>2、年初结转和结余预决算差异率扣减5分，因上年度有结余资金，此款不列入本年度预算中；</w:t>
      </w:r>
    </w:p>
    <w:p>
      <w:pPr>
        <w:spacing w:line="560" w:lineRule="exact"/>
        <w:ind w:firstLine="645" w:firstLineChars="0"/>
        <w:rPr>
          <w:rFonts w:ascii="仿宋_GB2312" w:cs="仿宋_GB2312"/>
          <w:szCs w:val="32"/>
        </w:rPr>
      </w:pPr>
      <w:r>
        <w:rPr>
          <w:rFonts w:hint="eastAsia" w:ascii="仿宋_GB2312" w:cs="仿宋_GB2312"/>
          <w:szCs w:val="32"/>
        </w:rPr>
        <w:t>3、基本支出预决算差异率扣减0.5分，原因为本年实际收入增加导致支出增加7.3万元，同比年初支出预算差异率增大；</w:t>
      </w:r>
    </w:p>
    <w:p>
      <w:pPr>
        <w:spacing w:line="560" w:lineRule="exact"/>
        <w:ind w:firstLine="645" w:firstLineChars="0"/>
        <w:rPr>
          <w:rFonts w:ascii="仿宋_GB2312" w:cs="仿宋_GB2312"/>
          <w:szCs w:val="32"/>
        </w:rPr>
      </w:pPr>
      <w:r>
        <w:rPr>
          <w:rFonts w:hint="eastAsia" w:ascii="仿宋_GB2312" w:cs="仿宋_GB2312"/>
          <w:szCs w:val="32"/>
        </w:rPr>
        <w:t>4、财政拨款结转和结余扣减1分，财政拨款结转和结余上下年变动率扣减4分，主要原因为本年财政拨款结转同比上年增加，结转增加的主要原因2016年度全省机构改革工作进展缓慢，造成专项公用经费未能支出；</w:t>
      </w:r>
    </w:p>
    <w:p>
      <w:pPr>
        <w:spacing w:line="560" w:lineRule="exact"/>
        <w:ind w:firstLine="645" w:firstLineChars="0"/>
        <w:rPr>
          <w:rFonts w:ascii="仿宋_GB2312" w:cs="仿宋_GB2312"/>
          <w:szCs w:val="32"/>
        </w:rPr>
      </w:pPr>
      <w:r>
        <w:rPr>
          <w:rFonts w:hint="eastAsia" w:ascii="仿宋_GB2312" w:cs="仿宋_GB2312"/>
          <w:szCs w:val="32"/>
        </w:rPr>
        <w:t>5、财政收回存量资金占上年财政拨款结转和结余比重扣减5分，主要原因为财政收回上年的结余资金5.88万元；</w:t>
      </w:r>
    </w:p>
    <w:p>
      <w:pPr>
        <w:spacing w:line="560" w:lineRule="exact"/>
        <w:ind w:firstLine="645" w:firstLineChars="0"/>
        <w:rPr>
          <w:rFonts w:ascii="仿宋_GB2312" w:cs="仿宋_GB2312"/>
          <w:szCs w:val="32"/>
        </w:rPr>
      </w:pPr>
      <w:r>
        <w:rPr>
          <w:rFonts w:hint="eastAsia" w:ascii="仿宋_GB2312" w:cs="仿宋_GB2312"/>
          <w:szCs w:val="32"/>
        </w:rPr>
        <w:t>6、一般公共预算财政拨款（补助）人员增减率减1分，原因为本年财政拨款人数同比上年度增加1人。</w:t>
      </w:r>
    </w:p>
    <w:p>
      <w:pPr>
        <w:ind w:firstLine="643"/>
        <w:rPr>
          <w:rFonts w:ascii="仿宋_GB2312"/>
          <w:b/>
          <w:szCs w:val="32"/>
        </w:rPr>
      </w:pPr>
      <w:r>
        <w:rPr>
          <w:rFonts w:hint="eastAsia" w:ascii="仿宋_GB2312"/>
          <w:b/>
          <w:szCs w:val="32"/>
        </w:rPr>
        <w:t>七、其他重要事项的情况说明。</w:t>
      </w:r>
    </w:p>
    <w:p>
      <w:pPr>
        <w:adjustRightInd w:val="0"/>
        <w:snapToGrid w:val="0"/>
        <w:spacing w:line="560" w:lineRule="exact"/>
        <w:ind w:firstLine="640"/>
        <w:rPr>
          <w:rFonts w:ascii="仿宋_GB2312"/>
          <w:szCs w:val="32"/>
        </w:rPr>
      </w:pPr>
      <w:r>
        <w:rPr>
          <w:rFonts w:hint="eastAsia" w:ascii="仿宋_GB2312" w:cs="Tahoma"/>
          <w:kern w:val="0"/>
          <w:szCs w:val="32"/>
        </w:rPr>
        <w:t>1、我办无政府性基金安排的各类资金，《</w:t>
      </w:r>
      <w:r>
        <w:rPr>
          <w:rFonts w:hint="eastAsia" w:ascii="仿宋_GB2312"/>
          <w:szCs w:val="32"/>
        </w:rPr>
        <w:t>部门政府性基金预算财政拨款收支决算表》为空。</w:t>
      </w:r>
    </w:p>
    <w:p>
      <w:pPr>
        <w:spacing w:line="560" w:lineRule="exact"/>
        <w:ind w:firstLine="640"/>
        <w:rPr>
          <w:rFonts w:ascii="仿宋_GB2312"/>
          <w:szCs w:val="32"/>
        </w:rPr>
      </w:pPr>
      <w:r>
        <w:rPr>
          <w:rFonts w:hint="eastAsia" w:ascii="仿宋_GB2312" w:cs="黑体"/>
          <w:szCs w:val="32"/>
        </w:rPr>
        <w:t>2、</w:t>
      </w:r>
      <w:r>
        <w:rPr>
          <w:rFonts w:hint="eastAsia" w:ascii="仿宋_GB2312" w:cs="Tahoma"/>
          <w:kern w:val="0"/>
          <w:szCs w:val="32"/>
        </w:rPr>
        <w:t>我办无国有资本经营预、决算，《</w:t>
      </w:r>
      <w:r>
        <w:rPr>
          <w:rFonts w:hint="eastAsia" w:ascii="仿宋_GB2312"/>
          <w:szCs w:val="32"/>
        </w:rPr>
        <w:t>部门国有资本经营预算财政拨款支出决算表》为空。</w:t>
      </w:r>
    </w:p>
    <w:p>
      <w:pPr>
        <w:ind w:firstLine="640"/>
        <w:rPr>
          <w:rFonts w:ascii="黑体" w:eastAsia="黑体"/>
          <w:szCs w:val="32"/>
        </w:rPr>
      </w:pPr>
    </w:p>
    <w:p>
      <w:pPr>
        <w:ind w:firstLine="640"/>
        <w:jc w:val="center"/>
        <w:rPr>
          <w:rFonts w:ascii="仿宋_GB2312"/>
          <w:szCs w:val="32"/>
        </w:rPr>
      </w:pPr>
      <w:r>
        <w:rPr>
          <w:rFonts w:hint="eastAsia" w:ascii="黑体" w:eastAsia="黑体"/>
          <w:szCs w:val="32"/>
        </w:rPr>
        <w:t>第四部分  名词解释</w:t>
      </w:r>
    </w:p>
    <w:p>
      <w:pPr>
        <w:spacing w:line="560" w:lineRule="exact"/>
        <w:ind w:firstLine="640"/>
        <w:rPr>
          <w:rFonts w:ascii="黑体" w:eastAsia="黑体" w:cs="Tahoma"/>
          <w:kern w:val="0"/>
          <w:szCs w:val="32"/>
        </w:rPr>
      </w:pPr>
      <w:r>
        <w:rPr>
          <w:rFonts w:hint="eastAsia" w:ascii="黑体" w:eastAsia="黑体" w:cs="Tahoma"/>
          <w:kern w:val="0"/>
          <w:szCs w:val="32"/>
        </w:rPr>
        <w:t>一、一般公共预算财政拨款</w:t>
      </w:r>
    </w:p>
    <w:p>
      <w:pPr>
        <w:spacing w:line="560" w:lineRule="exact"/>
        <w:ind w:firstLine="640"/>
        <w:rPr>
          <w:rFonts w:ascii="仿宋_GB2312" w:cs="Tahoma"/>
          <w:kern w:val="0"/>
          <w:szCs w:val="32"/>
        </w:rPr>
      </w:pPr>
      <w:r>
        <w:rPr>
          <w:rFonts w:hint="eastAsia" w:ascii="仿宋_GB2312" w:cs="Tahoma"/>
          <w:kern w:val="0"/>
          <w:szCs w:val="32"/>
        </w:rPr>
        <w:t>一般公共预算财政拨款是对以税收为主体的财政收入，安排用于保障和改善民生、推动经济社会发展、维护国家安全、维持国家机构正常运转等方面的收入和支出。</w:t>
      </w:r>
    </w:p>
    <w:p>
      <w:pPr>
        <w:spacing w:line="560" w:lineRule="exact"/>
        <w:ind w:firstLine="640"/>
        <w:rPr>
          <w:rFonts w:ascii="仿宋_GB2312" w:cs="Tahoma"/>
          <w:b/>
          <w:kern w:val="0"/>
          <w:szCs w:val="32"/>
        </w:rPr>
      </w:pPr>
      <w:r>
        <w:rPr>
          <w:rFonts w:hint="eastAsia" w:ascii="黑体" w:eastAsia="黑体" w:cs="Tahoma"/>
          <w:kern w:val="0"/>
          <w:szCs w:val="32"/>
        </w:rPr>
        <w:t>二、基本支出和项目支出</w:t>
      </w:r>
    </w:p>
    <w:p>
      <w:pPr>
        <w:spacing w:line="560" w:lineRule="exact"/>
        <w:ind w:firstLine="640"/>
        <w:rPr>
          <w:rFonts w:ascii="仿宋_GB2312" w:cs="Tahoma"/>
          <w:kern w:val="0"/>
          <w:szCs w:val="32"/>
        </w:rPr>
      </w:pPr>
      <w:r>
        <w:rPr>
          <w:rFonts w:hint="eastAsia" w:ascii="仿宋_GB2312" w:cs="Tahoma"/>
          <w:kern w:val="0"/>
          <w:szCs w:val="32"/>
        </w:rPr>
        <w:t>基本支出和项目支出是部门支出预算的组成部分。其中，基本支出是行政事业单位为保障其机构正常运转、完成日常工作任务而形成的支出，包括人员经费和日常公用经费两部分；项目支出是行政事业单位为完成其特定的工作任务或事业发展目标而专门设立的支出。</w:t>
      </w:r>
    </w:p>
    <w:p>
      <w:pPr>
        <w:spacing w:line="560" w:lineRule="exact"/>
        <w:ind w:firstLine="640"/>
        <w:rPr>
          <w:rFonts w:ascii="仿宋_GB2312" w:cs="Tahoma"/>
          <w:b/>
          <w:kern w:val="0"/>
          <w:szCs w:val="32"/>
        </w:rPr>
      </w:pPr>
      <w:r>
        <w:rPr>
          <w:rFonts w:hint="eastAsia" w:ascii="黑体" w:eastAsia="黑体" w:cs="Tahoma"/>
          <w:kern w:val="0"/>
          <w:szCs w:val="32"/>
        </w:rPr>
        <w:t>三、“三公”经费及其支出口径</w:t>
      </w:r>
    </w:p>
    <w:p>
      <w:pPr>
        <w:spacing w:line="560" w:lineRule="exact"/>
        <w:ind w:firstLine="640"/>
        <w:jc w:val="left"/>
        <w:rPr>
          <w:rFonts w:ascii="仿宋_GB2312" w:cs="Tahoma"/>
          <w:kern w:val="0"/>
          <w:szCs w:val="32"/>
        </w:rPr>
      </w:pPr>
      <w:r>
        <w:rPr>
          <w:rFonts w:hint="eastAsia" w:ascii="仿宋_GB2312" w:cs="Tahoma"/>
          <w:kern w:val="0"/>
          <w:szCs w:val="32"/>
        </w:rPr>
        <w:t>因公出国（境）费是指单位公务出国（境）的国际旅费、国外城市间交通费、住宿费、伙食费、培训费、公杂费等支出。</w:t>
      </w:r>
    </w:p>
    <w:p>
      <w:pPr>
        <w:spacing w:line="560" w:lineRule="exact"/>
        <w:ind w:firstLine="640"/>
        <w:jc w:val="left"/>
        <w:rPr>
          <w:rFonts w:ascii="仿宋_GB2312" w:cs="Tahoma"/>
          <w:kern w:val="0"/>
          <w:szCs w:val="32"/>
        </w:rPr>
      </w:pPr>
      <w:r>
        <w:rPr>
          <w:rFonts w:hint="eastAsia" w:ascii="仿宋_GB2312" w:cs="Tahoma"/>
          <w:kern w:val="0"/>
          <w:szCs w:val="32"/>
        </w:rPr>
        <w:t>公务用车运行维护费是指单位公务用车租用费、燃料费、维修费、过桥过路费、保险费、出租车费用等。</w:t>
      </w:r>
    </w:p>
    <w:p>
      <w:pPr>
        <w:spacing w:line="560" w:lineRule="exact"/>
        <w:ind w:firstLine="640"/>
        <w:jc w:val="left"/>
        <w:rPr>
          <w:rFonts w:ascii="仿宋_GB2312" w:cs="Tahoma"/>
          <w:kern w:val="0"/>
          <w:szCs w:val="32"/>
        </w:rPr>
      </w:pPr>
      <w:r>
        <w:rPr>
          <w:rFonts w:hint="eastAsia" w:ascii="仿宋_GB2312" w:cs="Tahoma"/>
          <w:kern w:val="0"/>
          <w:szCs w:val="32"/>
        </w:rPr>
        <w:t>公务接待费是指单位按规定开支的各类公务接待（含外宾接待）费用。</w:t>
      </w:r>
    </w:p>
    <w:p>
      <w:pPr>
        <w:spacing w:line="560" w:lineRule="exact"/>
        <w:ind w:firstLine="640"/>
        <w:jc w:val="left"/>
        <w:rPr>
          <w:rFonts w:ascii="仿宋_GB2312" w:cs="Tahoma"/>
          <w:kern w:val="0"/>
          <w:szCs w:val="32"/>
        </w:rPr>
      </w:pPr>
      <w:r>
        <w:rPr>
          <w:rFonts w:hint="eastAsia" w:ascii="仿宋_GB2312" w:cs="Tahoma"/>
          <w:kern w:val="0"/>
          <w:szCs w:val="32"/>
        </w:rPr>
        <w:t>本次公开的“三公”经费支出口径均为一般公共预算财政拨款安排的资金。</w:t>
      </w:r>
    </w:p>
    <w:p>
      <w:pPr>
        <w:spacing w:line="560" w:lineRule="exact"/>
        <w:ind w:firstLine="640"/>
        <w:rPr>
          <w:rFonts w:ascii="仿宋_GB2312" w:cs="Tahoma"/>
          <w:b/>
          <w:kern w:val="0"/>
          <w:szCs w:val="32"/>
        </w:rPr>
      </w:pPr>
      <w:r>
        <w:rPr>
          <w:rFonts w:hint="eastAsia" w:ascii="黑体" w:eastAsia="黑体" w:cs="Tahoma"/>
          <w:kern w:val="0"/>
          <w:szCs w:val="32"/>
        </w:rPr>
        <w:t>四、机关运行经费及其支出口径</w:t>
      </w:r>
    </w:p>
    <w:p>
      <w:pPr>
        <w:widowControl/>
        <w:spacing w:line="560" w:lineRule="exact"/>
        <w:ind w:firstLine="640" w:firstLineChars="0"/>
        <w:jc w:val="left"/>
        <w:rPr>
          <w:rFonts w:ascii="仿宋_GB2312" w:cs="宋体"/>
          <w:kern w:val="0"/>
          <w:szCs w:val="32"/>
        </w:rPr>
      </w:pPr>
      <w:r>
        <w:rPr>
          <w:rFonts w:hint="eastAsia" w:ascii="仿宋_GB2312" w:cs="宋体"/>
          <w:kern w:val="0"/>
          <w:szCs w:val="32"/>
        </w:rPr>
        <w:t>机关运行经费，是指各部门的公用经费，包括办公及印刷费、邮电费、差旅费、会议费、福利费、日常维修费、专用材料及一般设备购置费、办公用房水电费、办公用房取暖费、办公用房物业管理费、公务用车运行维护费及其他费用。</w:t>
      </w:r>
    </w:p>
    <w:sectPr>
      <w:headerReference r:id="rId7" w:type="first"/>
      <w:footerReference r:id="rId10" w:type="first"/>
      <w:headerReference r:id="rId5" w:type="default"/>
      <w:footerReference r:id="rId8" w:type="default"/>
      <w:headerReference r:id="rId6" w:type="even"/>
      <w:footerReference r:id="rId9" w:type="even"/>
      <w:pgSz w:w="11906" w:h="16838"/>
      <w:pgMar w:top="1985" w:right="1531" w:bottom="1985" w:left="1531" w:header="851" w:footer="992"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仿宋"/>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7</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26390"/>
    <w:multiLevelType w:val="multilevel"/>
    <w:tmpl w:val="B8826390"/>
    <w:lvl w:ilvl="0" w:tentative="0">
      <w:start w:val="1"/>
      <w:numFmt w:val="chineseCountingThousand"/>
      <w:lvlText w:val="%1、"/>
      <w:lvlJc w:val="left"/>
      <w:pPr>
        <w:tabs>
          <w:tab w:val="left" w:pos="1290"/>
        </w:tabs>
        <w:ind w:left="1290" w:hanging="650"/>
      </w:p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YzNiMzFmNTAzZTk1ODA1Yzc2ZWU5MjMxMGM1YzZlMzEifQ=="/>
  </w:docVars>
  <w:rsids>
    <w:rsidRoot w:val="002867FD"/>
    <w:rsid w:val="000C7BB2"/>
    <w:rsid w:val="002867FD"/>
    <w:rsid w:val="004E5F5B"/>
    <w:rsid w:val="00856E97"/>
    <w:rsid w:val="00861A49"/>
    <w:rsid w:val="00BE0C5D"/>
    <w:rsid w:val="00E67207"/>
    <w:rsid w:val="5BD46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eastAsia="宋体"/>
      <w:kern w:val="0"/>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ascii="Calibri" w:hAnsi="Calibri" w:eastAsia="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gkk</Company>
  <Pages>7</Pages>
  <Words>483</Words>
  <Characters>2754</Characters>
  <Lines>22</Lines>
  <Paragraphs>6</Paragraphs>
  <TotalTime>98</TotalTime>
  <ScaleCrop>false</ScaleCrop>
  <LinksUpToDate>false</LinksUpToDate>
  <CharactersWithSpaces>3231</CharactersWithSpaces>
  <Application>WPS Office_12.1.0.15355_F1E327BC-269C-435d-A152-05C5408002CA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2017-10-27T02:11:00Z</dcterms:created>
  <dc:creator>jia</dc:creator>
  <cp:lastModifiedBy>晓</cp:lastModifiedBy>
  <cp:lastPrinted>2017-10-30T07:04:00Z</cp:lastPrinted>
  <dcterms:modified xsi:type="dcterms:W3CDTF">2023-11-09T04:48:47Z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DC41301CE6F4490CAB05D9351F42D20D_12</vt:lpwstr>
  </property>
</Properties>
</file>