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eastAsia="黑体"/>
          <w:b/>
          <w:sz w:val="84"/>
          <w:szCs w:val="84"/>
        </w:rPr>
      </w:pPr>
    </w:p>
    <w:p>
      <w:pPr>
        <w:widowControl/>
        <w:spacing w:line="240" w:lineRule="auto"/>
        <w:ind w:firstLine="0" w:firstLineChars="0"/>
        <w:jc w:val="center"/>
        <w:rPr>
          <w:rFonts w:ascii="黑体" w:eastAsia="黑体"/>
          <w:b/>
          <w:sz w:val="84"/>
          <w:szCs w:val="84"/>
        </w:rPr>
      </w:pPr>
      <w:r>
        <w:rPr>
          <w:rFonts w:hint="eastAsia" w:ascii="黑体" w:eastAsia="黑体"/>
          <w:b/>
          <w:sz w:val="84"/>
          <w:szCs w:val="84"/>
        </w:rPr>
        <w:t>2</w:t>
      </w:r>
      <w:r>
        <w:rPr>
          <w:rFonts w:ascii="黑体" w:eastAsia="黑体"/>
          <w:b/>
          <w:sz w:val="84"/>
          <w:szCs w:val="84"/>
        </w:rPr>
        <w:t>017</w:t>
      </w:r>
      <w:r>
        <w:rPr>
          <w:rFonts w:hint="eastAsia" w:ascii="黑体" w:eastAsia="黑体"/>
          <w:b/>
          <w:sz w:val="84"/>
          <w:szCs w:val="84"/>
        </w:rPr>
        <w:t>年度部门</w:t>
      </w:r>
    </w:p>
    <w:p>
      <w:pPr>
        <w:widowControl/>
        <w:spacing w:line="240" w:lineRule="auto"/>
        <w:ind w:firstLine="0" w:firstLineChars="0"/>
        <w:jc w:val="center"/>
        <w:rPr>
          <w:rFonts w:ascii="黑体" w:eastAsia="黑体"/>
          <w:b/>
          <w:sz w:val="84"/>
          <w:szCs w:val="84"/>
        </w:rPr>
      </w:pPr>
      <w:r>
        <w:rPr>
          <w:rFonts w:hint="eastAsia" w:ascii="黑体" w:eastAsia="黑体"/>
          <w:b/>
          <w:sz w:val="84"/>
          <w:szCs w:val="84"/>
        </w:rPr>
        <w:t>决算公开</w:t>
      </w: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ind w:firstLine="0" w:firstLineChars="0"/>
        <w:jc w:val="center"/>
        <w:rPr>
          <w:rFonts w:ascii="黑体" w:eastAsia="黑体"/>
          <w:color w:val="000000"/>
          <w:sz w:val="44"/>
          <w:szCs w:val="44"/>
        </w:rPr>
      </w:pPr>
      <w:r>
        <w:rPr>
          <w:rFonts w:ascii="黑体" w:eastAsia="黑体"/>
          <w:color w:val="000000"/>
          <w:sz w:val="44"/>
          <w:szCs w:val="44"/>
        </w:rPr>
        <w:t>秦皇岛市海港区发展改革局</w:t>
      </w:r>
    </w:p>
    <w:p>
      <w:pPr>
        <w:widowControl/>
        <w:spacing w:line="580" w:lineRule="exact"/>
        <w:ind w:firstLine="0" w:firstLineChars="0"/>
        <w:jc w:val="center"/>
        <w:rPr>
          <w:rFonts w:ascii="黑体" w:eastAsia="黑体"/>
          <w:color w:val="000000"/>
          <w:sz w:val="44"/>
          <w:szCs w:val="44"/>
        </w:rPr>
      </w:pPr>
      <w:r>
        <w:rPr>
          <w:rFonts w:hint="eastAsia" w:ascii="黑体" w:eastAsia="黑体"/>
          <w:color w:val="000000"/>
          <w:sz w:val="44"/>
          <w:szCs w:val="44"/>
        </w:rPr>
        <w:t>2</w:t>
      </w:r>
      <w:r>
        <w:rPr>
          <w:rFonts w:ascii="黑体" w:eastAsia="黑体"/>
          <w:color w:val="000000"/>
          <w:sz w:val="44"/>
          <w:szCs w:val="44"/>
        </w:rPr>
        <w:t>018</w:t>
      </w:r>
      <w:r>
        <w:rPr>
          <w:rFonts w:hint="eastAsia" w:ascii="黑体" w:eastAsia="黑体"/>
          <w:color w:val="000000"/>
          <w:sz w:val="44"/>
          <w:szCs w:val="44"/>
        </w:rPr>
        <w:t>年1</w:t>
      </w:r>
      <w:r>
        <w:rPr>
          <w:rFonts w:ascii="黑体" w:eastAsia="黑体"/>
          <w:color w:val="000000"/>
          <w:sz w:val="44"/>
          <w:szCs w:val="44"/>
        </w:rPr>
        <w:t>0</w:t>
      </w:r>
      <w:r>
        <w:rPr>
          <w:rFonts w:hint="eastAsia" w:ascii="黑体" w:eastAsia="黑体"/>
          <w:color w:val="000000"/>
          <w:sz w:val="44"/>
          <w:szCs w:val="44"/>
        </w:rPr>
        <w:t>月</w:t>
      </w:r>
    </w:p>
    <w:p>
      <w:pPr>
        <w:widowControl/>
        <w:spacing w:line="240" w:lineRule="auto"/>
        <w:ind w:firstLine="0" w:firstLineChars="0"/>
        <w:jc w:val="left"/>
        <w:rPr>
          <w:rFonts w:eastAsia="方正小标宋_GBK"/>
          <w:sz w:val="44"/>
          <w:szCs w:val="44"/>
        </w:rPr>
      </w:pPr>
      <w:r>
        <w:rPr>
          <w:rFonts w:eastAsia="方正小标宋_GBK"/>
          <w:color w:val="000000"/>
          <w:sz w:val="44"/>
          <w:szCs w:val="44"/>
        </w:rPr>
        <w:br w:type="page"/>
      </w: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r>
        <w:rPr>
          <w:rFonts w:eastAsia="方正小标宋_GBK"/>
          <w:sz w:val="44"/>
          <w:szCs w:val="44"/>
        </w:rPr>
        <w:t>部门决算公开目录</w:t>
      </w:r>
    </w:p>
    <w:p>
      <w:pPr>
        <w:widowControl/>
        <w:spacing w:line="580" w:lineRule="exact"/>
        <w:rPr>
          <w:rFonts w:eastAsia="黑体"/>
          <w:szCs w:val="32"/>
        </w:rPr>
      </w:pPr>
    </w:p>
    <w:p>
      <w:pPr>
        <w:widowControl/>
        <w:spacing w:line="580" w:lineRule="exact"/>
        <w:rPr>
          <w:sz w:val="24"/>
          <w:szCs w:val="32"/>
        </w:rPr>
      </w:pPr>
      <w:r>
        <w:rPr>
          <w:rFonts w:eastAsia="黑体"/>
          <w:szCs w:val="32"/>
        </w:rPr>
        <w:t>第一部分   海港区发改局部门概况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rPr>
          <w:sz w:val="20"/>
          <w:szCs w:val="32"/>
        </w:rPr>
      </w:pPr>
      <w:r>
        <w:rPr>
          <w:rFonts w:eastAsia="黑体"/>
          <w:szCs w:val="32"/>
        </w:rPr>
        <w:t>第二部分   海港区发改局部门2017年度部门决算报表</w:t>
      </w:r>
    </w:p>
    <w:p>
      <w:pPr>
        <w:widowControl/>
        <w:spacing w:line="580" w:lineRule="exact"/>
        <w:ind w:left="640"/>
        <w:rPr>
          <w:szCs w:val="32"/>
        </w:rPr>
      </w:pPr>
      <w:r>
        <w:rPr>
          <w:szCs w:val="32"/>
        </w:rPr>
        <w:t>一、收入支出决算总表</w:t>
      </w:r>
    </w:p>
    <w:p>
      <w:pPr>
        <w:widowControl/>
        <w:spacing w:line="580" w:lineRule="exact"/>
        <w:ind w:left="640"/>
        <w:rPr>
          <w:szCs w:val="32"/>
        </w:rPr>
      </w:pPr>
      <w:r>
        <w:rPr>
          <w:szCs w:val="32"/>
        </w:rPr>
        <w:t>二、收入决算表</w:t>
      </w:r>
    </w:p>
    <w:p>
      <w:pPr>
        <w:widowControl/>
        <w:spacing w:line="580" w:lineRule="exact"/>
        <w:ind w:left="640"/>
        <w:rPr>
          <w:szCs w:val="32"/>
        </w:rPr>
      </w:pPr>
      <w:r>
        <w:rPr>
          <w:szCs w:val="32"/>
        </w:rPr>
        <w:t>三、支出决算表</w:t>
      </w:r>
    </w:p>
    <w:p>
      <w:pPr>
        <w:widowControl/>
        <w:spacing w:line="580" w:lineRule="exact"/>
        <w:ind w:left="640"/>
        <w:rPr>
          <w:szCs w:val="32"/>
        </w:rPr>
      </w:pPr>
      <w:r>
        <w:rPr>
          <w:szCs w:val="32"/>
        </w:rPr>
        <w:t>四、财政拨款收入支出决算总表</w:t>
      </w:r>
    </w:p>
    <w:p>
      <w:pPr>
        <w:widowControl/>
        <w:spacing w:line="580" w:lineRule="exact"/>
        <w:ind w:left="640"/>
        <w:rPr>
          <w:szCs w:val="32"/>
        </w:rPr>
      </w:pPr>
      <w:r>
        <w:rPr>
          <w:szCs w:val="32"/>
        </w:rPr>
        <w:t>五、一般公共预算财政拨款收入支出决算表</w:t>
      </w:r>
    </w:p>
    <w:p>
      <w:pPr>
        <w:widowControl/>
        <w:spacing w:line="580" w:lineRule="exact"/>
        <w:ind w:left="640"/>
        <w:rPr>
          <w:szCs w:val="32"/>
        </w:rPr>
      </w:pPr>
      <w:r>
        <w:rPr>
          <w:szCs w:val="32"/>
        </w:rPr>
        <w:t>六、一般公共预算财政拨款基本支出决算经济分类表</w:t>
      </w:r>
    </w:p>
    <w:p>
      <w:pPr>
        <w:widowControl/>
        <w:spacing w:line="580" w:lineRule="exact"/>
        <w:ind w:left="640"/>
        <w:rPr>
          <w:szCs w:val="32"/>
        </w:rPr>
      </w:pPr>
      <w:r>
        <w:rPr>
          <w:szCs w:val="32"/>
        </w:rPr>
        <w:t>七、政府性基金预算财政拨款收入支出决算表</w:t>
      </w:r>
    </w:p>
    <w:p>
      <w:pPr>
        <w:widowControl/>
        <w:spacing w:line="580" w:lineRule="exact"/>
        <w:ind w:left="640"/>
        <w:rPr>
          <w:szCs w:val="32"/>
        </w:rPr>
      </w:pPr>
      <w:r>
        <w:rPr>
          <w:szCs w:val="32"/>
        </w:rPr>
        <w:t>八、国有资本经营预算财政拨款收入支出决算表</w:t>
      </w:r>
    </w:p>
    <w:p>
      <w:pPr>
        <w:widowControl/>
        <w:spacing w:line="580" w:lineRule="exact"/>
        <w:ind w:left="640"/>
        <w:rPr>
          <w:szCs w:val="32"/>
        </w:rPr>
      </w:pPr>
      <w:r>
        <w:rPr>
          <w:szCs w:val="32"/>
        </w:rPr>
        <w:t>九、“三公”经费等相关信息统计表</w:t>
      </w:r>
    </w:p>
    <w:p>
      <w:pPr>
        <w:widowControl/>
        <w:spacing w:line="580" w:lineRule="exact"/>
        <w:ind w:left="640"/>
        <w:rPr>
          <w:szCs w:val="32"/>
        </w:rPr>
      </w:pPr>
      <w:r>
        <w:rPr>
          <w:szCs w:val="32"/>
        </w:rPr>
        <w:t>十、政府采购情况表</w:t>
      </w:r>
    </w:p>
    <w:p>
      <w:pPr>
        <w:widowControl/>
        <w:spacing w:line="580" w:lineRule="exact"/>
        <w:rPr>
          <w:rFonts w:eastAsia="黑体"/>
          <w:szCs w:val="32"/>
        </w:rPr>
      </w:pPr>
      <w:r>
        <w:rPr>
          <w:rFonts w:eastAsia="黑体"/>
          <w:szCs w:val="32"/>
        </w:rPr>
        <w:t>第三部分 海港区发改局部门2017年</w:t>
      </w:r>
      <w:r>
        <w:rPr>
          <w:rFonts w:hint="eastAsia" w:eastAsia="黑体"/>
          <w:szCs w:val="32"/>
        </w:rPr>
        <w:t>度</w:t>
      </w:r>
      <w:r>
        <w:rPr>
          <w:rFonts w:eastAsia="黑体"/>
          <w:szCs w:val="32"/>
        </w:rPr>
        <w:t>部门决算情况说明</w:t>
      </w:r>
    </w:p>
    <w:p>
      <w:pPr>
        <w:widowControl/>
        <w:spacing w:line="580" w:lineRule="exact"/>
        <w:ind w:left="640"/>
        <w:rPr>
          <w:szCs w:val="32"/>
        </w:rPr>
      </w:pPr>
      <w:r>
        <w:rPr>
          <w:szCs w:val="32"/>
        </w:rPr>
        <w:t>一、收入支出决算总体情况说明</w:t>
      </w:r>
    </w:p>
    <w:p>
      <w:pPr>
        <w:widowControl/>
        <w:spacing w:line="580" w:lineRule="exact"/>
        <w:ind w:left="640"/>
        <w:rPr>
          <w:szCs w:val="32"/>
        </w:rPr>
      </w:pPr>
      <w:r>
        <w:rPr>
          <w:szCs w:val="32"/>
        </w:rPr>
        <w:t>二、收入决算情况说明</w:t>
      </w:r>
    </w:p>
    <w:p>
      <w:pPr>
        <w:widowControl/>
        <w:spacing w:line="580" w:lineRule="exact"/>
        <w:ind w:left="640"/>
        <w:rPr>
          <w:szCs w:val="32"/>
        </w:rPr>
      </w:pPr>
      <w:r>
        <w:rPr>
          <w:szCs w:val="32"/>
        </w:rPr>
        <w:t>三、支出决算情况说明</w:t>
      </w:r>
    </w:p>
    <w:p>
      <w:pPr>
        <w:widowControl/>
        <w:spacing w:line="580" w:lineRule="exact"/>
        <w:ind w:left="640"/>
        <w:rPr>
          <w:szCs w:val="32"/>
        </w:rPr>
      </w:pPr>
      <w:r>
        <w:rPr>
          <w:szCs w:val="32"/>
        </w:rPr>
        <w:t>四、财政拨款收入支出决算总体情况说明</w:t>
      </w:r>
    </w:p>
    <w:p>
      <w:pPr>
        <w:widowControl/>
        <w:spacing w:line="580" w:lineRule="exact"/>
        <w:ind w:left="640"/>
        <w:rPr>
          <w:szCs w:val="32"/>
        </w:rPr>
      </w:pPr>
      <w:r>
        <w:rPr>
          <w:szCs w:val="32"/>
        </w:rPr>
        <w:t>五、“三公”经费支出决算情况说明</w:t>
      </w:r>
    </w:p>
    <w:p>
      <w:pPr>
        <w:widowControl/>
        <w:spacing w:line="580" w:lineRule="exact"/>
        <w:ind w:left="640"/>
        <w:rPr>
          <w:szCs w:val="32"/>
        </w:rPr>
      </w:pPr>
      <w:r>
        <w:rPr>
          <w:szCs w:val="32"/>
        </w:rPr>
        <w:t>六、预算绩效管理工作开展情况说明</w:t>
      </w:r>
    </w:p>
    <w:p>
      <w:pPr>
        <w:widowControl/>
        <w:spacing w:line="580" w:lineRule="exact"/>
        <w:ind w:left="640"/>
        <w:rPr>
          <w:szCs w:val="32"/>
        </w:rPr>
      </w:pPr>
      <w:r>
        <w:rPr>
          <w:szCs w:val="32"/>
        </w:rPr>
        <w:t>七、其他重要事项的说明</w:t>
      </w:r>
    </w:p>
    <w:p>
      <w:pPr>
        <w:widowControl/>
        <w:spacing w:line="580" w:lineRule="exact"/>
        <w:ind w:left="640" w:firstLine="1340" w:firstLineChars="419"/>
        <w:rPr>
          <w:szCs w:val="32"/>
        </w:rPr>
      </w:pPr>
      <w:r>
        <w:rPr>
          <w:szCs w:val="32"/>
        </w:rPr>
        <w:t>1.机关运行经费情况</w:t>
      </w:r>
    </w:p>
    <w:p>
      <w:pPr>
        <w:widowControl/>
        <w:spacing w:line="580" w:lineRule="exact"/>
        <w:ind w:left="640" w:firstLine="1340" w:firstLineChars="419"/>
        <w:rPr>
          <w:szCs w:val="32"/>
        </w:rPr>
      </w:pPr>
      <w:r>
        <w:rPr>
          <w:szCs w:val="32"/>
        </w:rPr>
        <w:t>2.政府采购情况</w:t>
      </w:r>
    </w:p>
    <w:p>
      <w:pPr>
        <w:widowControl/>
        <w:spacing w:line="580" w:lineRule="exact"/>
        <w:ind w:left="640" w:firstLine="1340" w:firstLineChars="419"/>
        <w:rPr>
          <w:szCs w:val="32"/>
        </w:rPr>
      </w:pPr>
      <w:r>
        <w:rPr>
          <w:szCs w:val="32"/>
        </w:rPr>
        <w:t>3.国有资产占用情况</w:t>
      </w:r>
    </w:p>
    <w:p>
      <w:pPr>
        <w:widowControl/>
        <w:spacing w:line="580" w:lineRule="exact"/>
        <w:ind w:left="640" w:firstLine="1340" w:firstLineChars="419"/>
        <w:rPr>
          <w:szCs w:val="32"/>
        </w:rPr>
      </w:pPr>
      <w:r>
        <w:rPr>
          <w:szCs w:val="32"/>
        </w:rPr>
        <w:t>4.其他需要说明的情况</w:t>
      </w:r>
    </w:p>
    <w:p>
      <w:pPr>
        <w:widowControl/>
        <w:spacing w:line="580" w:lineRule="exact"/>
        <w:rPr>
          <w:rFonts w:eastAsia="黑体"/>
          <w:szCs w:val="32"/>
        </w:rPr>
      </w:pPr>
      <w:r>
        <w:rPr>
          <w:rFonts w:eastAsia="黑体"/>
          <w:szCs w:val="32"/>
        </w:rPr>
        <w:t>第四部分  名词解释</w:t>
      </w:r>
    </w:p>
    <w:p>
      <w:pPr>
        <w:widowControl/>
        <w:spacing w:line="240" w:lineRule="auto"/>
        <w:ind w:firstLine="0" w:firstLineChars="0"/>
        <w:jc w:val="left"/>
        <w:rPr>
          <w:rFonts w:ascii="黑体" w:eastAsia="黑体"/>
          <w:szCs w:val="32"/>
        </w:rPr>
      </w:pPr>
      <w:r>
        <w:rPr>
          <w:rFonts w:ascii="黑体" w:eastAsia="黑体"/>
          <w:szCs w:val="32"/>
        </w:rPr>
        <w:br w:type="page"/>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 xml:space="preserve">第一部分 </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eastAsia="黑体"/>
          <w:sz w:val="72"/>
          <w:szCs w:val="72"/>
        </w:rPr>
        <w:t>海港区发改局</w:t>
      </w:r>
      <w:r>
        <w:rPr>
          <w:rFonts w:hint="eastAsia" w:ascii="黑体" w:eastAsia="黑体"/>
          <w:sz w:val="72"/>
          <w:szCs w:val="72"/>
        </w:rPr>
        <w:t>部门概况</w:t>
      </w:r>
    </w:p>
    <w:p>
      <w:pPr>
        <w:widowControl/>
        <w:spacing w:line="240" w:lineRule="auto"/>
        <w:ind w:firstLine="0" w:firstLineChars="0"/>
        <w:jc w:val="left"/>
        <w:rPr>
          <w:rFonts w:ascii="黑体" w:eastAsia="黑体"/>
          <w:szCs w:val="32"/>
        </w:rPr>
      </w:pPr>
      <w:r>
        <w:rPr>
          <w:rFonts w:ascii="黑体" w:eastAsia="黑体"/>
          <w:szCs w:val="32"/>
        </w:rPr>
        <w:br w:type="page"/>
      </w:r>
    </w:p>
    <w:p>
      <w:pPr>
        <w:rPr>
          <w:rFonts w:ascii="仿宋_GB2312"/>
          <w:sz w:val="24"/>
          <w:szCs w:val="32"/>
        </w:rPr>
      </w:pPr>
    </w:p>
    <w:p>
      <w:pPr>
        <w:numPr>
          <w:ilvl w:val="0"/>
          <w:numId w:val="1"/>
        </w:numPr>
        <w:ind w:firstLineChars="0"/>
        <w:rPr>
          <w:rFonts w:ascii="仿宋_GB2312"/>
          <w:szCs w:val="32"/>
        </w:rPr>
      </w:pPr>
      <w:r>
        <w:rPr>
          <w:rFonts w:hint="eastAsia" w:ascii="仿宋_GB2312"/>
          <w:szCs w:val="32"/>
        </w:rPr>
        <w:t>部门职责</w:t>
      </w:r>
    </w:p>
    <w:p>
      <w:pPr>
        <w:ind w:firstLine="640" w:firstLineChars="200"/>
        <w:rPr>
          <w:rFonts w:ascii="仿宋_GB2312"/>
          <w:szCs w:val="32"/>
        </w:rPr>
      </w:pPr>
      <w:r>
        <w:rPr>
          <w:rFonts w:ascii="仿宋_GB2312"/>
          <w:szCs w:val="32"/>
        </w:rPr>
        <w:t>负责提出全区经济和社会发展的总体战略目标、思路及建议，编制全区经济和社会发展的中、长期规划和年度计划。推进产业结构战略性调整和升级。承担指导推进和综合协调经济体制改革的任务。合理安排中长期和年度固定资产投资规模，参与谋划工业、城建、交通、公检法司、科学技术、教育、文化、卫生、商贸、农业等项目，争取上级政策、资金支持。承担规划重大建设项目和生产力布局的责任。推进经济结构战略性调整，组织实施综合性产业政策、负责协调全区第一、二、三产业发展的重点问题并衔接平衡相关发展规划和重要政策，做好与国民经济和社会发展规划、计划的衔接平衡。负责社会发展与国民经济发展的政策衔接，组织拟订社会发展战略、总体规划和年度计划。推进可持续发展战略，负责节能的综合协调工作。负责全区经济和社会发展有关政策措施、规范性文件的研究起草和组织实施。组织编制全区国民经济动员规划、计划，研究国民经济动员与经济建设、国防建设的关系、协调相关问题，组织实施全市国民经济动员有关工作。开展促进城乡经济管理体制改革与经济、社会持续发展的政策研究和咨询工作。协调解决电力需求供应和电力、电信、广播电视设施工作、保护电力设施及电力行政执法工作。负责企业改制后监督工作和企业改制遗留问题的处理工作。监测、分析全区民营企业的运行态势。组织落实国家、省有关粮食流通的法律、法规、政策、规划及计划。落实一岗双责，负责本部门和所属企事业单位安全生产和维护稳定工作。承办区政府交办的其他事项。</w:t>
      </w:r>
    </w:p>
    <w:p>
      <w:pPr>
        <w:ind w:firstLine="1273" w:firstLineChars="398"/>
        <w:rPr>
          <w:rFonts w:ascii="仿宋_GB2312"/>
          <w:szCs w:val="32"/>
        </w:rPr>
      </w:pPr>
      <w:r>
        <w:rPr>
          <w:rFonts w:hint="eastAsia" w:ascii="仿宋_GB2312"/>
          <w:szCs w:val="32"/>
        </w:rPr>
        <w:t>二、部门决算单位构成</w:t>
      </w:r>
    </w:p>
    <w:p>
      <w:pPr>
        <w:ind w:firstLine="1273" w:firstLineChars="398"/>
        <w:rPr>
          <w:rFonts w:hint="eastAsia" w:ascii="仿宋_GB2312"/>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08" w:type="dxa"/>
          </w:tcPr>
          <w:p>
            <w:pPr>
              <w:ind w:firstLine="0" w:firstLineChars="0"/>
              <w:jc w:val="center"/>
              <w:rPr>
                <w:rFonts w:hint="eastAsia" w:ascii="仿宋_GB2312"/>
                <w:sz w:val="28"/>
                <w:szCs w:val="28"/>
              </w:rPr>
            </w:pPr>
            <w:r>
              <w:rPr>
                <w:rFonts w:hint="eastAsia" w:ascii="仿宋_GB2312"/>
                <w:sz w:val="28"/>
                <w:szCs w:val="28"/>
              </w:rPr>
              <w:t>单位名称</w:t>
            </w:r>
          </w:p>
        </w:tc>
        <w:tc>
          <w:tcPr>
            <w:tcW w:w="2208" w:type="dxa"/>
          </w:tcPr>
          <w:p>
            <w:pPr>
              <w:ind w:firstLine="0" w:firstLineChars="0"/>
              <w:jc w:val="center"/>
              <w:rPr>
                <w:rFonts w:hint="eastAsia" w:ascii="仿宋_GB2312"/>
                <w:sz w:val="28"/>
                <w:szCs w:val="28"/>
              </w:rPr>
            </w:pPr>
            <w:r>
              <w:rPr>
                <w:rFonts w:hint="eastAsia" w:ascii="仿宋_GB2312"/>
                <w:sz w:val="28"/>
                <w:szCs w:val="28"/>
              </w:rPr>
              <w:t>单位性质</w:t>
            </w:r>
          </w:p>
        </w:tc>
        <w:tc>
          <w:tcPr>
            <w:tcW w:w="2209" w:type="dxa"/>
          </w:tcPr>
          <w:p>
            <w:pPr>
              <w:ind w:firstLine="0" w:firstLineChars="0"/>
              <w:jc w:val="center"/>
              <w:rPr>
                <w:rFonts w:hint="eastAsia" w:ascii="仿宋_GB2312"/>
                <w:sz w:val="28"/>
                <w:szCs w:val="28"/>
              </w:rPr>
            </w:pPr>
            <w:r>
              <w:rPr>
                <w:rFonts w:hint="eastAsia" w:ascii="仿宋_GB2312"/>
                <w:sz w:val="28"/>
                <w:szCs w:val="28"/>
              </w:rPr>
              <w:t>单位规格</w:t>
            </w:r>
          </w:p>
        </w:tc>
        <w:tc>
          <w:tcPr>
            <w:tcW w:w="2209" w:type="dxa"/>
          </w:tcPr>
          <w:p>
            <w:pPr>
              <w:ind w:firstLine="0" w:firstLineChars="0"/>
              <w:jc w:val="center"/>
              <w:rPr>
                <w:rFonts w:hint="eastAsia" w:ascii="仿宋_GB2312"/>
                <w:sz w:val="28"/>
                <w:szCs w:val="28"/>
              </w:rPr>
            </w:pPr>
            <w:r>
              <w:rPr>
                <w:rFonts w:hint="eastAsia" w:ascii="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08" w:type="dxa"/>
          </w:tcPr>
          <w:p>
            <w:pPr>
              <w:ind w:firstLine="0" w:firstLineChars="0"/>
              <w:jc w:val="center"/>
              <w:rPr>
                <w:rFonts w:hint="eastAsia" w:ascii="仿宋_GB2312"/>
                <w:sz w:val="28"/>
                <w:szCs w:val="28"/>
              </w:rPr>
            </w:pPr>
            <w:r>
              <w:rPr>
                <w:rFonts w:ascii="仿宋_GB2312"/>
                <w:sz w:val="28"/>
                <w:szCs w:val="28"/>
              </w:rPr>
              <w:t>海港区发改局</w:t>
            </w:r>
          </w:p>
        </w:tc>
        <w:tc>
          <w:tcPr>
            <w:tcW w:w="2208" w:type="dxa"/>
          </w:tcPr>
          <w:p>
            <w:pPr>
              <w:ind w:firstLine="0" w:firstLineChars="0"/>
              <w:jc w:val="center"/>
              <w:rPr>
                <w:rFonts w:hint="eastAsia" w:ascii="仿宋_GB2312" w:eastAsia="仿宋_GB2312"/>
                <w:sz w:val="28"/>
                <w:szCs w:val="28"/>
                <w:lang w:eastAsia="zh-CN"/>
              </w:rPr>
            </w:pPr>
            <w:r>
              <w:rPr>
                <w:rFonts w:ascii="仿宋_GB2312"/>
                <w:sz w:val="28"/>
                <w:szCs w:val="28"/>
              </w:rPr>
              <w:t>行政</w:t>
            </w:r>
            <w:r>
              <w:rPr>
                <w:rFonts w:hint="eastAsia" w:ascii="仿宋_GB2312"/>
                <w:sz w:val="28"/>
                <w:szCs w:val="28"/>
                <w:lang w:eastAsia="zh-CN"/>
              </w:rPr>
              <w:t>单位</w:t>
            </w:r>
          </w:p>
        </w:tc>
        <w:tc>
          <w:tcPr>
            <w:tcW w:w="2209" w:type="dxa"/>
          </w:tcPr>
          <w:p>
            <w:pPr>
              <w:ind w:firstLine="0" w:firstLineChars="0"/>
              <w:jc w:val="center"/>
              <w:rPr>
                <w:rFonts w:hint="eastAsia" w:ascii="仿宋_GB2312" w:eastAsia="仿宋_GB2312"/>
                <w:sz w:val="28"/>
                <w:szCs w:val="28"/>
                <w:lang w:eastAsia="zh-CN"/>
              </w:rPr>
            </w:pPr>
            <w:r>
              <w:rPr>
                <w:rFonts w:ascii="仿宋_GB2312"/>
                <w:sz w:val="28"/>
                <w:szCs w:val="28"/>
              </w:rPr>
              <w:t>正科</w:t>
            </w:r>
            <w:r>
              <w:rPr>
                <w:rFonts w:hint="eastAsia" w:ascii="仿宋_GB2312"/>
                <w:sz w:val="28"/>
                <w:szCs w:val="28"/>
                <w:lang w:eastAsia="zh-CN"/>
              </w:rPr>
              <w:t>级</w:t>
            </w:r>
          </w:p>
        </w:tc>
        <w:tc>
          <w:tcPr>
            <w:tcW w:w="2209" w:type="dxa"/>
          </w:tcPr>
          <w:p>
            <w:pPr>
              <w:ind w:firstLine="0" w:firstLineChars="0"/>
              <w:jc w:val="center"/>
              <w:rPr>
                <w:rFonts w:hint="eastAsia" w:ascii="仿宋_GB2312" w:eastAsia="仿宋_GB2312"/>
                <w:sz w:val="28"/>
                <w:szCs w:val="28"/>
                <w:lang w:eastAsia="zh-CN"/>
              </w:rPr>
            </w:pPr>
            <w:r>
              <w:rPr>
                <w:rFonts w:ascii="仿宋_GB2312"/>
                <w:sz w:val="28"/>
                <w:szCs w:val="28"/>
              </w:rPr>
              <w:t>财</w:t>
            </w:r>
            <w:r>
              <w:rPr>
                <w:rFonts w:hint="eastAsia" w:ascii="仿宋_GB2312"/>
                <w:sz w:val="28"/>
                <w:szCs w:val="28"/>
                <w:lang w:eastAsia="zh-CN"/>
              </w:rPr>
              <w:t>政</w:t>
            </w:r>
            <w:r>
              <w:rPr>
                <w:rFonts w:ascii="仿宋_GB2312"/>
                <w:sz w:val="28"/>
                <w:szCs w:val="28"/>
              </w:rPr>
              <w:t>拨</w:t>
            </w:r>
            <w:r>
              <w:rPr>
                <w:rFonts w:hint="eastAsia" w:ascii="仿宋_GB2312"/>
                <w:sz w:val="28"/>
                <w:szCs w:val="28"/>
                <w:lang w:eastAsia="zh-CN"/>
              </w:rPr>
              <w:t>款</w:t>
            </w:r>
          </w:p>
        </w:tc>
      </w:tr>
    </w:tbl>
    <w:p>
      <w:pPr>
        <w:ind w:firstLine="1273" w:firstLineChars="398"/>
        <w:jc w:val="center"/>
        <w:rPr>
          <w:rFonts w:hint="eastAsia" w:ascii="仿宋_GB2312"/>
          <w:szCs w:val="32"/>
        </w:rPr>
      </w:pPr>
    </w:p>
    <w:p>
      <w:pPr>
        <w:widowControl/>
        <w:spacing w:line="240" w:lineRule="auto"/>
        <w:ind w:firstLine="0" w:firstLineChars="0"/>
        <w:jc w:val="left"/>
        <w:rPr>
          <w:rFonts w:ascii="黑体" w:eastAsia="黑体"/>
          <w:szCs w:val="32"/>
        </w:rPr>
      </w:pPr>
      <w:r>
        <w:rPr>
          <w:rFonts w:ascii="黑体" w:eastAsia="黑体"/>
          <w:szCs w:val="32"/>
        </w:rPr>
        <w:br w:type="page"/>
      </w:r>
      <w:r>
        <w:rPr>
          <w:rFonts w:ascii="黑体" w:eastAsia="黑体"/>
          <w:szCs w:val="32"/>
        </w:rPr>
        <w:t xml:space="preserve"> </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第二部分</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ascii="黑体" w:eastAsia="黑体"/>
          <w:sz w:val="72"/>
          <w:szCs w:val="72"/>
        </w:rPr>
        <w:t>海港区发改局</w:t>
      </w:r>
      <w:r>
        <w:rPr>
          <w:rFonts w:hint="eastAsia" w:ascii="黑体" w:eastAsia="黑体"/>
          <w:sz w:val="72"/>
          <w:szCs w:val="72"/>
        </w:rPr>
        <w:t>部门201</w:t>
      </w:r>
      <w:r>
        <w:rPr>
          <w:rFonts w:ascii="黑体" w:eastAsia="黑体"/>
          <w:sz w:val="72"/>
          <w:szCs w:val="72"/>
        </w:rPr>
        <w:t>7</w:t>
      </w:r>
      <w:r>
        <w:rPr>
          <w:rFonts w:hint="eastAsia" w:ascii="黑体" w:eastAsia="黑体"/>
          <w:sz w:val="72"/>
          <w:szCs w:val="72"/>
        </w:rPr>
        <w:t>年度部门决算报表</w:t>
      </w:r>
    </w:p>
    <w:p>
      <w:pPr>
        <w:widowControl/>
        <w:spacing w:line="240" w:lineRule="auto"/>
        <w:ind w:firstLine="0" w:firstLineChars="0"/>
        <w:jc w:val="left"/>
        <w:rPr>
          <w:rFonts w:ascii="黑体" w:eastAsia="黑体"/>
          <w:szCs w:val="32"/>
        </w:rPr>
      </w:pPr>
      <w:r>
        <w:rPr>
          <w:rFonts w:hint="eastAsia" w:ascii="黑体" w:eastAsia="黑体"/>
          <w:szCs w:val="32"/>
        </w:rPr>
        <w:t>　　　　</w:t>
      </w:r>
    </w:p>
    <w:p>
      <w:pPr>
        <w:widowControl/>
        <w:spacing w:line="240" w:lineRule="auto"/>
        <w:ind w:firstLine="0" w:firstLineChars="0"/>
        <w:jc w:val="left"/>
        <w:rPr>
          <w:rFonts w:ascii="黑体" w:eastAsia="黑体"/>
          <w:szCs w:val="32"/>
        </w:rPr>
      </w:pPr>
      <w:r>
        <w:rPr>
          <w:rFonts w:hint="eastAsia" w:ascii="黑体" w:eastAsia="黑体"/>
          <w:szCs w:val="32"/>
        </w:rPr>
        <w:t>　　　　</w:t>
      </w: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hint="eastAsia" w:ascii="仿宋_GB2312"/>
          <w:szCs w:val="32"/>
        </w:rPr>
      </w:pPr>
      <w:r>
        <w:rPr>
          <w:rFonts w:hint="eastAsia" w:ascii="仿宋_GB2312"/>
          <w:szCs w:val="32"/>
        </w:rPr>
        <w:t>　　　　</w:t>
      </w:r>
    </w:p>
    <w:p>
      <w:pPr>
        <w:widowControl/>
        <w:spacing w:line="240" w:lineRule="auto"/>
        <w:ind w:firstLine="0" w:firstLineChars="0"/>
        <w:jc w:val="left"/>
        <w:rPr>
          <w:rFonts w:hint="eastAsia" w:ascii="仿宋_GB2312"/>
          <w:szCs w:val="32"/>
        </w:rPr>
      </w:pPr>
    </w:p>
    <w:p>
      <w:pPr>
        <w:widowControl/>
        <w:spacing w:line="240" w:lineRule="auto"/>
        <w:ind w:firstLine="1280" w:firstLineChars="400"/>
        <w:jc w:val="left"/>
        <w:rPr>
          <w:rFonts w:ascii="仿宋_GB2312"/>
          <w:szCs w:val="32"/>
        </w:rPr>
      </w:pPr>
      <w:r>
        <w:rPr>
          <w:rFonts w:hint="eastAsia" w:ascii="仿宋_GB2312"/>
          <w:szCs w:val="32"/>
        </w:rPr>
        <w:t>一、收入支出决算总表</w:t>
      </w:r>
    </w:p>
    <w:p>
      <w:pPr>
        <w:ind w:left="640"/>
        <w:rPr>
          <w:rFonts w:ascii="仿宋_GB2312"/>
          <w:szCs w:val="32"/>
        </w:rPr>
      </w:pPr>
      <w:r>
        <w:rPr>
          <w:rFonts w:hint="eastAsia" w:ascii="仿宋_GB2312"/>
          <w:szCs w:val="32"/>
        </w:rPr>
        <w:t>二、收入决算表</w:t>
      </w:r>
    </w:p>
    <w:p>
      <w:pPr>
        <w:ind w:left="640"/>
        <w:rPr>
          <w:rFonts w:ascii="仿宋_GB2312"/>
          <w:szCs w:val="32"/>
        </w:rPr>
      </w:pPr>
      <w:r>
        <w:rPr>
          <w:rFonts w:hint="eastAsia" w:ascii="仿宋_GB2312"/>
          <w:szCs w:val="32"/>
        </w:rPr>
        <w:t>三、支出决算表</w:t>
      </w:r>
    </w:p>
    <w:p>
      <w:pPr>
        <w:ind w:left="640"/>
        <w:rPr>
          <w:rFonts w:ascii="仿宋_GB2312"/>
          <w:szCs w:val="32"/>
        </w:rPr>
      </w:pPr>
      <w:r>
        <w:rPr>
          <w:rFonts w:hint="eastAsia" w:ascii="仿宋_GB2312"/>
          <w:szCs w:val="32"/>
        </w:rPr>
        <w:t>四、财政拨款收入支出决算总表</w:t>
      </w:r>
    </w:p>
    <w:p>
      <w:pPr>
        <w:ind w:left="640"/>
        <w:rPr>
          <w:rFonts w:ascii="仿宋_GB2312"/>
          <w:szCs w:val="32"/>
        </w:rPr>
      </w:pPr>
      <w:r>
        <w:rPr>
          <w:rFonts w:hint="eastAsia" w:ascii="仿宋_GB2312"/>
          <w:szCs w:val="32"/>
        </w:rPr>
        <w:t>五、一般公共预算财政拨款收入支出决算表</w:t>
      </w:r>
    </w:p>
    <w:p>
      <w:pPr>
        <w:ind w:left="640"/>
        <w:rPr>
          <w:rFonts w:ascii="仿宋_GB2312"/>
          <w:szCs w:val="32"/>
        </w:rPr>
      </w:pPr>
      <w:r>
        <w:rPr>
          <w:rFonts w:hint="eastAsia" w:ascii="仿宋_GB2312"/>
          <w:szCs w:val="32"/>
        </w:rPr>
        <w:t>六、一般公共预算财政拨款基本支出决算表</w:t>
      </w:r>
    </w:p>
    <w:p>
      <w:pPr>
        <w:ind w:left="640"/>
        <w:rPr>
          <w:rFonts w:ascii="仿宋_GB2312"/>
          <w:szCs w:val="32"/>
        </w:rPr>
      </w:pPr>
      <w:r>
        <w:rPr>
          <w:rFonts w:hint="eastAsia" w:ascii="仿宋_GB2312"/>
          <w:szCs w:val="32"/>
        </w:rPr>
        <w:t>七、政府性基金预算财政拨款收入支出决算表</w:t>
      </w:r>
    </w:p>
    <w:p>
      <w:pPr>
        <w:ind w:left="640"/>
        <w:rPr>
          <w:rFonts w:ascii="仿宋_GB2312"/>
          <w:szCs w:val="32"/>
        </w:rPr>
      </w:pPr>
      <w:r>
        <w:rPr>
          <w:rFonts w:hint="eastAsia" w:ascii="仿宋_GB2312"/>
          <w:szCs w:val="32"/>
        </w:rPr>
        <w:t>八、国有资本经营预算财政拨款支出决算表</w:t>
      </w:r>
    </w:p>
    <w:p>
      <w:pPr>
        <w:ind w:left="640"/>
        <w:rPr>
          <w:rFonts w:ascii="仿宋_GB2312"/>
          <w:szCs w:val="32"/>
        </w:rPr>
      </w:pPr>
      <w:r>
        <w:rPr>
          <w:rFonts w:hint="eastAsia" w:ascii="仿宋_GB2312"/>
          <w:szCs w:val="32"/>
        </w:rPr>
        <w:t>九、“三公”经费及相关信息统计表</w:t>
      </w:r>
    </w:p>
    <w:p>
      <w:pPr>
        <w:ind w:left="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hint="eastAsia" w:ascii="仿宋_GB2312"/>
          <w:szCs w:val="32"/>
        </w:rPr>
      </w:pPr>
    </w:p>
    <w:p>
      <w:pPr>
        <w:ind w:firstLine="0" w:firstLineChars="0"/>
        <w:rPr>
          <w:rFonts w:hint="eastAsia" w:ascii="仿宋_GB2312"/>
          <w:szCs w:val="32"/>
        </w:rPr>
      </w:pPr>
    </w:p>
    <w:p>
      <w:pPr>
        <w:ind w:firstLine="0" w:firstLineChars="0"/>
        <w:rPr>
          <w:rFonts w:ascii="黑体" w:eastAsia="黑体"/>
          <w:szCs w:val="32"/>
        </w:rPr>
      </w:pPr>
      <w:r>
        <w:rPr>
          <w:rFonts w:hint="eastAsia" w:ascii="仿宋_GB2312"/>
          <w:szCs w:val="32"/>
        </w:rPr>
        <w:t>附件一：部门决算报表</w:t>
      </w:r>
    </w:p>
    <w:p>
      <w:pPr>
        <w:widowControl/>
        <w:spacing w:line="240" w:lineRule="auto"/>
        <w:ind w:firstLine="0" w:firstLineChars="0"/>
        <w:jc w:val="left"/>
        <w:rPr>
          <w:rFonts w:ascii="黑体" w:eastAsia="黑体"/>
          <w:szCs w:val="32"/>
        </w:rPr>
        <w:sectPr>
          <w:headerReference r:id="rId5" w:type="default"/>
          <w:footerReference r:id="rId6" w:type="default"/>
          <w:pgSz w:w="11906" w:h="16838"/>
          <w:pgMar w:top="1985" w:right="1531" w:bottom="1985" w:left="1531" w:header="851" w:footer="992" w:gutter="0"/>
          <w:cols w:space="720" w:num="1"/>
          <w:docGrid w:type="lines" w:linePitch="435" w:charSpace="0"/>
        </w:sect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第三部分</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 xml:space="preserve">  </w:t>
      </w:r>
      <w:r>
        <w:rPr>
          <w:rFonts w:ascii="黑体" w:eastAsia="黑体"/>
          <w:sz w:val="72"/>
          <w:szCs w:val="72"/>
        </w:rPr>
        <w:t>海港区发改局</w:t>
      </w:r>
      <w:r>
        <w:rPr>
          <w:rFonts w:hint="eastAsia" w:ascii="黑体" w:eastAsia="黑体"/>
          <w:sz w:val="72"/>
          <w:szCs w:val="72"/>
        </w:rPr>
        <w:t>部门201</w:t>
      </w:r>
      <w:r>
        <w:rPr>
          <w:rFonts w:ascii="黑体" w:eastAsia="黑体"/>
          <w:sz w:val="72"/>
          <w:szCs w:val="72"/>
        </w:rPr>
        <w:t>7</w:t>
      </w:r>
      <w:r>
        <w:rPr>
          <w:rFonts w:hint="eastAsia" w:ascii="黑体" w:eastAsia="黑体"/>
          <w:sz w:val="72"/>
          <w:szCs w:val="72"/>
        </w:rPr>
        <w:t>年部门决算情况说明</w:t>
      </w:r>
    </w:p>
    <w:p>
      <w:pPr>
        <w:widowControl/>
        <w:spacing w:line="240" w:lineRule="auto"/>
        <w:ind w:firstLine="0" w:firstLineChars="0"/>
        <w:jc w:val="left"/>
        <w:rPr>
          <w:rFonts w:ascii="楷体" w:eastAsia="楷体"/>
          <w:b/>
          <w:szCs w:val="32"/>
        </w:rPr>
      </w:pPr>
      <w:r>
        <w:rPr>
          <w:rFonts w:ascii="楷体" w:eastAsia="楷体"/>
          <w:b/>
          <w:szCs w:val="32"/>
        </w:rPr>
        <w:br w:type="page"/>
      </w:r>
    </w:p>
    <w:p>
      <w:pPr>
        <w:rPr>
          <w:rFonts w:ascii="楷体" w:eastAsia="楷体"/>
          <w:b/>
          <w:szCs w:val="32"/>
        </w:rPr>
      </w:pPr>
      <w:r>
        <w:rPr>
          <w:rFonts w:hint="eastAsia" w:ascii="楷体" w:eastAsia="楷体"/>
          <w:b/>
          <w:szCs w:val="32"/>
        </w:rPr>
        <w:t>一、收入支出决算总体情况说明</w:t>
      </w:r>
    </w:p>
    <w:p>
      <w:pPr>
        <w:rPr>
          <w:rFonts w:hint="eastAsia" w:ascii="仿宋" w:eastAsia="仿宋"/>
          <w:szCs w:val="32"/>
        </w:rPr>
      </w:pPr>
      <w:r>
        <w:rPr>
          <w:rFonts w:hint="eastAsia" w:ascii="仿宋" w:eastAsia="仿宋"/>
          <w:szCs w:val="32"/>
        </w:rPr>
        <w:t>2017 年度决算收入总计 5631 万元，决算支出总计 6,315.62万元，年初结转和结余 2,588.27 万元，年末结转和结余 1,903.65万元。</w:t>
      </w:r>
    </w:p>
    <w:p>
      <w:pPr>
        <w:rPr>
          <w:rFonts w:hint="eastAsia" w:ascii="仿宋" w:eastAsia="仿宋"/>
          <w:szCs w:val="32"/>
        </w:rPr>
      </w:pPr>
      <w:r>
        <w:rPr>
          <w:rFonts w:hint="eastAsia" w:ascii="仿宋" w:eastAsia="仿宋"/>
          <w:szCs w:val="32"/>
        </w:rPr>
        <w:t>2017 年度收入与年初预算对比增加 4243.74 万元，原因是：2017 年度预算不包含上年结转结余和上级专项资金拨款；与2016 年度收入相比，减少 17294.13 万元，原因是：2017 年度财政精简节约调整财政安排的财政收入、上级专项资金拨款减少.</w:t>
      </w:r>
    </w:p>
    <w:p>
      <w:pPr>
        <w:rPr>
          <w:rFonts w:hint="eastAsia" w:ascii="仿宋" w:eastAsia="仿宋"/>
          <w:szCs w:val="32"/>
        </w:rPr>
      </w:pPr>
      <w:r>
        <w:rPr>
          <w:rFonts w:hint="eastAsia" w:ascii="仿宋" w:eastAsia="仿宋"/>
          <w:szCs w:val="32"/>
        </w:rPr>
        <w:t>2017 年度支出与年初预算对比增加 5493.62 万元，原因是：2017 年度预算不包含上年结转结余和上级专项资金拨款；与2016 年度支出相比，减少 1286.15 万元，原因是：2017 年度财政精简节约调整财政安排的财政收入、上级专项资金拨款减少。</w:t>
      </w:r>
    </w:p>
    <w:p>
      <w:pPr>
        <w:rPr>
          <w:rFonts w:ascii="楷体" w:eastAsia="楷体"/>
          <w:b/>
          <w:szCs w:val="32"/>
        </w:rPr>
      </w:pPr>
      <w:r>
        <w:rPr>
          <w:rFonts w:ascii="楷体" w:eastAsia="楷体"/>
          <w:b/>
          <w:szCs w:val="32"/>
        </w:rPr>
        <w:t>二、收入决算情况说明</w:t>
      </w:r>
    </w:p>
    <w:p>
      <w:pPr>
        <w:widowControl/>
        <w:spacing w:line="580" w:lineRule="exact"/>
        <w:rPr>
          <w:rFonts w:hint="eastAsia" w:ascii="仿宋" w:eastAsia="仿宋"/>
          <w:szCs w:val="32"/>
        </w:rPr>
      </w:pPr>
      <w:r>
        <w:rPr>
          <w:rFonts w:hint="eastAsia" w:ascii="仿宋" w:eastAsia="仿宋"/>
          <w:szCs w:val="32"/>
        </w:rPr>
        <w:t>2017 年度收入合计 5,631.00 万元，其中：财政拨款收入</w:t>
      </w:r>
    </w:p>
    <w:p>
      <w:pPr>
        <w:widowControl/>
        <w:spacing w:line="580" w:lineRule="exact"/>
        <w:ind w:left="0" w:firstLine="0" w:firstLineChars="0"/>
        <w:rPr>
          <w:rFonts w:hint="eastAsia" w:ascii="仿宋" w:eastAsia="仿宋"/>
          <w:szCs w:val="32"/>
        </w:rPr>
      </w:pPr>
      <w:r>
        <w:rPr>
          <w:rFonts w:hint="eastAsia" w:ascii="仿宋" w:eastAsia="仿宋"/>
          <w:szCs w:val="32"/>
        </w:rPr>
        <w:t>5,631.00 万元，占总收入 100%；事业收入 0 万元，占总收入 0%；上级补助收入 0 万元，占总收入 0%；经营收入 0 万元，占总收入 0%；其它收入 0 万元，占总收入 0%</w:t>
      </w:r>
      <w:r>
        <w:rPr>
          <w:rFonts w:ascii="楷体" w:eastAsia="楷体"/>
          <w:b/>
          <w:szCs w:val="32"/>
        </w:rPr>
        <w:t>。</w:t>
      </w:r>
    </w:p>
    <w:p>
      <w:pPr>
        <w:widowControl/>
        <w:spacing w:line="580" w:lineRule="exact"/>
        <w:rPr>
          <w:rFonts w:ascii="楷体" w:eastAsia="楷体"/>
          <w:b/>
          <w:szCs w:val="32"/>
        </w:rPr>
      </w:pPr>
      <w:r>
        <w:rPr>
          <w:rFonts w:ascii="楷体" w:eastAsia="楷体"/>
          <w:b/>
          <w:szCs w:val="32"/>
        </w:rPr>
        <w:t>三、支出决算情况说明</w:t>
      </w:r>
    </w:p>
    <w:p>
      <w:pPr>
        <w:widowControl/>
        <w:spacing w:line="580" w:lineRule="exact"/>
        <w:rPr>
          <w:rFonts w:hint="eastAsia" w:ascii="仿宋" w:eastAsia="仿宋"/>
          <w:szCs w:val="32"/>
        </w:rPr>
      </w:pPr>
      <w:r>
        <w:rPr>
          <w:rFonts w:hint="eastAsia" w:ascii="仿宋" w:eastAsia="仿宋"/>
          <w:szCs w:val="32"/>
        </w:rPr>
        <w:t>2017 年度支出合计 6,315.62 万元，其中：基本支出 988.74万元，占总支出 15.6%；项目支出 5,326.88 万元，占总支出84.4%。</w:t>
      </w:r>
    </w:p>
    <w:p>
      <w:pPr>
        <w:widowControl/>
        <w:spacing w:line="580" w:lineRule="exact"/>
        <w:rPr>
          <w:rFonts w:ascii="楷体" w:eastAsia="楷体"/>
          <w:b/>
          <w:szCs w:val="32"/>
        </w:rPr>
      </w:pPr>
      <w:r>
        <w:rPr>
          <w:rFonts w:hint="eastAsia" w:ascii="楷体" w:eastAsia="楷体"/>
          <w:b/>
          <w:szCs w:val="32"/>
        </w:rPr>
        <w:t>四、财政拨款收入支出决算总体情况说明</w:t>
      </w:r>
    </w:p>
    <w:p>
      <w:pPr>
        <w:rPr>
          <w:rFonts w:hint="eastAsia" w:ascii="仿宋" w:eastAsia="仿宋"/>
          <w:szCs w:val="32"/>
        </w:rPr>
      </w:pPr>
      <w:r>
        <w:rPr>
          <w:rFonts w:hint="eastAsia" w:ascii="仿宋" w:eastAsia="仿宋"/>
          <w:szCs w:val="32"/>
        </w:rPr>
        <w:t>2017 年度财政拨款收入决算总计 5,631.00 万元，财政拨款支出决算总计 6,315.62 万元，年初结转和结余 2,588.27 万元，年末结转和结余 1,903.65 万元。</w:t>
      </w:r>
    </w:p>
    <w:p>
      <w:pPr>
        <w:rPr>
          <w:rFonts w:hint="eastAsia" w:ascii="仿宋" w:eastAsia="仿宋"/>
          <w:szCs w:val="32"/>
        </w:rPr>
      </w:pPr>
      <w:r>
        <w:rPr>
          <w:rFonts w:hint="eastAsia" w:ascii="仿宋" w:eastAsia="仿宋"/>
          <w:szCs w:val="32"/>
        </w:rPr>
        <w:t>2017 年度财政拨款收入与年初预算对比增加 4243.74 万元，原因是：2017 年度预算不包含上年结转结余和上级专项资金拨款；与 2016 年度相比，减少 17294.13 万元，原因是：2017 年度财政精简节约调整财政安排的财政收入、上级专项资金拨款减少。</w:t>
      </w:r>
    </w:p>
    <w:p>
      <w:pPr>
        <w:rPr>
          <w:rFonts w:hint="eastAsia" w:ascii="仿宋" w:eastAsia="仿宋"/>
          <w:szCs w:val="32"/>
        </w:rPr>
      </w:pPr>
      <w:r>
        <w:rPr>
          <w:rFonts w:hint="eastAsia" w:ascii="仿宋" w:eastAsia="仿宋"/>
          <w:szCs w:val="32"/>
        </w:rPr>
        <w:t>2017 年度财政拨款支出与年初预算对比增加 5493.62 万元，原因是：2017 年度预算不包含上年结转结余和上级专项资金拨款；与 2016 年度支出相比，减少 1286.15 万元，原因是：2017年度财政精简节约调整财政安排的财政收入、上级专项资金拨款减少。</w:t>
      </w:r>
    </w:p>
    <w:p>
      <w:pPr>
        <w:rPr>
          <w:rFonts w:hint="eastAsia" w:ascii="楷体" w:eastAsia="楷体"/>
          <w:b/>
          <w:szCs w:val="32"/>
        </w:rPr>
      </w:pPr>
    </w:p>
    <w:p>
      <w:pPr>
        <w:rPr>
          <w:rFonts w:hint="eastAsia" w:ascii="楷体" w:eastAsia="楷体"/>
          <w:b/>
          <w:szCs w:val="32"/>
        </w:rPr>
      </w:pPr>
    </w:p>
    <w:p>
      <w:pPr>
        <w:rPr>
          <w:rFonts w:hint="eastAsia" w:ascii="楷体" w:eastAsia="楷体"/>
          <w:b/>
          <w:szCs w:val="32"/>
        </w:rPr>
      </w:pPr>
    </w:p>
    <w:p>
      <w:pPr>
        <w:rPr>
          <w:rFonts w:hint="eastAsia" w:ascii="楷体" w:eastAsia="楷体"/>
          <w:b/>
          <w:szCs w:val="32"/>
        </w:rPr>
      </w:pPr>
    </w:p>
    <w:p>
      <w:pPr>
        <w:rPr>
          <w:rFonts w:hint="eastAsia" w:ascii="楷体" w:eastAsia="楷体"/>
          <w:b/>
          <w:szCs w:val="32"/>
        </w:rPr>
      </w:pPr>
    </w:p>
    <w:p>
      <w:pPr>
        <w:rPr>
          <w:rFonts w:ascii="楷体" w:eastAsia="楷体"/>
          <w:b/>
          <w:szCs w:val="32"/>
        </w:rPr>
      </w:pPr>
      <w:r>
        <w:rPr>
          <w:rFonts w:hint="eastAsia" w:asci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ascii="仿宋_GB2312"/>
                <w:sz w:val="24"/>
                <w:szCs w:val="24"/>
              </w:rPr>
              <w:t>4.82</w:t>
            </w:r>
          </w:p>
        </w:tc>
        <w:tc>
          <w:tcPr>
            <w:tcW w:w="1446" w:type="dxa"/>
          </w:tcPr>
          <w:p>
            <w:pPr>
              <w:ind w:firstLine="0" w:firstLineChars="0"/>
              <w:jc w:val="center"/>
              <w:rPr>
                <w:rFonts w:ascii="仿宋_GB2312"/>
                <w:sz w:val="24"/>
                <w:szCs w:val="24"/>
              </w:rPr>
            </w:pPr>
            <w:r>
              <w:rPr>
                <w:rFonts w:ascii="仿宋_GB2312"/>
                <w:sz w:val="24"/>
                <w:szCs w:val="24"/>
              </w:rPr>
              <w:t>4.87</w:t>
            </w:r>
          </w:p>
        </w:tc>
        <w:tc>
          <w:tcPr>
            <w:tcW w:w="1446" w:type="dxa"/>
          </w:tcPr>
          <w:p>
            <w:pPr>
              <w:ind w:firstLine="0" w:firstLineChars="0"/>
              <w:jc w:val="center"/>
              <w:rPr>
                <w:rFonts w:ascii="仿宋_GB2312"/>
                <w:sz w:val="24"/>
                <w:szCs w:val="24"/>
              </w:rPr>
            </w:pPr>
            <w:r>
              <w:rPr>
                <w:rFonts w:ascii="仿宋_GB2312"/>
                <w:sz w:val="24"/>
                <w:szCs w:val="24"/>
              </w:rPr>
              <w:t>9.44</w:t>
            </w:r>
          </w:p>
        </w:tc>
        <w:tc>
          <w:tcPr>
            <w:tcW w:w="1474" w:type="dxa"/>
          </w:tcPr>
          <w:p>
            <w:pPr>
              <w:ind w:firstLine="0" w:firstLineChars="0"/>
              <w:jc w:val="center"/>
              <w:rPr>
                <w:rFonts w:ascii="仿宋_GB2312"/>
                <w:sz w:val="24"/>
                <w:szCs w:val="24"/>
              </w:rPr>
            </w:pPr>
            <w:r>
              <w:rPr>
                <w:rFonts w:ascii="仿宋_GB2312"/>
                <w:sz w:val="24"/>
                <w:szCs w:val="24"/>
              </w:rPr>
              <w:t>-0.05</w:t>
            </w:r>
          </w:p>
        </w:tc>
        <w:tc>
          <w:tcPr>
            <w:tcW w:w="1417" w:type="dxa"/>
          </w:tcPr>
          <w:p>
            <w:pPr>
              <w:ind w:firstLine="0" w:firstLineChars="0"/>
              <w:jc w:val="center"/>
              <w:rPr>
                <w:rFonts w:ascii="仿宋_GB2312"/>
                <w:sz w:val="24"/>
                <w:szCs w:val="24"/>
              </w:rPr>
            </w:pPr>
            <w:r>
              <w:rPr>
                <w:rFonts w:ascii="仿宋_GB2312"/>
                <w:sz w:val="24"/>
                <w:szCs w:val="24"/>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ascii="仿宋_GB2312"/>
                <w:sz w:val="24"/>
                <w:szCs w:val="24"/>
              </w:rPr>
              <w:t>3.84</w:t>
            </w:r>
          </w:p>
        </w:tc>
        <w:tc>
          <w:tcPr>
            <w:tcW w:w="1446" w:type="dxa"/>
          </w:tcPr>
          <w:p>
            <w:pPr>
              <w:ind w:firstLine="0" w:firstLineChars="0"/>
              <w:jc w:val="center"/>
              <w:rPr>
                <w:rFonts w:ascii="仿宋_GB2312"/>
                <w:sz w:val="24"/>
                <w:szCs w:val="24"/>
              </w:rPr>
            </w:pPr>
            <w:r>
              <w:rPr>
                <w:rFonts w:ascii="仿宋_GB2312"/>
                <w:sz w:val="24"/>
                <w:szCs w:val="24"/>
              </w:rPr>
              <w:t>3.84</w:t>
            </w:r>
          </w:p>
        </w:tc>
        <w:tc>
          <w:tcPr>
            <w:tcW w:w="1446" w:type="dxa"/>
          </w:tcPr>
          <w:p>
            <w:pPr>
              <w:ind w:firstLine="0" w:firstLineChars="0"/>
              <w:jc w:val="center"/>
              <w:rPr>
                <w:rFonts w:ascii="仿宋_GB2312"/>
                <w:sz w:val="24"/>
                <w:szCs w:val="24"/>
              </w:rPr>
            </w:pPr>
            <w:r>
              <w:rPr>
                <w:rFonts w:ascii="仿宋_GB2312"/>
                <w:sz w:val="24"/>
                <w:szCs w:val="24"/>
              </w:rPr>
              <w:t>9.12</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93" w:type="dxa"/>
            <w:vAlign w:val="center"/>
          </w:tcPr>
          <w:p>
            <w:pPr>
              <w:spacing w:line="400" w:lineRule="exact"/>
              <w:rPr>
                <w:rFonts w:ascii="仿宋_GB2312"/>
                <w:color w:val="000000"/>
                <w:sz w:val="24"/>
                <w:szCs w:val="24"/>
              </w:rPr>
            </w:pPr>
            <w:bookmarkStart w:id="0" w:name="_Hlk3185114"/>
            <w:r>
              <w:rPr>
                <w:rFonts w:hint="eastAsia" w:ascii="仿宋_GB2312"/>
                <w:color w:val="000000"/>
                <w:sz w:val="24"/>
                <w:szCs w:val="24"/>
              </w:rPr>
              <w:t>其中：公务用车购置费</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74"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17" w:type="dxa"/>
          </w:tcPr>
          <w:p>
            <w:pPr>
              <w:ind w:firstLine="0" w:firstLineChars="0"/>
              <w:jc w:val="center"/>
              <w:rPr>
                <w:rFonts w:ascii="仿宋_GB2312"/>
                <w:color w:val="000000"/>
                <w:sz w:val="24"/>
                <w:szCs w:val="24"/>
              </w:rPr>
            </w:pPr>
            <w:r>
              <w:rPr>
                <w:rFonts w:hint="eastAsia" w:ascii="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93" w:type="dxa"/>
            <w:vAlign w:val="center"/>
          </w:tcPr>
          <w:p>
            <w:pPr>
              <w:spacing w:line="400" w:lineRule="exact"/>
              <w:rPr>
                <w:rFonts w:ascii="仿宋_GB2312"/>
                <w:color w:val="000000"/>
                <w:sz w:val="24"/>
                <w:szCs w:val="24"/>
              </w:rPr>
            </w:pPr>
            <w:r>
              <w:rPr>
                <w:rFonts w:hint="eastAsia" w:ascii="仿宋_GB2312"/>
                <w:color w:val="000000"/>
                <w:sz w:val="24"/>
                <w:szCs w:val="24"/>
              </w:rPr>
              <w:t>其中：公务用车维护费</w:t>
            </w:r>
          </w:p>
        </w:tc>
        <w:tc>
          <w:tcPr>
            <w:tcW w:w="1446" w:type="dxa"/>
          </w:tcPr>
          <w:p>
            <w:pPr>
              <w:ind w:firstLine="0" w:firstLineChars="0"/>
              <w:jc w:val="center"/>
              <w:rPr>
                <w:rFonts w:ascii="仿宋_GB2312"/>
                <w:color w:val="000000"/>
                <w:sz w:val="24"/>
                <w:szCs w:val="24"/>
              </w:rPr>
            </w:pPr>
            <w:r>
              <w:rPr>
                <w:rFonts w:ascii="仿宋_GB2312"/>
                <w:color w:val="000000"/>
                <w:sz w:val="24"/>
                <w:szCs w:val="24"/>
              </w:rPr>
              <w:t>3.84</w:t>
            </w:r>
          </w:p>
        </w:tc>
        <w:tc>
          <w:tcPr>
            <w:tcW w:w="1446" w:type="dxa"/>
          </w:tcPr>
          <w:p>
            <w:pPr>
              <w:ind w:firstLine="0" w:firstLineChars="0"/>
              <w:jc w:val="center"/>
              <w:rPr>
                <w:rFonts w:ascii="仿宋_GB2312"/>
                <w:color w:val="000000"/>
                <w:sz w:val="24"/>
                <w:szCs w:val="24"/>
              </w:rPr>
            </w:pPr>
            <w:r>
              <w:rPr>
                <w:rFonts w:ascii="仿宋_GB2312"/>
                <w:color w:val="000000"/>
                <w:sz w:val="24"/>
                <w:szCs w:val="24"/>
              </w:rPr>
              <w:t>3.84</w:t>
            </w:r>
          </w:p>
        </w:tc>
        <w:tc>
          <w:tcPr>
            <w:tcW w:w="1446" w:type="dxa"/>
          </w:tcPr>
          <w:p>
            <w:pPr>
              <w:ind w:firstLine="0" w:firstLineChars="0"/>
              <w:jc w:val="center"/>
              <w:rPr>
                <w:rFonts w:ascii="仿宋_GB2312"/>
                <w:color w:val="000000"/>
                <w:sz w:val="24"/>
                <w:szCs w:val="24"/>
              </w:rPr>
            </w:pPr>
            <w:r>
              <w:rPr>
                <w:rFonts w:ascii="仿宋_GB2312"/>
                <w:color w:val="000000"/>
                <w:sz w:val="24"/>
                <w:szCs w:val="24"/>
              </w:rPr>
              <w:t>9.12</w:t>
            </w:r>
          </w:p>
        </w:tc>
        <w:tc>
          <w:tcPr>
            <w:tcW w:w="1474"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17" w:type="dxa"/>
          </w:tcPr>
          <w:p>
            <w:pPr>
              <w:ind w:firstLine="0" w:firstLineChars="0"/>
              <w:jc w:val="center"/>
              <w:rPr>
                <w:rFonts w:ascii="仿宋_GB2312"/>
                <w:color w:val="000000"/>
                <w:sz w:val="24"/>
                <w:szCs w:val="24"/>
              </w:rPr>
            </w:pPr>
            <w:r>
              <w:rPr>
                <w:rFonts w:ascii="仿宋_GB2312"/>
                <w:color w:val="000000"/>
                <w:sz w:val="24"/>
                <w:szCs w:val="24"/>
              </w:rPr>
              <w:t>5.28</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2093" w:type="dxa"/>
            <w:vAlign w:val="center"/>
          </w:tcPr>
          <w:p>
            <w:pPr>
              <w:spacing w:line="400" w:lineRule="exact"/>
              <w:ind w:firstLine="0" w:firstLineChars="0"/>
              <w:rPr>
                <w:rFonts w:ascii="仿宋_GB2312"/>
                <w:color w:val="000000"/>
                <w:sz w:val="24"/>
                <w:szCs w:val="24"/>
              </w:rPr>
            </w:pPr>
            <w:r>
              <w:rPr>
                <w:rFonts w:hint="eastAsia" w:ascii="仿宋_GB2312"/>
                <w:color w:val="000000"/>
                <w:sz w:val="24"/>
                <w:szCs w:val="24"/>
              </w:rPr>
              <w:t>公务接待费</w:t>
            </w:r>
          </w:p>
        </w:tc>
        <w:tc>
          <w:tcPr>
            <w:tcW w:w="1446" w:type="dxa"/>
          </w:tcPr>
          <w:p>
            <w:pPr>
              <w:ind w:firstLine="0" w:firstLineChars="0"/>
              <w:jc w:val="center"/>
              <w:rPr>
                <w:rFonts w:ascii="仿宋_GB2312"/>
                <w:color w:val="000000"/>
                <w:sz w:val="24"/>
                <w:szCs w:val="24"/>
              </w:rPr>
            </w:pPr>
            <w:r>
              <w:rPr>
                <w:rFonts w:ascii="仿宋_GB2312"/>
                <w:color w:val="000000"/>
                <w:sz w:val="24"/>
                <w:szCs w:val="24"/>
              </w:rPr>
              <w:t>0.98</w:t>
            </w:r>
          </w:p>
        </w:tc>
        <w:tc>
          <w:tcPr>
            <w:tcW w:w="1446" w:type="dxa"/>
          </w:tcPr>
          <w:p>
            <w:pPr>
              <w:ind w:firstLine="0" w:firstLineChars="0"/>
              <w:jc w:val="center"/>
              <w:rPr>
                <w:rFonts w:ascii="仿宋_GB2312"/>
                <w:color w:val="000000"/>
                <w:sz w:val="24"/>
                <w:szCs w:val="24"/>
              </w:rPr>
            </w:pPr>
            <w:r>
              <w:rPr>
                <w:rFonts w:ascii="仿宋_GB2312"/>
                <w:color w:val="000000"/>
                <w:sz w:val="24"/>
                <w:szCs w:val="24"/>
              </w:rPr>
              <w:t>1.03</w:t>
            </w:r>
          </w:p>
        </w:tc>
        <w:tc>
          <w:tcPr>
            <w:tcW w:w="1446" w:type="dxa"/>
          </w:tcPr>
          <w:p>
            <w:pPr>
              <w:ind w:firstLine="0" w:firstLineChars="0"/>
              <w:jc w:val="center"/>
              <w:rPr>
                <w:rFonts w:ascii="仿宋_GB2312"/>
                <w:color w:val="000000"/>
                <w:sz w:val="24"/>
                <w:szCs w:val="24"/>
              </w:rPr>
            </w:pPr>
            <w:r>
              <w:rPr>
                <w:rFonts w:ascii="仿宋_GB2312"/>
                <w:color w:val="000000"/>
                <w:sz w:val="24"/>
                <w:szCs w:val="24"/>
              </w:rPr>
              <w:t>0.32</w:t>
            </w:r>
          </w:p>
        </w:tc>
        <w:tc>
          <w:tcPr>
            <w:tcW w:w="1474" w:type="dxa"/>
          </w:tcPr>
          <w:p>
            <w:pPr>
              <w:ind w:firstLine="0" w:firstLineChars="0"/>
              <w:jc w:val="center"/>
              <w:rPr>
                <w:rFonts w:ascii="仿宋_GB2312"/>
                <w:color w:val="000000"/>
                <w:sz w:val="24"/>
                <w:szCs w:val="24"/>
              </w:rPr>
            </w:pPr>
            <w:r>
              <w:rPr>
                <w:rFonts w:ascii="仿宋_GB2312"/>
                <w:color w:val="000000"/>
                <w:sz w:val="24"/>
                <w:szCs w:val="24"/>
              </w:rPr>
              <w:t>-0.05</w:t>
            </w:r>
          </w:p>
        </w:tc>
        <w:tc>
          <w:tcPr>
            <w:tcW w:w="1417" w:type="dxa"/>
          </w:tcPr>
          <w:p>
            <w:pPr>
              <w:ind w:firstLine="0" w:firstLineChars="0"/>
              <w:jc w:val="center"/>
              <w:rPr>
                <w:rFonts w:ascii="仿宋_GB2312"/>
                <w:color w:val="000000"/>
                <w:sz w:val="24"/>
                <w:szCs w:val="24"/>
              </w:rPr>
            </w:pPr>
            <w:r>
              <w:rPr>
                <w:rFonts w:ascii="仿宋_GB2312"/>
                <w:color w:val="000000"/>
                <w:sz w:val="24"/>
                <w:szCs w:val="24"/>
              </w:rPr>
              <w:t>+0.66</w:t>
            </w:r>
          </w:p>
        </w:tc>
      </w:tr>
    </w:tbl>
    <w:p>
      <w:pPr>
        <w:rPr>
          <w:rFonts w:ascii="仿宋_GB2312"/>
          <w:b/>
          <w:color w:val="000000"/>
          <w:szCs w:val="32"/>
        </w:rPr>
      </w:pPr>
      <w:r>
        <w:rPr>
          <w:rFonts w:hint="eastAsia" w:ascii="仿宋_GB2312"/>
          <w:b/>
          <w:color w:val="000000"/>
          <w:szCs w:val="32"/>
        </w:rPr>
        <w:t>（一）对比增减原因分析</w:t>
      </w:r>
    </w:p>
    <w:p>
      <w:pPr>
        <w:rPr>
          <w:rFonts w:hint="eastAsia" w:ascii="仿宋_GB2312"/>
          <w:szCs w:val="32"/>
        </w:rPr>
      </w:pPr>
      <w:r>
        <w:rPr>
          <w:rFonts w:hint="eastAsia" w:ascii="仿宋_GB2312"/>
          <w:szCs w:val="32"/>
        </w:rPr>
        <w:t>1．2017 年度“三公经费”支出总额 4.82 万元，与年初预算相比减少 0.05 万元，降低 1%，原因是：力行精简节约，缩减“三公”支出;与 2016 年度决算数相比减少 4.62 万元.降低 48%，原因是：年度财政精简节约,财政调整预算安排。</w:t>
      </w:r>
    </w:p>
    <w:p>
      <w:pPr>
        <w:rPr>
          <w:rFonts w:hint="eastAsia" w:ascii="仿宋_GB2312"/>
          <w:szCs w:val="32"/>
        </w:rPr>
      </w:pPr>
      <w:r>
        <w:rPr>
          <w:rFonts w:hint="eastAsia" w:ascii="仿宋_GB2312"/>
          <w:szCs w:val="32"/>
        </w:rPr>
        <w:t>2．2017 年度因公出国（境）费 0 万元，与年初预算相比增加 0 万元，增长 0%，原因是：区政府无此项安排，与 2016 年度决算数相比增加 0 万元，增长 0%，原因是：区政府无此项安排。</w:t>
      </w:r>
    </w:p>
    <w:p>
      <w:pPr>
        <w:rPr>
          <w:rFonts w:hint="eastAsia" w:ascii="仿宋_GB2312"/>
          <w:b/>
          <w:szCs w:val="32"/>
        </w:rPr>
      </w:pPr>
      <w:r>
        <w:rPr>
          <w:rFonts w:hint="eastAsia" w:ascii="仿宋_GB2312"/>
          <w:szCs w:val="32"/>
        </w:rPr>
        <w:t>3．2017 年度公务用车购置及运行维护费 3.84 万元，与年初预算相比增加 0 万元，增长 0%，原因是：力行精简节约，与2016 年度决算数相比减少 5.28 万元，降低 57%，原因是：年度财政精简节约,财政调整预算安排</w:t>
      </w:r>
    </w:p>
    <w:p>
      <w:pPr>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rPr>
          <w:rFonts w:hint="eastAsia" w:ascii="仿宋_GB2312"/>
          <w:b/>
          <w:szCs w:val="32"/>
        </w:rPr>
      </w:pPr>
      <w:r>
        <w:rPr>
          <w:rFonts w:hint="eastAsia" w:ascii="仿宋_GB2312"/>
          <w:color w:val="000000"/>
          <w:szCs w:val="32"/>
        </w:rPr>
        <w:t>其中：公务用车维护费,与年初</w:t>
      </w:r>
      <w:r>
        <w:rPr>
          <w:rFonts w:hint="eastAsia" w:ascii="仿宋_GB2312"/>
          <w:szCs w:val="32"/>
        </w:rPr>
        <w:t>预算相比增加 0 万元，增长 0%，原因是：力行精简节约，与2016 年度决算数相比减少 5.28 万元，降低 57%，原因是：年度财政精简节约,财政调整预算安排</w:t>
      </w:r>
    </w:p>
    <w:p>
      <w:pPr>
        <w:rPr>
          <w:rFonts w:ascii="仿宋_GB2312"/>
          <w:szCs w:val="32"/>
        </w:rPr>
      </w:pPr>
      <w:r>
        <w:rPr>
          <w:rFonts w:hint="eastAsia" w:ascii="仿宋_GB2312"/>
          <w:szCs w:val="32"/>
        </w:rPr>
        <w:t>4．</w:t>
      </w:r>
      <w:r>
        <w:rPr>
          <w:rFonts w:ascii="仿宋_GB2312"/>
          <w:szCs w:val="32"/>
        </w:rPr>
        <w:t>2017 年度公务接待费 0.98 万元，与年初预算相比减少0.05 万元，降低 1%，原因是：年度精简节约,公务接待活动减少.与 2016 年度决算数相比增加 0.66 万元，增长 206%，原因是：工作量增加,公务接待活动增加。</w:t>
      </w:r>
    </w:p>
    <w:p>
      <w:pPr>
        <w:rPr>
          <w:rFonts w:ascii="仿宋_GB2312"/>
          <w:b/>
          <w:szCs w:val="32"/>
        </w:rPr>
      </w:pPr>
      <w:r>
        <w:rPr>
          <w:rFonts w:hint="eastAsia" w:ascii="仿宋" w:eastAsia="仿宋"/>
          <w:b/>
          <w:szCs w:val="32"/>
        </w:rPr>
        <w:t>（二）2</w:t>
      </w:r>
      <w:r>
        <w:rPr>
          <w:rFonts w:ascii="仿宋" w:eastAsia="仿宋"/>
          <w:b/>
          <w:szCs w:val="32"/>
        </w:rPr>
        <w:t>017</w:t>
      </w:r>
      <w:r>
        <w:rPr>
          <w:rFonts w:hint="eastAsia" w:ascii="仿宋" w:eastAsia="仿宋"/>
          <w:b/>
          <w:szCs w:val="32"/>
        </w:rPr>
        <w:t>年度“三公”经费支出相关情况说明。</w:t>
      </w:r>
    </w:p>
    <w:p>
      <w:pPr>
        <w:rPr>
          <w:rFonts w:hint="eastAsia" w:ascii="仿宋" w:eastAsia="仿宋"/>
          <w:szCs w:val="32"/>
        </w:rPr>
      </w:pPr>
      <w:r>
        <w:rPr>
          <w:rFonts w:hint="eastAsia" w:ascii="仿宋" w:eastAsia="仿宋"/>
          <w:szCs w:val="32"/>
        </w:rPr>
        <w:t>1．公务用车购置数量为 2 辆，公务用车保有量 2 辆；</w:t>
      </w:r>
    </w:p>
    <w:p>
      <w:pPr>
        <w:rPr>
          <w:rFonts w:hint="eastAsia" w:ascii="仿宋" w:eastAsia="仿宋"/>
          <w:szCs w:val="32"/>
        </w:rPr>
      </w:pPr>
      <w:r>
        <w:rPr>
          <w:rFonts w:hint="eastAsia" w:ascii="仿宋" w:eastAsia="仿宋"/>
          <w:szCs w:val="32"/>
        </w:rPr>
        <w:t>2．因公出国（境）团组个数为 0 个，0 人次；</w:t>
      </w:r>
    </w:p>
    <w:p>
      <w:pPr>
        <w:rPr>
          <w:rFonts w:ascii="楷体" w:eastAsia="楷体"/>
          <w:b/>
          <w:szCs w:val="32"/>
        </w:rPr>
      </w:pPr>
      <w:r>
        <w:rPr>
          <w:rFonts w:hint="eastAsia" w:ascii="仿宋" w:eastAsia="仿宋"/>
          <w:szCs w:val="32"/>
        </w:rPr>
        <w:t>3．公务接待批次 10 批次，100人次。</w:t>
      </w:r>
    </w:p>
    <w:p>
      <w:pPr>
        <w:rPr>
          <w:rFonts w:ascii="楷体" w:eastAsia="楷体"/>
          <w:b/>
          <w:szCs w:val="32"/>
        </w:rPr>
      </w:pPr>
      <w:r>
        <w:rPr>
          <w:rFonts w:hint="eastAsia" w:ascii="楷体" w:eastAsia="楷体"/>
          <w:b/>
          <w:szCs w:val="32"/>
        </w:rPr>
        <w:t>六、绩效预算情况说明</w:t>
      </w:r>
    </w:p>
    <w:p>
      <w:pPr>
        <w:numPr>
          <w:ilvl w:val="0"/>
          <w:numId w:val="2"/>
        </w:numPr>
        <w:ind w:firstLineChars="0"/>
        <w:rPr>
          <w:rFonts w:ascii="仿宋_GB2312"/>
          <w:szCs w:val="32"/>
        </w:rPr>
      </w:pPr>
      <w:r>
        <w:rPr>
          <w:rFonts w:hint="eastAsia" w:ascii="仿宋_GB2312"/>
          <w:szCs w:val="32"/>
        </w:rPr>
        <w:t>预算绩效管理工作开展情况</w:t>
      </w:r>
    </w:p>
    <w:p>
      <w:pPr>
        <w:ind w:left="640" w:firstLine="0" w:firstLineChars="0"/>
        <w:rPr>
          <w:rFonts w:ascii="仿宋_GB2312"/>
          <w:szCs w:val="32"/>
        </w:rPr>
      </w:pPr>
      <w:r>
        <w:rPr>
          <w:rFonts w:ascii="仿宋_GB2312"/>
          <w:szCs w:val="32"/>
        </w:rPr>
        <w:t>我部门 2017 年财政拨款收入预决算差异率 305.91%，非财</w:t>
      </w:r>
    </w:p>
    <w:p>
      <w:pPr>
        <w:ind w:left="0" w:firstLine="0" w:firstLineChars="0"/>
        <w:rPr>
          <w:rFonts w:ascii="仿宋_GB2312"/>
          <w:szCs w:val="32"/>
        </w:rPr>
      </w:pPr>
      <w:r>
        <w:rPr>
          <w:rFonts w:ascii="仿宋_GB2312"/>
          <w:szCs w:val="32"/>
        </w:rPr>
        <w:t>政拨款收入预决算差异率 0，年初结转和结余预决算差异率 0，</w:t>
      </w:r>
    </w:p>
    <w:p>
      <w:pPr>
        <w:rPr>
          <w:rFonts w:ascii="仿宋_GB2312"/>
          <w:szCs w:val="32"/>
        </w:rPr>
      </w:pPr>
      <w:r>
        <w:rPr>
          <w:rFonts w:ascii="仿宋_GB2312"/>
          <w:szCs w:val="32"/>
        </w:rPr>
        <w:t>人员经费预决算差异率 10.03%，公用经费预决算差异率 29.14%，人员经费预算执行差异率 0，公用经费预算执行差异率 0，财政拨款结转和结余率 23.16%，财政拨款结转和结余上下年变动率 0，财政收回存量资金占上年财政拨款结转和结余比重率 0，“三公”经费支出预决算差异率-0.95%，项目支出中开支在职人员及离退休经费比重率 0，资产类往来款变动率 0，负债类往来款变动率0，事业单位借款变动率 0，在职人员控制率 104.05%，其他人员增减率 0，一般公共预算财政拨款（补助）人员增减率 0。</w:t>
      </w:r>
    </w:p>
    <w:p>
      <w:pPr>
        <w:rPr>
          <w:rFonts w:hint="eastAsia" w:ascii="仿宋_GB2312" w:eastAsia="仿宋_GB2312"/>
          <w:szCs w:val="32"/>
          <w:lang w:eastAsia="zh-CN"/>
        </w:rPr>
      </w:pPr>
      <w:r>
        <w:rPr>
          <w:rFonts w:hint="eastAsia" w:ascii="仿宋_GB2312"/>
          <w:szCs w:val="32"/>
        </w:rPr>
        <w:t>（二）预算项目绩效评价开展情况</w:t>
      </w:r>
      <w:r>
        <w:rPr>
          <w:rFonts w:hint="eastAsia" w:ascii="仿宋_GB2312"/>
          <w:szCs w:val="32"/>
          <w:lang w:eastAsia="zh-CN"/>
        </w:rPr>
        <w:t>：无</w:t>
      </w:r>
    </w:p>
    <w:p>
      <w:pPr>
        <w:rPr>
          <w:rFonts w:hint="eastAsia" w:ascii="仿宋_GB2312" w:eastAsia="仿宋_GB2312"/>
          <w:szCs w:val="32"/>
          <w:lang w:eastAsia="zh-CN"/>
        </w:rPr>
      </w:pPr>
      <w:r>
        <w:rPr>
          <w:rFonts w:hint="eastAsia" w:ascii="仿宋_GB2312"/>
          <w:szCs w:val="32"/>
        </w:rPr>
        <w:t>（三）预算项目绩效自评选例</w:t>
      </w:r>
      <w:r>
        <w:rPr>
          <w:rFonts w:hint="eastAsia" w:ascii="仿宋_GB2312"/>
          <w:szCs w:val="32"/>
          <w:lang w:eastAsia="zh-CN"/>
        </w:rPr>
        <w:t>：无</w:t>
      </w:r>
    </w:p>
    <w:p>
      <w:pPr>
        <w:rPr>
          <w:rFonts w:ascii="仿宋_GB2312"/>
          <w:szCs w:val="32"/>
        </w:rPr>
      </w:pPr>
      <w:r>
        <w:rPr>
          <w:rFonts w:hint="eastAsia" w:ascii="仿宋_GB2312"/>
          <w:szCs w:val="32"/>
        </w:rPr>
        <w:t>（四）部门决算量化评价说明，将2017年度部门决算中《部门决算量化评价表》相关数据和信息进行说明。</w:t>
      </w:r>
    </w:p>
    <w:p>
      <w:pPr>
        <w:rPr>
          <w:rFonts w:ascii="仿宋_GB2312"/>
          <w:szCs w:val="32"/>
        </w:rPr>
      </w:pPr>
      <w:r>
        <w:rPr>
          <w:rFonts w:ascii="仿宋_GB2312"/>
          <w:szCs w:val="32"/>
        </w:rPr>
        <w:t>我局绩效预算执行情况通过部门决算进行测评后得分为58.5 分，主要减分原因如下：</w:t>
      </w:r>
    </w:p>
    <w:p>
      <w:pPr>
        <w:rPr>
          <w:rFonts w:ascii="仿宋_GB2312"/>
          <w:szCs w:val="32"/>
        </w:rPr>
      </w:pPr>
      <w:r>
        <w:rPr>
          <w:rFonts w:ascii="仿宋_GB2312"/>
          <w:szCs w:val="32"/>
        </w:rPr>
        <w:t>1. 财政拨款收入预决算差异：权重为10分，实际得分 0 分 。主要原因：我局 2017 年有上级专项资金拨款和上年结转和结余,此款项不包含在 2017 年度区级预算中,导致我部门本年实际收入大于年初预算。</w:t>
      </w:r>
    </w:p>
    <w:p>
      <w:pPr>
        <w:rPr>
          <w:rFonts w:ascii="仿宋_GB2312"/>
          <w:szCs w:val="32"/>
        </w:rPr>
      </w:pPr>
      <w:r>
        <w:rPr>
          <w:rFonts w:ascii="仿宋_GB2312"/>
          <w:szCs w:val="32"/>
        </w:rPr>
        <w:t>2. 年初结转和结余预决算差异率 ：权重为 5 分 ，实际得分 0 分。主要原因：我局 2016 年结转和结余资金,不包含在 2017 年预算中。</w:t>
      </w:r>
    </w:p>
    <w:p>
      <w:pPr>
        <w:rPr>
          <w:rFonts w:ascii="仿宋_GB2312"/>
          <w:szCs w:val="32"/>
        </w:rPr>
      </w:pPr>
      <w:r>
        <w:rPr>
          <w:rFonts w:ascii="仿宋_GB2312"/>
          <w:szCs w:val="32"/>
        </w:rPr>
        <w:t>3. 人员经费预决算差异率：权重为 3 分，实际得分1.5 分 。主要原因：因 2017 年预算在 2016 年度编制，2017 年预算编制完成后我局有人员变动,导致人员经费预算大于决算。</w:t>
      </w:r>
    </w:p>
    <w:p>
      <w:pPr>
        <w:rPr>
          <w:rFonts w:ascii="仿宋_GB2312"/>
          <w:szCs w:val="32"/>
        </w:rPr>
      </w:pPr>
      <w:r>
        <w:rPr>
          <w:rFonts w:ascii="仿宋_GB2312"/>
          <w:szCs w:val="32"/>
        </w:rPr>
        <w:t>4. 公用经费预决算差异率：权重为2 分，实际得分为0 分 。主要原因:由于我局 2016 年有人员变动，所以在人员工资和保险方面与 2016 年预算存在差异;我局 2016 年有正常公用结转资金。此款项不包含在 2017 年度区级预算中。</w:t>
      </w:r>
    </w:p>
    <w:p>
      <w:pPr>
        <w:rPr>
          <w:rFonts w:ascii="仿宋_GB2312"/>
          <w:szCs w:val="32"/>
        </w:rPr>
      </w:pPr>
      <w:r>
        <w:rPr>
          <w:rFonts w:ascii="仿宋_GB2312"/>
          <w:szCs w:val="32"/>
        </w:rPr>
        <w:t>5  财政拨款结转和结余率：权重为 10 分，实际得分为 7.5 分。主要原因：2017 年我局结转和结余资金未使用完毕结转下年。</w:t>
      </w:r>
    </w:p>
    <w:p>
      <w:pPr>
        <w:rPr>
          <w:rFonts w:ascii="仿宋_GB2312"/>
          <w:szCs w:val="32"/>
        </w:rPr>
      </w:pPr>
      <w:r>
        <w:rPr>
          <w:rFonts w:ascii="仿宋_GB2312"/>
          <w:szCs w:val="32"/>
        </w:rPr>
        <w:t>6. 财政拨款结转和结余上下年变动率, 权重为 5 分，实际得分为 0 分。主要原因：主要原因：2017 年我局结转和结余资金未使用完毕结转下年。</w:t>
      </w:r>
    </w:p>
    <w:p>
      <w:pPr>
        <w:ind w:left="0" w:firstLine="640" w:firstLineChars="200"/>
        <w:rPr>
          <w:rFonts w:ascii="仿宋_GB2312"/>
          <w:szCs w:val="32"/>
        </w:rPr>
      </w:pPr>
      <w:r>
        <w:rPr>
          <w:rFonts w:ascii="仿宋_GB2312"/>
          <w:szCs w:val="32"/>
        </w:rPr>
        <w:t>7. 财政收回存量资金占上年财政拨款结转和结余比重：权</w:t>
      </w:r>
    </w:p>
    <w:p>
      <w:pPr>
        <w:ind w:left="0" w:firstLine="0" w:firstLineChars="0"/>
        <w:rPr>
          <w:rFonts w:ascii="仿宋_GB2312"/>
          <w:szCs w:val="32"/>
        </w:rPr>
      </w:pPr>
      <w:r>
        <w:rPr>
          <w:rFonts w:ascii="仿宋_GB2312"/>
          <w:szCs w:val="32"/>
        </w:rPr>
        <w:t>重 重 5 分，实际得分0 分。主要原因：上缴的财政资金是 2016 年未使用完毕结转到2017 年度的、2017 年当年上缴的资金。</w:t>
      </w:r>
    </w:p>
    <w:p>
      <w:pPr>
        <w:rPr>
          <w:rFonts w:ascii="仿宋_GB2312"/>
          <w:szCs w:val="32"/>
        </w:rPr>
      </w:pPr>
      <w:r>
        <w:rPr>
          <w:rFonts w:ascii="仿宋_GB2312"/>
          <w:szCs w:val="32"/>
        </w:rPr>
        <w:t>8． “ 三公 ” 经费支出预决算差异率 ： 权重 5 分 ， 实际得分 4分。主要原因：力行精简节约,缩减三公。</w:t>
      </w:r>
    </w:p>
    <w:p>
      <w:pPr>
        <w:rPr>
          <w:rFonts w:ascii="仿宋_GB2312"/>
          <w:szCs w:val="32"/>
        </w:rPr>
      </w:pPr>
      <w:r>
        <w:rPr>
          <w:rFonts w:ascii="仿宋_GB2312"/>
          <w:szCs w:val="32"/>
        </w:rPr>
        <w:t>9. 负债往来款变动率: : 权重 6分，实际得分 0 分。主要原因：原工信并入发改后已进行</w:t>
      </w:r>
      <w:r>
        <w:rPr>
          <w:rFonts w:hint="eastAsia" w:ascii="仿宋_GB2312"/>
          <w:szCs w:val="32"/>
          <w:lang w:val="en-US" w:eastAsia="zh-CN"/>
        </w:rPr>
        <w:t>账</w:t>
      </w:r>
      <w:bookmarkStart w:id="2" w:name="_GoBack"/>
      <w:bookmarkEnd w:id="2"/>
      <w:r>
        <w:rPr>
          <w:rFonts w:ascii="仿宋_GB2312"/>
          <w:szCs w:val="32"/>
        </w:rPr>
        <w:t>务处理。</w:t>
      </w:r>
    </w:p>
    <w:p>
      <w:pPr>
        <w:rPr>
          <w:rFonts w:ascii="仿宋_GB2312"/>
          <w:szCs w:val="32"/>
        </w:rPr>
      </w:pPr>
      <w:r>
        <w:rPr>
          <w:rFonts w:ascii="仿宋_GB2312"/>
          <w:szCs w:val="32"/>
        </w:rPr>
        <w:t>10.在职人员控制率：权重 3  分，实际得分 0.5 分。主要原因：我局行政在职人数多于编制数,所以在职人员空置率扣 2.5 分。</w:t>
      </w:r>
    </w:p>
    <w:p>
      <w:pPr>
        <w:rPr>
          <w:rFonts w:ascii="楷体" w:eastAsia="楷体"/>
          <w:b/>
          <w:szCs w:val="32"/>
        </w:rPr>
      </w:pPr>
      <w:r>
        <w:rPr>
          <w:rFonts w:hint="eastAsia" w:ascii="楷体" w:eastAsia="楷体"/>
          <w:b/>
          <w:szCs w:val="32"/>
        </w:rPr>
        <w:t>七、其他重要事项的情况说明。</w:t>
      </w:r>
    </w:p>
    <w:p>
      <w:pPr>
        <w:rPr>
          <w:rFonts w:ascii="仿宋" w:eastAsia="仿宋"/>
          <w:szCs w:val="32"/>
        </w:rPr>
      </w:pPr>
      <w:r>
        <w:rPr>
          <w:rFonts w:hint="eastAsia" w:ascii="仿宋" w:eastAsia="仿宋"/>
          <w:b/>
          <w:szCs w:val="32"/>
        </w:rPr>
        <w:t>1．机关运行经费支出情况的说明。</w:t>
      </w:r>
      <w:r>
        <w:rPr>
          <w:rFonts w:ascii="仿宋" w:eastAsia="仿宋"/>
          <w:szCs w:val="32"/>
        </w:rPr>
        <w:t>2017 年度本部门机关运</w:t>
      </w:r>
    </w:p>
    <w:p>
      <w:pPr>
        <w:ind w:left="0" w:firstLine="0" w:firstLineChars="0"/>
        <w:rPr>
          <w:rFonts w:ascii="仿宋" w:eastAsia="仿宋"/>
          <w:szCs w:val="32"/>
        </w:rPr>
      </w:pPr>
      <w:r>
        <w:rPr>
          <w:rFonts w:ascii="仿宋" w:eastAsia="仿宋"/>
          <w:szCs w:val="32"/>
        </w:rPr>
        <w:t>行经费支出 69.65 万元，比 2016 年度增加 16.97 万元，增长 24%。主要原因是：工信局合并后人员增多通讯补物业补有所增加。</w:t>
      </w:r>
    </w:p>
    <w:p>
      <w:pPr>
        <w:ind w:left="0" w:firstLine="643" w:firstLineChars="200"/>
        <w:rPr>
          <w:rFonts w:ascii="仿宋" w:eastAsia="仿宋"/>
          <w:b/>
          <w:szCs w:val="32"/>
        </w:rPr>
      </w:pPr>
      <w:r>
        <w:rPr>
          <w:rFonts w:hint="eastAsia" w:ascii="仿宋" w:eastAsia="仿宋"/>
          <w:b/>
          <w:szCs w:val="32"/>
        </w:rPr>
        <w:t>2．政府采购情况的说明。</w:t>
      </w:r>
      <w:r>
        <w:rPr>
          <w:rFonts w:ascii="仿宋" w:eastAsia="仿宋"/>
          <w:szCs w:val="32"/>
        </w:rPr>
        <w:t>2017 年度本部门政府采购支出总额 32.22 万元，其中：政府采购货物支出 32.22 万元、政府采购工程支出 0 万元、政府采购服务支出 0 万元。（公开的数据应与2017年度政府采购信息统计报表中“政府采购资金情况表”、2017年度部门决算“政府采购情况表”有关数据一致）</w:t>
      </w:r>
    </w:p>
    <w:p>
      <w:pPr>
        <w:widowControl/>
        <w:spacing w:line="240" w:lineRule="auto"/>
        <w:jc w:val="left"/>
        <w:rPr>
          <w:rFonts w:ascii="仿宋" w:eastAsia="仿宋"/>
          <w:b/>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1985" w:right="1531" w:bottom="1701" w:left="1531" w:header="851" w:footer="992" w:gutter="0"/>
          <w:cols w:space="720" w:num="1"/>
          <w:docGrid w:type="lines" w:linePitch="435" w:charSpace="0"/>
        </w:sectPr>
      </w:pPr>
      <w:r>
        <w:rPr>
          <w:rFonts w:hint="eastAsia" w:ascii="仿宋" w:eastAsia="仿宋"/>
          <w:b/>
          <w:szCs w:val="32"/>
        </w:rPr>
        <w:t>3．国有资产占用情况。</w:t>
      </w:r>
    </w:p>
    <w:tbl>
      <w:tblPr>
        <w:tblStyle w:val="4"/>
        <w:tblW w:w="151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8"/>
        <w:gridCol w:w="660"/>
        <w:gridCol w:w="881"/>
        <w:gridCol w:w="881"/>
        <w:gridCol w:w="986"/>
        <w:gridCol w:w="986"/>
        <w:gridCol w:w="4634"/>
        <w:gridCol w:w="657"/>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45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项　　目</w:t>
            </w:r>
          </w:p>
        </w:tc>
        <w:tc>
          <w:tcPr>
            <w:tcW w:w="660"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行次</w:t>
            </w:r>
          </w:p>
        </w:tc>
        <w:tc>
          <w:tcPr>
            <w:tcW w:w="176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数量</w:t>
            </w:r>
          </w:p>
        </w:tc>
        <w:tc>
          <w:tcPr>
            <w:tcW w:w="197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价值（万元）</w:t>
            </w:r>
          </w:p>
        </w:tc>
        <w:tc>
          <w:tcPr>
            <w:tcW w:w="6205"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 xml:space="preserve">补充资料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60" w:type="dxa"/>
            <w:vMerge w:val="continue"/>
            <w:tcBorders>
              <w:top w:val="single" w:color="000000" w:sz="4" w:space="0"/>
              <w:left w:val="nil"/>
              <w:bottom w:val="single" w:color="000000" w:sz="4" w:space="0"/>
              <w:right w:val="single" w:color="000000" w:sz="4" w:space="0"/>
            </w:tcBorders>
            <w:shd w:val="clear" w:color="auto" w:fill="auto"/>
            <w:vAlign w:val="center"/>
          </w:tc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年初数</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年末数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年初数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年末数</w:t>
            </w:r>
          </w:p>
        </w:tc>
        <w:tc>
          <w:tcPr>
            <w:tcW w:w="6205"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栏　　次</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　</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行次</w:t>
            </w:r>
          </w:p>
        </w:tc>
        <w:tc>
          <w:tcPr>
            <w:tcW w:w="91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资产总额</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2853.4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2194.07</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一、本年坏账损失金额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23</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一、流动资产</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2610.56</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1947.35</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二、危房面积（平方米）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24</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二、固定资产</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242.85</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246.72</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（一）上年年末数</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25</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bookmarkStart w:id="1" w:name="_Hlk3187520"/>
            <w:r>
              <w:rPr>
                <w:rFonts w:hint="eastAsia" w:ascii="宋体" w:eastAsia="宋体" w:cs="Arial"/>
                <w:color w:val="000000"/>
                <w:kern w:val="0"/>
                <w:sz w:val="22"/>
              </w:rPr>
              <w:t xml:space="preserve">  （一）房屋（平方米）</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1570</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1570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145.28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145.28</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（二）本年增加数</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26</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1.办公用房</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5</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（三）本年减少数</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27</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2.业务用房</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6</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其中：本年修复数</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28</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3.其他（不含构筑物）</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7</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1570</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1570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145.28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145.28</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（四）年末数</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29</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（二）车辆（台、辆）</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8</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39.23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39.23</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三、年末单位负担费用的供暖面积（平方米）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30</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1.轿车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9</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39.23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39.23</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四、年末单位出租出借房屋面积（平方米）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31</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2.越野车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10</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五、年末单位土地证证载面积（平方米）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32</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3.小型载客汽车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11</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六、年末单位车辆工作用途情况（台、辆）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33</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4.大中型载客汽车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12</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1.副部（省）级及以上领导用车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34</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5.其他车型</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13</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2.一般公务用车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35</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（三）单价50万元（含）以上的通用设备</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14</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3.一般执法执勤用车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36</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eastAsia="宋体" w:cs="Arial"/>
                <w:color w:val="000000"/>
                <w:kern w:val="0"/>
                <w:sz w:val="22"/>
              </w:rPr>
            </w:pPr>
            <w:r>
              <w:rPr>
                <w:rFonts w:hint="eastAsia" w:ascii="宋体" w:eastAsia="宋体" w:cs="Arial"/>
                <w:color w:val="000000"/>
                <w:kern w:val="0"/>
                <w:sz w:val="22"/>
              </w:rPr>
              <w:t>（四）单价100万元（含）以上的专用设备</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15</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4.特种专业技术用车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37</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（五）其他固定资产</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16</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58.34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ascii="宋体" w:eastAsia="宋体" w:cs="Arial"/>
                <w:color w:val="000000"/>
                <w:kern w:val="0"/>
                <w:sz w:val="22"/>
              </w:rPr>
              <w:t>62.21</w:t>
            </w: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5.其他用车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38</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减：累计折旧及减值准备</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17</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39</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三、长期投资</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18</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40</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四、在建工程</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19</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41</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五、无形资产</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20</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42</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减：累计摊销</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21</w:t>
            </w: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43</w:t>
            </w:r>
          </w:p>
        </w:tc>
        <w:tc>
          <w:tcPr>
            <w:tcW w:w="91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48"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六、其他资产</w:t>
            </w:r>
          </w:p>
        </w:tc>
        <w:tc>
          <w:tcPr>
            <w:tcW w:w="660"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22</w:t>
            </w:r>
          </w:p>
        </w:tc>
        <w:tc>
          <w:tcPr>
            <w:tcW w:w="88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8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3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44</w:t>
            </w:r>
          </w:p>
        </w:tc>
        <w:tc>
          <w:tcPr>
            <w:tcW w:w="91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bl>
    <w:p>
      <w:pPr>
        <w:widowControl/>
        <w:spacing w:line="240" w:lineRule="auto"/>
        <w:ind w:firstLine="0" w:firstLineChars="0"/>
        <w:jc w:val="left"/>
        <w:rPr>
          <w:rFonts w:ascii="仿宋" w:eastAsia="仿宋"/>
          <w:b/>
          <w:szCs w:val="32"/>
        </w:rPr>
        <w:sectPr>
          <w:pgSz w:w="16838" w:h="11906" w:orient="landscape"/>
          <w:pgMar w:top="1531" w:right="1985" w:bottom="1531" w:left="1985" w:header="851" w:footer="992" w:gutter="0"/>
          <w:cols w:space="720" w:num="1"/>
          <w:docGrid w:type="lines" w:linePitch="435" w:charSpace="0"/>
        </w:sectPr>
      </w:pPr>
      <w:r>
        <w:rPr>
          <w:rFonts w:ascii="仿宋" w:eastAsia="仿宋"/>
          <w:b/>
          <w:szCs w:val="32"/>
        </w:rPr>
        <w:br w:type="page"/>
      </w:r>
    </w:p>
    <w:p>
      <w:pPr>
        <w:rPr>
          <w:rFonts w:ascii="仿宋_GB2312"/>
          <w:color w:val="000000"/>
          <w:szCs w:val="32"/>
        </w:rPr>
      </w:pPr>
    </w:p>
    <w:p>
      <w:pPr>
        <w:rPr>
          <w:rFonts w:ascii="仿宋_GB2312"/>
          <w:color w:val="FF0000"/>
          <w:szCs w:val="32"/>
        </w:rPr>
      </w:pPr>
      <w:r>
        <w:rPr>
          <w:rFonts w:hint="eastAsia" w:ascii="仿宋_GB2312"/>
          <w:color w:val="000000"/>
          <w:szCs w:val="32"/>
        </w:rPr>
        <w:t>截至201</w:t>
      </w:r>
      <w:r>
        <w:rPr>
          <w:rFonts w:ascii="仿宋_GB2312"/>
          <w:color w:val="000000"/>
          <w:szCs w:val="32"/>
        </w:rPr>
        <w:t>7</w:t>
      </w:r>
      <w:r>
        <w:rPr>
          <w:rFonts w:hint="eastAsia" w:ascii="仿宋_GB2312"/>
          <w:color w:val="000000"/>
          <w:szCs w:val="32"/>
        </w:rPr>
        <w:t>年12月31日，固定资产</w:t>
      </w:r>
      <w:r>
        <w:rPr>
          <w:rFonts w:ascii="仿宋_GB2312"/>
          <w:color w:val="000000"/>
          <w:szCs w:val="32"/>
        </w:rPr>
        <w:t>246.72</w:t>
      </w:r>
      <w:r>
        <w:rPr>
          <w:rFonts w:hint="eastAsia" w:ascii="仿宋_GB2312"/>
          <w:color w:val="000000"/>
          <w:szCs w:val="32"/>
        </w:rPr>
        <w:t>万元，与2016年相比增加</w:t>
      </w:r>
      <w:r>
        <w:rPr>
          <w:rFonts w:ascii="仿宋_GB2312"/>
          <w:color w:val="000000"/>
          <w:szCs w:val="32"/>
        </w:rPr>
        <w:t>3.87</w:t>
      </w:r>
      <w:r>
        <w:rPr>
          <w:rFonts w:hint="eastAsia" w:ascii="仿宋_GB2312"/>
          <w:color w:val="000000"/>
          <w:szCs w:val="32"/>
        </w:rPr>
        <w:t>万元，主要原因是：</w:t>
      </w:r>
      <w:r>
        <w:rPr>
          <w:rFonts w:ascii="仿宋_GB2312"/>
          <w:color w:val="000000"/>
          <w:szCs w:val="32"/>
        </w:rPr>
        <w:t>因工作需要购置办公设备</w:t>
      </w:r>
      <w:r>
        <w:rPr>
          <w:rFonts w:hint="eastAsia" w:ascii="仿宋_GB2312"/>
          <w:color w:val="000000"/>
          <w:szCs w:val="32"/>
        </w:rPr>
        <w:t>。</w:t>
      </w:r>
    </w:p>
    <w:p>
      <w:pPr>
        <w:ind w:firstLine="640" w:firstLineChars="200"/>
        <w:rPr>
          <w:rFonts w:ascii="仿宋_GB2312"/>
          <w:szCs w:val="32"/>
        </w:rPr>
      </w:pPr>
      <w:r>
        <w:rPr>
          <w:rFonts w:ascii="仿宋_GB2312"/>
          <w:szCs w:val="32"/>
        </w:rPr>
        <w:t>截至 2017 年 12 月 31 日，本部门共有车辆 2 辆，其中，一般公务用车 2 辆、一般执法执勤用车 0 辆、特种专业技术用车 0 辆、其他用车 0 辆，其他用车主要是 0；单位价值 200 万元以上大型设备 0 台（套）。</w:t>
      </w:r>
    </w:p>
    <w:p>
      <w:pPr>
        <w:widowControl/>
        <w:spacing w:line="580" w:lineRule="exact"/>
        <w:rPr>
          <w:rFonts w:ascii="仿宋" w:eastAsia="仿宋"/>
          <w:b/>
          <w:szCs w:val="32"/>
        </w:rPr>
      </w:pPr>
      <w:r>
        <w:rPr>
          <w:rFonts w:ascii="仿宋" w:eastAsia="仿宋"/>
          <w:b/>
          <w:szCs w:val="32"/>
        </w:rPr>
        <w:t>4</w:t>
      </w:r>
      <w:r>
        <w:rPr>
          <w:rFonts w:hint="eastAsia" w:ascii="仿宋" w:eastAsia="仿宋"/>
          <w:b/>
          <w:szCs w:val="32"/>
        </w:rPr>
        <w:t>．</w:t>
      </w:r>
      <w:r>
        <w:rPr>
          <w:rFonts w:ascii="仿宋" w:eastAsia="仿宋"/>
          <w:b/>
          <w:szCs w:val="32"/>
        </w:rPr>
        <w:t>其他需要说明的情况</w:t>
      </w:r>
      <w:r>
        <w:rPr>
          <w:rFonts w:hint="eastAsia" w:ascii="仿宋" w:eastAsia="仿宋"/>
          <w:b/>
          <w:szCs w:val="32"/>
        </w:rPr>
        <w:t>。</w:t>
      </w:r>
    </w:p>
    <w:p>
      <w:pPr>
        <w:ind w:firstLine="640" w:firstLineChars="200"/>
        <w:rPr>
          <w:rFonts w:hint="eastAsia" w:ascii="仿宋_GB2312"/>
          <w:szCs w:val="32"/>
        </w:rPr>
      </w:pPr>
      <w:r>
        <w:rPr>
          <w:rFonts w:hint="eastAsia" w:ascii="仿宋" w:hAnsi="仿宋" w:eastAsia="仿宋" w:cs="仿宋"/>
        </w:rPr>
        <w:t>会议费支出情况。</w:t>
      </w:r>
      <w:r>
        <w:rPr>
          <w:rFonts w:hint="eastAsia" w:ascii="仿宋" w:hAnsi="仿宋" w:eastAsia="仿宋"/>
          <w:szCs w:val="32"/>
        </w:rPr>
        <w:t>2017年会议费总计0万元，2016年度决算数为0万元，原因是：2017年未发生会议费支出，2016年也未发生会议费支出。</w:t>
      </w:r>
    </w:p>
    <w:p>
      <w:pPr>
        <w:ind w:firstLine="640" w:firstLineChars="200"/>
        <w:rPr>
          <w:rFonts w:hint="eastAsia" w:ascii="仿宋_GB2312"/>
          <w:szCs w:val="32"/>
        </w:rPr>
      </w:pPr>
      <w:r>
        <w:rPr>
          <w:rFonts w:hint="eastAsia" w:ascii="仿宋_GB2312"/>
          <w:szCs w:val="32"/>
        </w:rPr>
        <w:t>培训费支出情况。2017 年培训费总计 0.14 万元，2016 年支出为 1.98 万元，比上年减少 1.84 万元，降低 92%。原因是力行精简节约,缩减培训费支出。</w:t>
      </w:r>
    </w:p>
    <w:p>
      <w:pPr>
        <w:spacing w:line="240" w:lineRule="auto"/>
        <w:rPr>
          <w:rFonts w:hint="eastAsia" w:ascii="仿宋" w:eastAsia="仿宋"/>
          <w:szCs w:val="32"/>
        </w:rPr>
      </w:pPr>
    </w:p>
    <w:p>
      <w:pPr>
        <w:spacing w:line="240" w:lineRule="auto"/>
        <w:rPr>
          <w:rFonts w:hint="eastAsia" w:ascii="仿宋" w:eastAsia="仿宋"/>
          <w:sz w:val="72"/>
          <w:szCs w:val="72"/>
        </w:rPr>
      </w:pP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r>
        <w:rPr>
          <w:rFonts w:hint="eastAsia" w:ascii="黑体" w:eastAsia="黑体"/>
          <w:sz w:val="72"/>
          <w:szCs w:val="72"/>
        </w:rPr>
        <w:t>第四部分  名词解释</w:t>
      </w:r>
    </w:p>
    <w:p>
      <w:pPr>
        <w:widowControl/>
        <w:spacing w:line="240" w:lineRule="auto"/>
        <w:ind w:firstLine="0" w:firstLineChars="0"/>
        <w:jc w:val="left"/>
        <w:rPr>
          <w:rFonts w:ascii="黑体" w:eastAsia="黑体"/>
          <w:sz w:val="72"/>
          <w:szCs w:val="72"/>
        </w:rPr>
      </w:pPr>
      <w:r>
        <w:rPr>
          <w:rFonts w:ascii="黑体" w:eastAsia="黑体"/>
          <w:sz w:val="72"/>
          <w:szCs w:val="72"/>
        </w:rPr>
        <w:br w:type="page"/>
      </w:r>
    </w:p>
    <w:p>
      <w:pPr>
        <w:widowControl/>
        <w:spacing w:line="580" w:lineRule="exact"/>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rPr>
          <w:color w:val="000000"/>
          <w:kern w:val="0"/>
          <w:szCs w:val="32"/>
        </w:rPr>
      </w:pPr>
      <w:r>
        <w:rPr>
          <w:color w:val="000000"/>
          <w:kern w:val="0"/>
          <w:szCs w:val="32"/>
        </w:rPr>
        <w:t>（二）事业收入：指事业单位开展专业业务活动及辅助活动所取得的收入。</w:t>
      </w:r>
    </w:p>
    <w:p>
      <w:pPr>
        <w:widowControl/>
        <w:spacing w:line="580" w:lineRule="exact"/>
        <w:rPr>
          <w:color w:val="000000"/>
          <w:kern w:val="0"/>
          <w:szCs w:val="32"/>
        </w:rPr>
      </w:pPr>
      <w:r>
        <w:rPr>
          <w:color w:val="000000"/>
          <w:kern w:val="0"/>
          <w:szCs w:val="32"/>
        </w:rPr>
        <w:t>（三）其他收入：指除上述“财政拨款收入”、“事业收入”、“经营收入”等以外的收入。</w:t>
      </w:r>
    </w:p>
    <w:p>
      <w:pPr>
        <w:widowControl/>
        <w:spacing w:line="580" w:lineRule="exact"/>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rPr>
          <w:color w:val="000000"/>
          <w:kern w:val="0"/>
          <w:szCs w:val="32"/>
        </w:rPr>
      </w:pPr>
      <w:r>
        <w:rPr>
          <w:color w:val="000000"/>
          <w:kern w:val="0"/>
          <w:szCs w:val="32"/>
        </w:rPr>
        <w:t>（十四）公务用车购置：填列单位公务用车车辆购置支出（含车辆购置税）。</w:t>
      </w:r>
    </w:p>
    <w:p>
      <w:pPr>
        <w:widowControl/>
        <w:spacing w:line="580" w:lineRule="exact"/>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rPr>
          <w:rFonts w:ascii="仿宋_GB2312"/>
          <w:szCs w:val="32"/>
        </w:rPr>
      </w:pPr>
    </w:p>
    <w:p>
      <w:pPr>
        <w:ind w:left="640"/>
        <w:rPr>
          <w:rFonts w:ascii="仿宋_GB2312"/>
          <w:szCs w:val="32"/>
        </w:rPr>
      </w:pPr>
    </w:p>
    <w:p>
      <w:pPr>
        <w:ind w:left="640"/>
        <w:rPr>
          <w:rFonts w:ascii="仿宋_GB2312"/>
          <w:szCs w:val="32"/>
        </w:rPr>
      </w:pPr>
    </w:p>
    <w:sectPr>
      <w:pgSz w:w="11906" w:h="16838"/>
      <w:pgMar w:top="1985" w:right="1531" w:bottom="1985" w:left="153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F1C3A"/>
    <w:multiLevelType w:val="multilevel"/>
    <w:tmpl w:val="F69F1C3A"/>
    <w:lvl w:ilvl="0" w:tentative="0">
      <w:start w:val="1"/>
      <w:numFmt w:val="chineseCountingThousand"/>
      <w:lvlText w:val="（%1）"/>
      <w:lvlJc w:val="left"/>
      <w:pPr>
        <w:tabs>
          <w:tab w:val="left" w:pos="1600"/>
        </w:tabs>
        <w:ind w:left="1600" w:hanging="96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E5D1116"/>
    <w:multiLevelType w:val="multilevel"/>
    <w:tmpl w:val="2E5D1116"/>
    <w:lvl w:ilvl="0" w:tentative="0">
      <w:start w:val="1"/>
      <w:numFmt w:val="chineseCountingThousand"/>
      <w:lvlText w:val="%1、"/>
      <w:lvlJc w:val="left"/>
      <w:pPr>
        <w:tabs>
          <w:tab w:val="left" w:pos="1914"/>
        </w:tabs>
        <w:ind w:left="1914" w:hanging="640"/>
      </w:pPr>
    </w:lvl>
    <w:lvl w:ilvl="1" w:tentative="0">
      <w:start w:val="1"/>
      <w:numFmt w:val="lowerLetter"/>
      <w:lvlText w:val="%2)"/>
      <w:lvlJc w:val="left"/>
      <w:pPr>
        <w:tabs>
          <w:tab w:val="left" w:pos="2114"/>
        </w:tabs>
        <w:ind w:left="2114" w:hanging="420"/>
      </w:pPr>
    </w:lvl>
    <w:lvl w:ilvl="2" w:tentative="0">
      <w:start w:val="1"/>
      <w:numFmt w:val="lowerRoman"/>
      <w:lvlText w:val="%3."/>
      <w:lvlJc w:val="right"/>
      <w:pPr>
        <w:tabs>
          <w:tab w:val="left" w:pos="2534"/>
        </w:tabs>
        <w:ind w:left="2534" w:hanging="420"/>
      </w:pPr>
    </w:lvl>
    <w:lvl w:ilvl="3" w:tentative="0">
      <w:start w:val="1"/>
      <w:numFmt w:val="decimal"/>
      <w:lvlText w:val="%4."/>
      <w:lvlJc w:val="left"/>
      <w:pPr>
        <w:tabs>
          <w:tab w:val="left" w:pos="2954"/>
        </w:tabs>
        <w:ind w:left="2954" w:hanging="420"/>
      </w:pPr>
    </w:lvl>
    <w:lvl w:ilvl="4" w:tentative="0">
      <w:start w:val="1"/>
      <w:numFmt w:val="lowerLetter"/>
      <w:lvlText w:val="%5)"/>
      <w:lvlJc w:val="left"/>
      <w:pPr>
        <w:tabs>
          <w:tab w:val="left" w:pos="3374"/>
        </w:tabs>
        <w:ind w:left="3374" w:hanging="420"/>
      </w:pPr>
    </w:lvl>
    <w:lvl w:ilvl="5" w:tentative="0">
      <w:start w:val="1"/>
      <w:numFmt w:val="lowerRoman"/>
      <w:lvlText w:val="%6."/>
      <w:lvlJc w:val="right"/>
      <w:pPr>
        <w:tabs>
          <w:tab w:val="left" w:pos="3794"/>
        </w:tabs>
        <w:ind w:left="3794" w:hanging="420"/>
      </w:pPr>
    </w:lvl>
    <w:lvl w:ilvl="6" w:tentative="0">
      <w:start w:val="1"/>
      <w:numFmt w:val="decimal"/>
      <w:lvlText w:val="%7."/>
      <w:lvlJc w:val="left"/>
      <w:pPr>
        <w:tabs>
          <w:tab w:val="left" w:pos="4214"/>
        </w:tabs>
        <w:ind w:left="4214" w:hanging="420"/>
      </w:pPr>
    </w:lvl>
    <w:lvl w:ilvl="7" w:tentative="0">
      <w:start w:val="1"/>
      <w:numFmt w:val="lowerLetter"/>
      <w:lvlText w:val="%8)"/>
      <w:lvlJc w:val="left"/>
      <w:pPr>
        <w:tabs>
          <w:tab w:val="left" w:pos="4634"/>
        </w:tabs>
        <w:ind w:left="4634" w:hanging="420"/>
      </w:pPr>
    </w:lvl>
    <w:lvl w:ilvl="8" w:tentative="0">
      <w:start w:val="1"/>
      <w:numFmt w:val="lowerRoman"/>
      <w:lvlText w:val="%9."/>
      <w:lvlJc w:val="right"/>
      <w:pPr>
        <w:tabs>
          <w:tab w:val="left" w:pos="5054"/>
        </w:tabs>
        <w:ind w:left="505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zNiMzFmNTAzZTk1ODA1Yzc2ZWU5MjMxMGM1YzZlMzEifQ=="/>
  </w:docVars>
  <w:rsids>
    <w:rsidRoot w:val="00000000"/>
    <w:rsid w:val="1983134F"/>
    <w:rsid w:val="22533DDD"/>
    <w:rsid w:val="30DC2A3B"/>
    <w:rsid w:val="3A1565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customStyle="1" w:styleId="6">
    <w:name w:val="List Paragraph"/>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gkk</Company>
  <Pages>26</Pages>
  <Words>5984</Words>
  <Characters>6695</Characters>
  <Lines>620</Lines>
  <Paragraphs>304</Paragraphs>
  <TotalTime>3</TotalTime>
  <ScaleCrop>false</ScaleCrop>
  <LinksUpToDate>false</LinksUpToDate>
  <CharactersWithSpaces>7113</CharactersWithSpaces>
  <Application>WPS Office_12.1.0.15355_F1E327BC-269C-435d-A152-05C5408002CA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晓</cp:lastModifiedBy>
  <dcterms:modified xsi:type="dcterms:W3CDTF">2023-11-09T06:26:36Z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34AAAE7D93304C9FA29D82ED31EED609_12</vt:lpwstr>
  </property>
</Properties>
</file>