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仿宋" w:hAnsi="仿宋" w:eastAsia="仿宋"/>
          <w:b/>
          <w:sz w:val="44"/>
          <w:szCs w:val="44"/>
        </w:rPr>
      </w:pPr>
      <w:r>
        <w:rPr>
          <w:rFonts w:hint="eastAsia" w:ascii="仿宋" w:hAnsi="仿宋" w:eastAsia="仿宋" w:cs="方正小标宋简体"/>
          <w:b/>
          <w:sz w:val="44"/>
          <w:szCs w:val="44"/>
        </w:rPr>
        <w:t>海港区组织部</w:t>
      </w:r>
    </w:p>
    <w:p>
      <w:pPr>
        <w:ind w:firstLine="883"/>
        <w:jc w:val="center"/>
        <w:rPr>
          <w:rFonts w:ascii="仿宋" w:hAnsi="仿宋" w:eastAsia="仿宋"/>
          <w:b/>
          <w:sz w:val="44"/>
          <w:szCs w:val="44"/>
        </w:rPr>
      </w:pPr>
      <w:r>
        <w:rPr>
          <w:rFonts w:ascii="仿宋" w:hAnsi="仿宋" w:eastAsia="仿宋" w:cs="方正小标宋简体"/>
          <w:b/>
          <w:sz w:val="44"/>
          <w:szCs w:val="44"/>
        </w:rPr>
        <w:t>2016</w:t>
      </w:r>
      <w:r>
        <w:rPr>
          <w:rFonts w:hint="eastAsia" w:ascii="仿宋" w:hAnsi="仿宋" w:eastAsia="仿宋" w:cs="方正小标宋简体"/>
          <w:b/>
          <w:sz w:val="44"/>
          <w:szCs w:val="44"/>
        </w:rPr>
        <w:t>年度部门决算信息公开情况说明</w:t>
      </w:r>
    </w:p>
    <w:p>
      <w:pPr>
        <w:ind w:firstLine="640"/>
        <w:rPr>
          <w:rFonts w:ascii="仿宋" w:hAnsi="仿宋" w:eastAsia="仿宋"/>
        </w:rPr>
      </w:pPr>
    </w:p>
    <w:p>
      <w:pPr>
        <w:ind w:firstLine="199" w:firstLineChars="62"/>
        <w:jc w:val="center"/>
        <w:rPr>
          <w:rFonts w:ascii="仿宋" w:hAnsi="仿宋" w:eastAsia="仿宋"/>
          <w:b/>
          <w:sz w:val="24"/>
          <w:szCs w:val="24"/>
        </w:rPr>
      </w:pPr>
      <w:r>
        <w:rPr>
          <w:rFonts w:hint="eastAsia" w:ascii="仿宋" w:hAnsi="仿宋" w:eastAsia="仿宋" w:cs="黑体"/>
          <w:b/>
        </w:rPr>
        <w:t>第一部分海港区组织部概况</w:t>
      </w:r>
    </w:p>
    <w:p>
      <w:pPr>
        <w:numPr>
          <w:ilvl w:val="0"/>
          <w:numId w:val="1"/>
        </w:numPr>
        <w:ind w:firstLineChars="0"/>
        <w:rPr>
          <w:rFonts w:ascii="仿宋" w:hAnsi="仿宋" w:eastAsia="仿宋"/>
          <w:b/>
        </w:rPr>
      </w:pPr>
      <w:r>
        <w:rPr>
          <w:rFonts w:hint="eastAsia" w:ascii="仿宋" w:hAnsi="仿宋" w:eastAsia="仿宋" w:cs="黑体"/>
          <w:b/>
        </w:rPr>
        <w:t>部门职责</w:t>
      </w:r>
    </w:p>
    <w:p>
      <w:pPr>
        <w:ind w:left="567" w:firstLine="320" w:firstLineChars="100"/>
        <w:rPr>
          <w:rFonts w:ascii="仿宋" w:hAnsi="仿宋" w:eastAsia="仿宋"/>
        </w:rPr>
      </w:pPr>
      <w:r>
        <w:rPr>
          <w:rFonts w:hint="eastAsia" w:ascii="仿宋" w:hAnsi="仿宋" w:eastAsia="仿宋" w:cs="仿宋_GB2312"/>
        </w:rPr>
        <w:t>　（一）党员和党组织建设：负责全区党组织建设；承担区委党的建设领导小组办公室职能；研究和提出党内生活制度建设的意见；协调、规划和指导全区党员教育工作；主管党员的管理和发展工作；社区办职责，负责统筹协调全区社区建设；承担党建研究会秘书处职责任务</w:t>
      </w:r>
      <w:r>
        <w:rPr>
          <w:rFonts w:ascii="仿宋" w:hAnsi="仿宋" w:eastAsia="仿宋" w:cs="仿宋_GB2312"/>
        </w:rPr>
        <w:t>,</w:t>
      </w:r>
      <w:r>
        <w:rPr>
          <w:rFonts w:hint="eastAsia" w:ascii="仿宋" w:hAnsi="仿宋" w:eastAsia="仿宋" w:cs="仿宋_GB2312"/>
        </w:rPr>
        <w:t>组织新时期党的建设的理论研究。</w:t>
      </w:r>
    </w:p>
    <w:p>
      <w:pPr>
        <w:ind w:left="640" w:leftChars="200" w:firstLine="480" w:firstLineChars="150"/>
        <w:rPr>
          <w:rFonts w:ascii="仿宋" w:hAnsi="仿宋" w:eastAsia="仿宋"/>
        </w:rPr>
      </w:pPr>
      <w:r>
        <w:rPr>
          <w:rFonts w:hint="eastAsia" w:ascii="仿宋" w:hAnsi="仿宋" w:eastAsia="仿宋" w:cs="仿宋_GB2312"/>
        </w:rPr>
        <w:t>（二）干部管理：负责区委管理干部及全区干部队伍管理、干部培养选拔、干部调配、交流和安置；援藏援疆援坝干部管理、挂职干部管理、干部教育培训</w:t>
      </w:r>
      <w:r>
        <w:rPr>
          <w:rFonts w:ascii="仿宋" w:hAnsi="仿宋" w:eastAsia="仿宋" w:cs="仿宋_GB2312"/>
        </w:rPr>
        <w:t>;</w:t>
      </w:r>
      <w:r>
        <w:rPr>
          <w:rFonts w:hint="eastAsia" w:ascii="仿宋" w:hAnsi="仿宋" w:eastAsia="仿宋" w:cs="仿宋_GB2312"/>
        </w:rPr>
        <w:t>对区委管理领导班子和领导干部的考核工作，以及全区干部考核工作的宏观指导和督导检查；指导领导班子的思想作风建设；负责对全区组织部门干部监督工作的综合、协调和宏观指导。负责干部人事档案储存、管理工作。</w:t>
      </w:r>
    </w:p>
    <w:p>
      <w:pPr>
        <w:ind w:left="640" w:leftChars="200" w:firstLine="640"/>
        <w:rPr>
          <w:rFonts w:ascii="仿宋" w:hAnsi="仿宋" w:eastAsia="仿宋"/>
        </w:rPr>
      </w:pPr>
      <w:r>
        <w:rPr>
          <w:rFonts w:hint="eastAsia" w:ascii="仿宋" w:hAnsi="仿宋" w:eastAsia="仿宋" w:cs="仿宋_GB2312"/>
        </w:rPr>
        <w:t>（三）人才工作及人才队伍建设：负责全区人才工作的综合协调、检查指导，负责区管优秀人才的选拔管理。</w:t>
      </w:r>
    </w:p>
    <w:p>
      <w:pPr>
        <w:ind w:left="640" w:leftChars="200" w:firstLine="640"/>
        <w:rPr>
          <w:rFonts w:ascii="仿宋" w:hAnsi="仿宋" w:eastAsia="仿宋"/>
        </w:rPr>
      </w:pPr>
      <w:r>
        <w:rPr>
          <w:rFonts w:hint="eastAsia" w:ascii="仿宋" w:hAnsi="仿宋" w:eastAsia="仿宋" w:cs="仿宋_GB2312"/>
        </w:rPr>
        <w:t>（四）组织事务管理：负责做好部机关机要、文秘、信访、会议、固定资产等工作的计划安排和管理；负责机关自身建设；负责老干部综合服务和保障工作；负责新闻工作网宣与舆情监控、处置；负责组织史征编工作；组织系统信息化建设。</w:t>
      </w:r>
    </w:p>
    <w:p>
      <w:pPr>
        <w:numPr>
          <w:ilvl w:val="0"/>
          <w:numId w:val="2"/>
        </w:numPr>
        <w:ind w:firstLineChars="0"/>
        <w:rPr>
          <w:rFonts w:ascii="仿宋" w:hAnsi="仿宋" w:eastAsia="仿宋"/>
          <w:b/>
        </w:rPr>
      </w:pPr>
      <w:r>
        <w:rPr>
          <w:rFonts w:hint="eastAsia" w:ascii="仿宋" w:hAnsi="仿宋" w:eastAsia="仿宋" w:cs="黑体"/>
          <w:b/>
        </w:rPr>
        <w:t>部门决算单位构成</w:t>
      </w:r>
    </w:p>
    <w:p>
      <w:pPr>
        <w:ind w:firstLine="1440" w:firstLineChars="450"/>
        <w:rPr>
          <w:rFonts w:ascii="仿宋" w:hAnsi="仿宋" w:eastAsia="仿宋"/>
        </w:rPr>
      </w:pPr>
      <w:r>
        <w:rPr>
          <w:rFonts w:hint="eastAsia" w:ascii="仿宋" w:hAnsi="仿宋" w:eastAsia="仿宋" w:cs="仿宋_GB2312"/>
          <w:kern w:val="0"/>
        </w:rPr>
        <w:t>部门决算共</w:t>
      </w:r>
      <w:r>
        <w:rPr>
          <w:rFonts w:ascii="仿宋" w:hAnsi="仿宋" w:eastAsia="仿宋" w:cs="仿宋_GB2312"/>
          <w:kern w:val="0"/>
        </w:rPr>
        <w:t>1</w:t>
      </w:r>
      <w:r>
        <w:rPr>
          <w:rFonts w:hint="eastAsia" w:ascii="仿宋" w:hAnsi="仿宋" w:eastAsia="仿宋" w:cs="仿宋_GB2312"/>
          <w:kern w:val="0"/>
        </w:rPr>
        <w:t>个预算单位：海港区组织部</w:t>
      </w:r>
    </w:p>
    <w:p>
      <w:pPr>
        <w:ind w:firstLine="1446" w:firstLineChars="450"/>
        <w:rPr>
          <w:rFonts w:ascii="仿宋" w:hAnsi="仿宋" w:eastAsia="仿宋" w:cs="黑体"/>
          <w:b/>
        </w:rPr>
      </w:pPr>
    </w:p>
    <w:p>
      <w:pPr>
        <w:ind w:firstLine="1446" w:firstLineChars="450"/>
        <w:rPr>
          <w:rFonts w:ascii="仿宋" w:hAnsi="仿宋" w:eastAsia="仿宋"/>
          <w:b/>
          <w:sz w:val="20"/>
          <w:szCs w:val="20"/>
        </w:rPr>
      </w:pPr>
      <w:r>
        <w:rPr>
          <w:rFonts w:hint="eastAsia" w:ascii="仿宋" w:hAnsi="仿宋" w:eastAsia="仿宋" w:cs="黑体"/>
          <w:b/>
        </w:rPr>
        <w:t>第二部分海港区组织部</w:t>
      </w:r>
      <w:r>
        <w:rPr>
          <w:rFonts w:ascii="仿宋" w:hAnsi="仿宋" w:eastAsia="仿宋" w:cs="黑体"/>
          <w:b/>
        </w:rPr>
        <w:t>2016</w:t>
      </w:r>
      <w:r>
        <w:rPr>
          <w:rFonts w:hint="eastAsia" w:ascii="仿宋" w:hAnsi="仿宋" w:eastAsia="仿宋" w:cs="黑体"/>
          <w:b/>
        </w:rPr>
        <w:t>年度部门决算报表</w:t>
      </w:r>
    </w:p>
    <w:p>
      <w:pPr>
        <w:ind w:firstLine="640"/>
        <w:rPr>
          <w:rFonts w:ascii="仿宋_GB2312"/>
        </w:rPr>
      </w:pPr>
      <w:r>
        <w:rPr>
          <w:rFonts w:hint="eastAsia" w:ascii="仿宋_GB2312"/>
        </w:rPr>
        <w:t>　　一、收入支出决算总表</w:t>
      </w:r>
    </w:p>
    <w:p>
      <w:pPr>
        <w:adjustRightInd w:val="0"/>
        <w:snapToGrid w:val="0"/>
        <w:spacing w:line="580" w:lineRule="exact"/>
        <w:ind w:firstLine="640"/>
        <w:rPr>
          <w:rFonts w:ascii="仿宋_GB2312"/>
        </w:rPr>
      </w:pPr>
      <w:r>
        <w:rPr>
          <w:rFonts w:hint="eastAsia" w:ascii="仿宋_GB2312"/>
        </w:rPr>
        <w:t>　　二、收入决算表</w:t>
      </w:r>
    </w:p>
    <w:p>
      <w:pPr>
        <w:adjustRightInd w:val="0"/>
        <w:snapToGrid w:val="0"/>
        <w:spacing w:line="580" w:lineRule="exact"/>
        <w:ind w:firstLine="640"/>
        <w:rPr>
          <w:rFonts w:ascii="仿宋_GB2312"/>
        </w:rPr>
      </w:pPr>
      <w:r>
        <w:rPr>
          <w:rFonts w:hint="eastAsia" w:ascii="仿宋_GB2312"/>
        </w:rPr>
        <w:t>　　三、支出决算表</w:t>
      </w:r>
    </w:p>
    <w:p>
      <w:pPr>
        <w:adjustRightInd w:val="0"/>
        <w:snapToGrid w:val="0"/>
        <w:spacing w:line="580" w:lineRule="exact"/>
        <w:ind w:firstLine="640"/>
        <w:rPr>
          <w:rFonts w:ascii="仿宋_GB2312"/>
        </w:rPr>
      </w:pPr>
      <w:r>
        <w:rPr>
          <w:rFonts w:hint="eastAsia" w:ascii="仿宋_GB2312"/>
        </w:rPr>
        <w:t>　　四、财政拨款收入支出决算总表</w:t>
      </w:r>
    </w:p>
    <w:p>
      <w:pPr>
        <w:adjustRightInd w:val="0"/>
        <w:snapToGrid w:val="0"/>
        <w:spacing w:line="580" w:lineRule="exact"/>
        <w:ind w:firstLine="640"/>
        <w:rPr>
          <w:rFonts w:ascii="仿宋_GB2312"/>
        </w:rPr>
      </w:pPr>
      <w:r>
        <w:rPr>
          <w:rFonts w:hint="eastAsia" w:ascii="仿宋_GB2312"/>
        </w:rPr>
        <w:t>　　五、一般公共预算财政拨款支出决算表</w:t>
      </w:r>
    </w:p>
    <w:p>
      <w:pPr>
        <w:adjustRightInd w:val="0"/>
        <w:snapToGrid w:val="0"/>
        <w:spacing w:line="580" w:lineRule="exact"/>
        <w:ind w:firstLine="640"/>
        <w:rPr>
          <w:rFonts w:ascii="仿宋_GB2312"/>
        </w:rPr>
      </w:pPr>
      <w:r>
        <w:rPr>
          <w:rFonts w:hint="eastAsia" w:ascii="仿宋_GB2312"/>
        </w:rPr>
        <w:t>　　六、</w:t>
      </w:r>
      <w:r>
        <w:rPr>
          <w:rFonts w:hint="eastAsia" w:ascii="仿宋_GB2312"/>
          <w:w w:val="95"/>
        </w:rPr>
        <w:t>一般公共预算财政拨款基本支出决算表</w:t>
      </w:r>
    </w:p>
    <w:p>
      <w:pPr>
        <w:adjustRightInd w:val="0"/>
        <w:snapToGrid w:val="0"/>
        <w:spacing w:line="580" w:lineRule="exact"/>
        <w:ind w:firstLine="640"/>
        <w:rPr>
          <w:rFonts w:ascii="仿宋_GB2312"/>
        </w:rPr>
      </w:pPr>
      <w:r>
        <w:rPr>
          <w:rFonts w:hint="eastAsia" w:ascii="仿宋_GB2312"/>
        </w:rPr>
        <w:t>　　七、政府性基金预算财政拨款收入支出决算表</w:t>
      </w:r>
    </w:p>
    <w:p>
      <w:pPr>
        <w:adjustRightInd w:val="0"/>
        <w:snapToGrid w:val="0"/>
        <w:spacing w:line="580" w:lineRule="exact"/>
        <w:ind w:firstLine="640"/>
        <w:rPr>
          <w:rFonts w:ascii="仿宋_GB2312"/>
        </w:rPr>
      </w:pPr>
      <w:r>
        <w:rPr>
          <w:rFonts w:hint="eastAsia" w:ascii="仿宋_GB2312"/>
        </w:rPr>
        <w:t>　　八、国有资本经营预算财政拨款支出决算表</w:t>
      </w:r>
    </w:p>
    <w:p>
      <w:pPr>
        <w:adjustRightInd w:val="0"/>
        <w:snapToGrid w:val="0"/>
        <w:spacing w:line="580" w:lineRule="exact"/>
        <w:ind w:firstLine="640"/>
        <w:rPr>
          <w:rFonts w:ascii="仿宋_GB2312"/>
        </w:rPr>
      </w:pPr>
      <w:r>
        <w:rPr>
          <w:rFonts w:hint="eastAsia" w:ascii="仿宋_GB2312"/>
        </w:rPr>
        <w:t>　　九、“三公”经费及相关信息统计表</w:t>
      </w:r>
    </w:p>
    <w:p>
      <w:pPr>
        <w:adjustRightInd w:val="0"/>
        <w:snapToGrid w:val="0"/>
        <w:spacing w:line="580" w:lineRule="exact"/>
        <w:ind w:firstLine="640"/>
        <w:rPr>
          <w:rFonts w:ascii="仿宋_GB2312"/>
        </w:rPr>
      </w:pPr>
      <w:r>
        <w:rPr>
          <w:rFonts w:hint="eastAsia" w:ascii="仿宋_GB2312"/>
        </w:rPr>
        <w:t>　　十、政府采购情况表</w:t>
      </w:r>
    </w:p>
    <w:p>
      <w:pPr>
        <w:ind w:firstLine="199" w:firstLineChars="62"/>
        <w:rPr>
          <w:rFonts w:ascii="仿宋" w:hAnsi="仿宋" w:eastAsia="仿宋" w:cs="黑体"/>
          <w:b/>
        </w:rPr>
      </w:pPr>
    </w:p>
    <w:p>
      <w:pPr>
        <w:ind w:firstLine="199" w:firstLineChars="62"/>
        <w:jc w:val="center"/>
        <w:rPr>
          <w:rFonts w:ascii="仿宋" w:hAnsi="仿宋" w:eastAsia="仿宋"/>
          <w:b/>
        </w:rPr>
      </w:pPr>
      <w:r>
        <w:rPr>
          <w:rFonts w:hint="eastAsia" w:ascii="仿宋" w:hAnsi="仿宋" w:eastAsia="仿宋" w:cs="黑体"/>
          <w:b/>
        </w:rPr>
        <w:t>第三部分海港区组织部</w:t>
      </w:r>
      <w:r>
        <w:rPr>
          <w:rFonts w:ascii="仿宋" w:hAnsi="仿宋" w:eastAsia="仿宋" w:cs="黑体"/>
          <w:b/>
        </w:rPr>
        <w:t>2016</w:t>
      </w:r>
      <w:r>
        <w:rPr>
          <w:rFonts w:hint="eastAsia" w:ascii="仿宋" w:hAnsi="仿宋" w:eastAsia="仿宋" w:cs="黑体"/>
          <w:b/>
        </w:rPr>
        <w:t>年部门决算情况说明</w:t>
      </w:r>
    </w:p>
    <w:p>
      <w:pPr>
        <w:ind w:firstLine="842" w:firstLineChars="262"/>
        <w:rPr>
          <w:rFonts w:ascii="仿宋" w:hAnsi="仿宋" w:eastAsia="仿宋"/>
          <w:b/>
        </w:rPr>
      </w:pPr>
      <w:r>
        <w:rPr>
          <w:rFonts w:hint="eastAsia" w:ascii="仿宋" w:hAnsi="仿宋" w:eastAsia="仿宋" w:cs="黑体"/>
          <w:b/>
        </w:rPr>
        <w:t>一、预算执行情况分析。</w:t>
      </w:r>
    </w:p>
    <w:p>
      <w:pPr>
        <w:ind w:firstLine="640"/>
        <w:rPr>
          <w:rFonts w:ascii="仿宋" w:hAnsi="仿宋" w:eastAsia="仿宋"/>
        </w:rPr>
      </w:pPr>
      <w:r>
        <w:rPr>
          <w:rFonts w:ascii="仿宋" w:hAnsi="仿宋" w:eastAsia="仿宋" w:cs="仿宋_GB2312"/>
        </w:rPr>
        <w:t>2016</w:t>
      </w:r>
      <w:r>
        <w:rPr>
          <w:rFonts w:hint="eastAsia" w:ascii="仿宋" w:hAnsi="仿宋" w:eastAsia="仿宋" w:cs="仿宋_GB2312"/>
        </w:rPr>
        <w:t>年共计收入</w:t>
      </w:r>
      <w:r>
        <w:rPr>
          <w:rFonts w:ascii="仿宋" w:hAnsi="仿宋" w:eastAsia="仿宋" w:cs="仿宋_GB2312"/>
        </w:rPr>
        <w:t xml:space="preserve">  1161</w:t>
      </w:r>
      <w:r>
        <w:rPr>
          <w:rFonts w:hint="eastAsia" w:ascii="仿宋" w:hAnsi="仿宋" w:eastAsia="仿宋" w:cs="仿宋_GB2312"/>
        </w:rPr>
        <w:t>万元，较</w:t>
      </w:r>
      <w:r>
        <w:rPr>
          <w:rFonts w:ascii="仿宋" w:hAnsi="仿宋" w:eastAsia="仿宋" w:cs="仿宋_GB2312"/>
        </w:rPr>
        <w:t>2015</w:t>
      </w:r>
      <w:r>
        <w:rPr>
          <w:rFonts w:hint="eastAsia" w:ascii="仿宋" w:hAnsi="仿宋" w:eastAsia="仿宋" w:cs="仿宋_GB2312"/>
        </w:rPr>
        <w:t>年收入</w:t>
      </w:r>
      <w:r>
        <w:rPr>
          <w:rFonts w:ascii="仿宋" w:hAnsi="仿宋" w:eastAsia="仿宋" w:cs="仿宋_GB2312"/>
        </w:rPr>
        <w:t>784.66</w:t>
      </w:r>
      <w:r>
        <w:rPr>
          <w:rFonts w:hint="eastAsia" w:ascii="仿宋" w:hAnsi="仿宋" w:eastAsia="仿宋" w:cs="仿宋_GB2312"/>
        </w:rPr>
        <w:t>万元增加</w:t>
      </w:r>
      <w:r>
        <w:rPr>
          <w:rFonts w:ascii="仿宋" w:hAnsi="仿宋" w:eastAsia="仿宋" w:cs="仿宋_GB2312"/>
        </w:rPr>
        <w:t>376.34</w:t>
      </w:r>
      <w:r>
        <w:rPr>
          <w:rFonts w:hint="eastAsia" w:ascii="仿宋" w:hAnsi="仿宋" w:eastAsia="仿宋" w:cs="仿宋_GB2312"/>
        </w:rPr>
        <w:t>万元。</w:t>
      </w:r>
    </w:p>
    <w:p>
      <w:pPr>
        <w:ind w:firstLine="640"/>
        <w:rPr>
          <w:rFonts w:ascii="仿宋" w:hAnsi="仿宋" w:eastAsia="仿宋"/>
        </w:rPr>
      </w:pPr>
      <w:r>
        <w:rPr>
          <w:rFonts w:ascii="仿宋" w:hAnsi="仿宋" w:eastAsia="仿宋" w:cs="仿宋_GB2312"/>
        </w:rPr>
        <w:t>2016</w:t>
      </w:r>
      <w:r>
        <w:rPr>
          <w:rFonts w:hint="eastAsia" w:ascii="仿宋" w:hAnsi="仿宋" w:eastAsia="仿宋" w:cs="仿宋_GB2312"/>
        </w:rPr>
        <w:t>年共计支出</w:t>
      </w:r>
      <w:r>
        <w:rPr>
          <w:rFonts w:ascii="仿宋" w:hAnsi="仿宋" w:eastAsia="仿宋" w:cs="仿宋_GB2312"/>
        </w:rPr>
        <w:t>862.11</w:t>
      </w:r>
      <w:r>
        <w:rPr>
          <w:rFonts w:hint="eastAsia" w:ascii="仿宋" w:hAnsi="仿宋" w:eastAsia="仿宋" w:cs="仿宋_GB2312"/>
        </w:rPr>
        <w:t>万元，较</w:t>
      </w:r>
      <w:r>
        <w:rPr>
          <w:rFonts w:ascii="仿宋" w:hAnsi="仿宋" w:eastAsia="仿宋" w:cs="仿宋_GB2312"/>
        </w:rPr>
        <w:t>2015</w:t>
      </w:r>
      <w:r>
        <w:rPr>
          <w:rFonts w:hint="eastAsia" w:ascii="仿宋" w:hAnsi="仿宋" w:eastAsia="仿宋" w:cs="仿宋_GB2312"/>
        </w:rPr>
        <w:t>年支出</w:t>
      </w:r>
      <w:r>
        <w:rPr>
          <w:rFonts w:ascii="仿宋" w:hAnsi="仿宋" w:eastAsia="仿宋" w:cs="仿宋_GB2312"/>
        </w:rPr>
        <w:t>722.91</w:t>
      </w:r>
      <w:r>
        <w:rPr>
          <w:rFonts w:hint="eastAsia" w:ascii="仿宋" w:hAnsi="仿宋" w:eastAsia="仿宋" w:cs="仿宋_GB2312"/>
        </w:rPr>
        <w:t>万元增加</w:t>
      </w:r>
      <w:r>
        <w:rPr>
          <w:rFonts w:ascii="仿宋" w:hAnsi="仿宋" w:eastAsia="仿宋" w:cs="仿宋_GB2312"/>
        </w:rPr>
        <w:t>139.2</w:t>
      </w:r>
      <w:r>
        <w:rPr>
          <w:rFonts w:hint="eastAsia" w:ascii="仿宋" w:hAnsi="仿宋" w:eastAsia="仿宋" w:cs="仿宋_GB2312"/>
        </w:rPr>
        <w:t>万元。</w:t>
      </w:r>
    </w:p>
    <w:p>
      <w:pPr>
        <w:ind w:firstLine="643"/>
        <w:rPr>
          <w:rFonts w:ascii="仿宋" w:hAnsi="仿宋" w:eastAsia="仿宋"/>
          <w:b/>
          <w:bCs/>
        </w:rPr>
      </w:pPr>
      <w:r>
        <w:rPr>
          <w:rFonts w:ascii="仿宋" w:hAnsi="仿宋" w:eastAsia="仿宋" w:cs="仿宋_GB2312"/>
          <w:b/>
          <w:bCs/>
        </w:rPr>
        <w:t>2</w:t>
      </w:r>
      <w:r>
        <w:rPr>
          <w:rFonts w:hint="eastAsia" w:ascii="仿宋" w:hAnsi="仿宋" w:eastAsia="仿宋" w:cs="仿宋_GB2312"/>
          <w:b/>
          <w:bCs/>
        </w:rPr>
        <w:t>、收入决算情况说明</w:t>
      </w:r>
    </w:p>
    <w:p>
      <w:pPr>
        <w:ind w:firstLine="640"/>
        <w:rPr>
          <w:rFonts w:ascii="仿宋" w:hAnsi="仿宋" w:eastAsia="仿宋"/>
        </w:rPr>
      </w:pPr>
      <w:r>
        <w:rPr>
          <w:rFonts w:ascii="仿宋" w:hAnsi="仿宋" w:eastAsia="仿宋" w:cs="仿宋_GB2312"/>
        </w:rPr>
        <w:t>2016</w:t>
      </w:r>
      <w:r>
        <w:rPr>
          <w:rFonts w:hint="eastAsia" w:ascii="仿宋" w:hAnsi="仿宋" w:eastAsia="仿宋" w:cs="仿宋_GB2312"/>
        </w:rPr>
        <w:t>年共计收入</w:t>
      </w:r>
      <w:r>
        <w:rPr>
          <w:rFonts w:ascii="仿宋" w:hAnsi="仿宋" w:eastAsia="仿宋" w:cs="仿宋_GB2312"/>
        </w:rPr>
        <w:t xml:space="preserve">  1161</w:t>
      </w:r>
      <w:r>
        <w:rPr>
          <w:rFonts w:hint="eastAsia" w:ascii="仿宋" w:hAnsi="仿宋" w:eastAsia="仿宋" w:cs="仿宋_GB2312"/>
        </w:rPr>
        <w:t>万元，较</w:t>
      </w:r>
      <w:r>
        <w:rPr>
          <w:rFonts w:ascii="仿宋" w:hAnsi="仿宋" w:eastAsia="仿宋" w:cs="仿宋_GB2312"/>
        </w:rPr>
        <w:t>2015</w:t>
      </w:r>
      <w:r>
        <w:rPr>
          <w:rFonts w:hint="eastAsia" w:ascii="仿宋" w:hAnsi="仿宋" w:eastAsia="仿宋" w:cs="仿宋_GB2312"/>
        </w:rPr>
        <w:t>年收入</w:t>
      </w:r>
      <w:r>
        <w:rPr>
          <w:rFonts w:ascii="仿宋" w:hAnsi="仿宋" w:eastAsia="仿宋" w:cs="仿宋_GB2312"/>
        </w:rPr>
        <w:t>784.66</w:t>
      </w:r>
      <w:r>
        <w:rPr>
          <w:rFonts w:hint="eastAsia" w:ascii="仿宋" w:hAnsi="仿宋" w:eastAsia="仿宋" w:cs="仿宋_GB2312"/>
        </w:rPr>
        <w:t>万元增加</w:t>
      </w:r>
      <w:r>
        <w:rPr>
          <w:rFonts w:ascii="仿宋" w:hAnsi="仿宋" w:eastAsia="仿宋" w:cs="仿宋_GB2312"/>
        </w:rPr>
        <w:t>376.34</w:t>
      </w:r>
      <w:r>
        <w:rPr>
          <w:rFonts w:hint="eastAsia" w:ascii="仿宋" w:hAnsi="仿宋" w:eastAsia="仿宋" w:cs="仿宋_GB2312"/>
        </w:rPr>
        <w:t>万元。</w:t>
      </w:r>
    </w:p>
    <w:p>
      <w:pPr>
        <w:ind w:firstLine="643"/>
        <w:rPr>
          <w:rFonts w:ascii="仿宋" w:hAnsi="仿宋" w:eastAsia="仿宋"/>
          <w:b/>
          <w:bCs/>
        </w:rPr>
      </w:pPr>
      <w:r>
        <w:rPr>
          <w:rFonts w:ascii="仿宋" w:hAnsi="仿宋" w:eastAsia="仿宋" w:cs="仿宋_GB2312"/>
          <w:b/>
          <w:bCs/>
        </w:rPr>
        <w:t>3</w:t>
      </w:r>
      <w:r>
        <w:rPr>
          <w:rFonts w:hint="eastAsia" w:ascii="仿宋" w:hAnsi="仿宋" w:eastAsia="仿宋" w:cs="仿宋_GB2312"/>
          <w:b/>
          <w:bCs/>
        </w:rPr>
        <w:t>、支出决算情况说明</w:t>
      </w:r>
    </w:p>
    <w:p>
      <w:pPr>
        <w:ind w:firstLine="640"/>
        <w:rPr>
          <w:rFonts w:ascii="仿宋" w:hAnsi="仿宋" w:eastAsia="仿宋"/>
        </w:rPr>
      </w:pPr>
      <w:r>
        <w:rPr>
          <w:rFonts w:ascii="仿宋" w:hAnsi="仿宋" w:eastAsia="仿宋" w:cs="仿宋_GB2312"/>
        </w:rPr>
        <w:t>2016</w:t>
      </w:r>
      <w:r>
        <w:rPr>
          <w:rFonts w:hint="eastAsia" w:ascii="仿宋" w:hAnsi="仿宋" w:eastAsia="仿宋" w:cs="仿宋_GB2312"/>
        </w:rPr>
        <w:t>年共计支出</w:t>
      </w:r>
      <w:r>
        <w:rPr>
          <w:rFonts w:ascii="仿宋" w:hAnsi="仿宋" w:eastAsia="仿宋" w:cs="仿宋_GB2312"/>
        </w:rPr>
        <w:t>862.11</w:t>
      </w:r>
      <w:r>
        <w:rPr>
          <w:rFonts w:hint="eastAsia" w:ascii="仿宋" w:hAnsi="仿宋" w:eastAsia="仿宋" w:cs="仿宋_GB2312"/>
        </w:rPr>
        <w:t>万元，较</w:t>
      </w:r>
      <w:r>
        <w:rPr>
          <w:rFonts w:ascii="仿宋" w:hAnsi="仿宋" w:eastAsia="仿宋" w:cs="仿宋_GB2312"/>
        </w:rPr>
        <w:t>2015</w:t>
      </w:r>
      <w:r>
        <w:rPr>
          <w:rFonts w:hint="eastAsia" w:ascii="仿宋" w:hAnsi="仿宋" w:eastAsia="仿宋" w:cs="仿宋_GB2312"/>
        </w:rPr>
        <w:t>年支出</w:t>
      </w:r>
      <w:r>
        <w:rPr>
          <w:rFonts w:ascii="仿宋" w:hAnsi="仿宋" w:eastAsia="仿宋" w:cs="仿宋_GB2312"/>
        </w:rPr>
        <w:t>722.91</w:t>
      </w:r>
      <w:r>
        <w:rPr>
          <w:rFonts w:hint="eastAsia" w:ascii="仿宋" w:hAnsi="仿宋" w:eastAsia="仿宋" w:cs="仿宋_GB2312"/>
        </w:rPr>
        <w:t>万元增加</w:t>
      </w:r>
      <w:r>
        <w:rPr>
          <w:rFonts w:ascii="仿宋" w:hAnsi="仿宋" w:eastAsia="仿宋" w:cs="仿宋_GB2312"/>
        </w:rPr>
        <w:t>139.2</w:t>
      </w:r>
      <w:r>
        <w:rPr>
          <w:rFonts w:hint="eastAsia" w:ascii="仿宋" w:hAnsi="仿宋" w:eastAsia="仿宋" w:cs="仿宋_GB2312"/>
        </w:rPr>
        <w:t>万元。</w:t>
      </w:r>
    </w:p>
    <w:p>
      <w:pPr>
        <w:ind w:firstLine="643"/>
        <w:rPr>
          <w:rFonts w:ascii="仿宋" w:hAnsi="仿宋" w:eastAsia="仿宋"/>
          <w:b/>
          <w:bCs/>
        </w:rPr>
      </w:pPr>
      <w:r>
        <w:rPr>
          <w:rFonts w:ascii="仿宋" w:hAnsi="仿宋" w:eastAsia="仿宋" w:cs="仿宋_GB2312"/>
          <w:b/>
          <w:bCs/>
        </w:rPr>
        <w:t>4</w:t>
      </w:r>
      <w:r>
        <w:rPr>
          <w:rFonts w:hint="eastAsia" w:ascii="仿宋" w:hAnsi="仿宋" w:eastAsia="仿宋" w:cs="仿宋_GB2312"/>
          <w:b/>
          <w:bCs/>
        </w:rPr>
        <w:t>、财政拨款收入支出决算总体情况说明</w:t>
      </w:r>
    </w:p>
    <w:p>
      <w:pPr>
        <w:ind w:firstLine="640"/>
        <w:rPr>
          <w:rFonts w:ascii="仿宋" w:hAnsi="仿宋" w:eastAsia="仿宋" w:cs="仿宋_GB2312"/>
        </w:rPr>
      </w:pPr>
      <w:r>
        <w:rPr>
          <w:rFonts w:hint="eastAsia" w:ascii="仿宋" w:hAnsi="仿宋" w:eastAsia="仿宋" w:cs="仿宋_GB2312"/>
        </w:rPr>
        <w:t>海港区委组织部</w:t>
      </w:r>
      <w:r>
        <w:rPr>
          <w:rFonts w:ascii="仿宋" w:hAnsi="仿宋" w:eastAsia="仿宋" w:cs="仿宋_GB2312"/>
        </w:rPr>
        <w:t>2016</w:t>
      </w:r>
      <w:r>
        <w:rPr>
          <w:rFonts w:hint="eastAsia" w:ascii="仿宋" w:hAnsi="仿宋" w:eastAsia="仿宋" w:cs="仿宋_GB2312"/>
        </w:rPr>
        <w:t>年度上年结转和结余</w:t>
      </w:r>
      <w:r>
        <w:rPr>
          <w:rFonts w:ascii="仿宋" w:hAnsi="仿宋" w:eastAsia="仿宋" w:cs="仿宋_GB2312"/>
        </w:rPr>
        <w:t>63.85</w:t>
      </w:r>
      <w:r>
        <w:rPr>
          <w:rFonts w:hint="eastAsia" w:ascii="仿宋" w:hAnsi="仿宋" w:eastAsia="仿宋" w:cs="仿宋_GB2312"/>
        </w:rPr>
        <w:t>万元，本年收入</w:t>
      </w:r>
      <w:r>
        <w:rPr>
          <w:rFonts w:ascii="仿宋" w:hAnsi="仿宋" w:eastAsia="仿宋" w:cs="仿宋_GB2312"/>
        </w:rPr>
        <w:t>1161</w:t>
      </w:r>
      <w:r>
        <w:rPr>
          <w:rFonts w:hint="eastAsia" w:ascii="仿宋" w:hAnsi="仿宋" w:eastAsia="仿宋" w:cs="仿宋_GB2312"/>
        </w:rPr>
        <w:t>万元，比</w:t>
      </w:r>
      <w:r>
        <w:rPr>
          <w:rFonts w:ascii="仿宋" w:hAnsi="仿宋" w:eastAsia="仿宋" w:cs="仿宋_GB2312"/>
        </w:rPr>
        <w:t>2015</w:t>
      </w:r>
      <w:r>
        <w:rPr>
          <w:rFonts w:hint="eastAsia" w:ascii="仿宋" w:hAnsi="仿宋" w:eastAsia="仿宋" w:cs="仿宋_GB2312"/>
        </w:rPr>
        <w:t>年增加</w:t>
      </w:r>
      <w:r>
        <w:rPr>
          <w:rFonts w:ascii="仿宋" w:hAnsi="仿宋" w:eastAsia="仿宋" w:cs="仿宋_GB2312"/>
        </w:rPr>
        <w:t>376.34</w:t>
      </w:r>
      <w:r>
        <w:rPr>
          <w:rFonts w:hint="eastAsia" w:ascii="仿宋" w:hAnsi="仿宋" w:eastAsia="仿宋" w:cs="仿宋_GB2312"/>
        </w:rPr>
        <w:t>万元，主要原因：职工工资上调及养老保险比例上调。本年支出</w:t>
      </w:r>
      <w:r>
        <w:rPr>
          <w:rFonts w:ascii="仿宋" w:hAnsi="仿宋" w:eastAsia="仿宋" w:cs="仿宋_GB2312"/>
        </w:rPr>
        <w:t>862.11</w:t>
      </w:r>
      <w:r>
        <w:rPr>
          <w:rFonts w:hint="eastAsia" w:ascii="仿宋" w:hAnsi="仿宋" w:eastAsia="仿宋" w:cs="仿宋_GB2312"/>
        </w:rPr>
        <w:t>万元，较</w:t>
      </w:r>
      <w:r>
        <w:rPr>
          <w:rFonts w:ascii="仿宋" w:hAnsi="仿宋" w:eastAsia="仿宋" w:cs="仿宋_GB2312"/>
        </w:rPr>
        <w:t>2015</w:t>
      </w:r>
      <w:r>
        <w:rPr>
          <w:rFonts w:hint="eastAsia" w:ascii="仿宋" w:hAnsi="仿宋" w:eastAsia="仿宋" w:cs="仿宋_GB2312"/>
        </w:rPr>
        <w:t>年支出</w:t>
      </w:r>
      <w:r>
        <w:rPr>
          <w:rFonts w:ascii="仿宋" w:hAnsi="仿宋" w:eastAsia="仿宋" w:cs="仿宋_GB2312"/>
        </w:rPr>
        <w:t>722.91</w:t>
      </w:r>
      <w:r>
        <w:rPr>
          <w:rFonts w:hint="eastAsia" w:ascii="仿宋" w:hAnsi="仿宋" w:eastAsia="仿宋" w:cs="仿宋_GB2312"/>
        </w:rPr>
        <w:t>万元增加</w:t>
      </w:r>
      <w:r>
        <w:rPr>
          <w:rFonts w:ascii="仿宋" w:hAnsi="仿宋" w:eastAsia="仿宋" w:cs="仿宋_GB2312"/>
        </w:rPr>
        <w:t>139.2</w:t>
      </w:r>
      <w:r>
        <w:rPr>
          <w:rFonts w:hint="eastAsia" w:ascii="仿宋" w:hAnsi="仿宋" w:eastAsia="仿宋" w:cs="仿宋_GB2312"/>
        </w:rPr>
        <w:t>万元，主要原因：职工工资上调及养老保险比例上调。年末结转和结余</w:t>
      </w:r>
      <w:r>
        <w:rPr>
          <w:rFonts w:ascii="仿宋" w:hAnsi="仿宋" w:eastAsia="仿宋" w:cs="仿宋_GB2312"/>
        </w:rPr>
        <w:t>362.84</w:t>
      </w:r>
      <w:r>
        <w:rPr>
          <w:rFonts w:hint="eastAsia" w:ascii="仿宋" w:hAnsi="仿宋" w:eastAsia="仿宋" w:cs="仿宋_GB2312"/>
        </w:rPr>
        <w:t>万元。</w:t>
      </w:r>
    </w:p>
    <w:p>
      <w:pPr>
        <w:ind w:firstLine="643"/>
        <w:rPr>
          <w:rFonts w:ascii="仿宋" w:hAnsi="仿宋" w:eastAsia="仿宋" w:cs="仿宋_GB2312"/>
          <w:b/>
        </w:rPr>
      </w:pPr>
      <w:r>
        <w:rPr>
          <w:rFonts w:ascii="仿宋" w:hAnsi="仿宋" w:eastAsia="仿宋" w:cs="仿宋_GB2312"/>
          <w:b/>
        </w:rPr>
        <w:t>5</w:t>
      </w:r>
      <w:r>
        <w:rPr>
          <w:rFonts w:hint="eastAsia" w:ascii="仿宋" w:hAnsi="仿宋" w:eastAsia="仿宋" w:cs="仿宋_GB2312"/>
          <w:b/>
        </w:rPr>
        <w:t>、财政拨款支出与年初预算数总体情况说明</w:t>
      </w:r>
    </w:p>
    <w:p>
      <w:pPr>
        <w:ind w:firstLine="640"/>
        <w:rPr>
          <w:rFonts w:ascii="仿宋" w:hAnsi="仿宋" w:eastAsia="仿宋" w:cs="仿宋_GB2312"/>
        </w:rPr>
      </w:pPr>
      <w:r>
        <w:rPr>
          <w:rFonts w:ascii="仿宋" w:hAnsi="仿宋" w:eastAsia="仿宋" w:cs="仿宋_GB2312"/>
        </w:rPr>
        <w:t xml:space="preserve">  2016</w:t>
      </w:r>
      <w:r>
        <w:rPr>
          <w:rFonts w:hint="eastAsia" w:ascii="仿宋" w:hAnsi="仿宋" w:eastAsia="仿宋" w:cs="仿宋_GB2312"/>
        </w:rPr>
        <w:t>年财政拨款支出862.11万元（其中有上年结余63.85万元），预算年初</w:t>
      </w:r>
      <w:r>
        <w:rPr>
          <w:rFonts w:hint="eastAsia" w:ascii="仿宋" w:hAnsi="仿宋" w:eastAsia="仿宋" w:cs="微软雅黑"/>
        </w:rPr>
        <w:t>安排1091</w:t>
      </w:r>
      <w:r>
        <w:rPr>
          <w:rFonts w:hint="eastAsia" w:ascii="仿宋" w:hAnsi="仿宋" w:eastAsia="仿宋" w:cs="仿宋_GB2312"/>
        </w:rPr>
        <w:t>万元，本年结余362.84万元，本年支出与结余合计比年初预算增加了70.1万元，主要原因为人员经费上调。</w:t>
      </w:r>
    </w:p>
    <w:p>
      <w:pPr>
        <w:ind w:firstLine="643"/>
        <w:rPr>
          <w:rFonts w:ascii="仿宋" w:hAnsi="仿宋" w:eastAsia="仿宋"/>
          <w:b/>
          <w:bCs/>
        </w:rPr>
      </w:pPr>
      <w:r>
        <w:rPr>
          <w:rFonts w:hint="eastAsia" w:ascii="仿宋" w:hAnsi="仿宋" w:eastAsia="仿宋" w:cs="仿宋_GB2312"/>
          <w:b/>
          <w:bCs/>
        </w:rPr>
        <w:t>二、财政拨款“三公”经费支出决算情况说明</w:t>
      </w:r>
    </w:p>
    <w:p>
      <w:pPr>
        <w:ind w:left="640" w:firstLine="640"/>
        <w:rPr>
          <w:rFonts w:ascii="仿宋" w:hAnsi="仿宋" w:eastAsia="仿宋"/>
        </w:rPr>
      </w:pPr>
      <w:r>
        <w:rPr>
          <w:rFonts w:ascii="仿宋" w:hAnsi="仿宋" w:eastAsia="仿宋" w:cs="仿宋_GB2312"/>
        </w:rPr>
        <w:t>2016</w:t>
      </w:r>
      <w:r>
        <w:rPr>
          <w:rFonts w:hint="eastAsia" w:ascii="仿宋" w:hAnsi="仿宋" w:eastAsia="仿宋" w:cs="仿宋_GB2312"/>
        </w:rPr>
        <w:t>年“三公”经费年初预算为</w:t>
      </w:r>
      <w:r>
        <w:rPr>
          <w:rFonts w:ascii="仿宋" w:hAnsi="仿宋" w:eastAsia="仿宋" w:cs="仿宋_GB2312"/>
        </w:rPr>
        <w:t>6.8</w:t>
      </w:r>
      <w:r>
        <w:rPr>
          <w:rFonts w:hint="eastAsia" w:ascii="仿宋" w:hAnsi="仿宋" w:eastAsia="仿宋" w:cs="仿宋_GB2312"/>
        </w:rPr>
        <w:t>万元，支出决算为</w:t>
      </w:r>
      <w:r>
        <w:rPr>
          <w:rFonts w:ascii="仿宋" w:hAnsi="仿宋" w:eastAsia="仿宋" w:cs="仿宋_GB2312"/>
        </w:rPr>
        <w:t>6.23</w:t>
      </w:r>
      <w:r>
        <w:rPr>
          <w:rFonts w:hint="eastAsia" w:ascii="仿宋" w:hAnsi="仿宋" w:eastAsia="仿宋" w:cs="仿宋_GB2312"/>
        </w:rPr>
        <w:t>万元，其中：因公出国（境）费用支出决算为</w:t>
      </w:r>
      <w:r>
        <w:rPr>
          <w:rFonts w:ascii="仿宋" w:hAnsi="仿宋" w:eastAsia="仿宋" w:cs="仿宋_GB2312"/>
        </w:rPr>
        <w:t>0</w:t>
      </w:r>
      <w:r>
        <w:rPr>
          <w:rFonts w:hint="eastAsia" w:ascii="仿宋" w:hAnsi="仿宋" w:eastAsia="仿宋" w:cs="仿宋_GB2312"/>
        </w:rPr>
        <w:t>万元；公务用车购置及运行费支出决算为</w:t>
      </w:r>
      <w:r>
        <w:rPr>
          <w:rFonts w:ascii="仿宋" w:hAnsi="仿宋" w:eastAsia="仿宋" w:cs="仿宋_GB2312"/>
        </w:rPr>
        <w:t>6.23</w:t>
      </w:r>
      <w:r>
        <w:rPr>
          <w:rFonts w:hint="eastAsia" w:ascii="仿宋" w:hAnsi="仿宋" w:eastAsia="仿宋" w:cs="仿宋_GB2312"/>
        </w:rPr>
        <w:t>万元（公务用车购置</w:t>
      </w:r>
      <w:r>
        <w:rPr>
          <w:rFonts w:ascii="仿宋" w:hAnsi="仿宋" w:eastAsia="仿宋" w:cs="仿宋_GB2312"/>
        </w:rPr>
        <w:t>0</w:t>
      </w:r>
      <w:r>
        <w:rPr>
          <w:rFonts w:hint="eastAsia" w:ascii="仿宋" w:hAnsi="仿宋" w:eastAsia="仿宋" w:cs="仿宋_GB2312"/>
        </w:rPr>
        <w:t>台，保有量</w:t>
      </w:r>
      <w:r>
        <w:rPr>
          <w:rFonts w:ascii="仿宋" w:hAnsi="仿宋" w:eastAsia="仿宋" w:cs="仿宋_GB2312"/>
        </w:rPr>
        <w:t>2</w:t>
      </w:r>
      <w:r>
        <w:rPr>
          <w:rFonts w:hint="eastAsia" w:ascii="仿宋" w:hAnsi="仿宋" w:eastAsia="仿宋" w:cs="仿宋_GB2312"/>
        </w:rPr>
        <w:t>台）；公务接待费支出决算</w:t>
      </w:r>
      <w:r>
        <w:rPr>
          <w:rFonts w:ascii="仿宋" w:hAnsi="仿宋" w:eastAsia="仿宋" w:cs="仿宋_GB2312"/>
        </w:rPr>
        <w:t>0</w:t>
      </w:r>
      <w:r>
        <w:rPr>
          <w:rFonts w:hint="eastAsia" w:ascii="仿宋" w:hAnsi="仿宋" w:eastAsia="仿宋" w:cs="仿宋_GB2312"/>
        </w:rPr>
        <w:t>万元。</w:t>
      </w:r>
      <w:r>
        <w:rPr>
          <w:rFonts w:ascii="仿宋" w:hAnsi="仿宋" w:eastAsia="仿宋" w:cs="仿宋_GB2312"/>
        </w:rPr>
        <w:t>2016</w:t>
      </w:r>
      <w:r>
        <w:rPr>
          <w:rFonts w:hint="eastAsia" w:ascii="仿宋" w:hAnsi="仿宋" w:eastAsia="仿宋" w:cs="仿宋_GB2312"/>
        </w:rPr>
        <w:t>年度“三公”经费财政拨款支出决算数比</w:t>
      </w:r>
      <w:r>
        <w:rPr>
          <w:rFonts w:ascii="仿宋" w:hAnsi="仿宋" w:eastAsia="仿宋" w:cs="仿宋_GB2312"/>
        </w:rPr>
        <w:t>2015</w:t>
      </w:r>
      <w:r>
        <w:rPr>
          <w:rFonts w:hint="eastAsia" w:ascii="仿宋" w:hAnsi="仿宋" w:eastAsia="仿宋" w:cs="仿宋_GB2312"/>
        </w:rPr>
        <w:t>年减少</w:t>
      </w:r>
      <w:r>
        <w:rPr>
          <w:rFonts w:ascii="仿宋" w:hAnsi="仿宋" w:eastAsia="仿宋" w:cs="仿宋_GB2312"/>
        </w:rPr>
        <w:t>5.76</w:t>
      </w:r>
      <w:r>
        <w:rPr>
          <w:rFonts w:hint="eastAsia" w:ascii="仿宋" w:hAnsi="仿宋" w:eastAsia="仿宋" w:cs="仿宋_GB2312"/>
        </w:rPr>
        <w:t>万元；主要原因：按照中央八项</w:t>
      </w:r>
      <w:bookmarkStart w:id="0" w:name="_GoBack"/>
      <w:bookmarkEnd w:id="0"/>
      <w:r>
        <w:rPr>
          <w:rFonts w:hint="eastAsia" w:ascii="仿宋" w:hAnsi="仿宋" w:eastAsia="仿宋" w:cs="仿宋_GB2312"/>
        </w:rPr>
        <w:t>规定要求，控制接待，压缩了公务用车经费开支。</w:t>
      </w:r>
    </w:p>
    <w:p>
      <w:pPr>
        <w:ind w:left="640" w:firstLine="643"/>
        <w:rPr>
          <w:rFonts w:ascii="仿宋" w:hAnsi="仿宋" w:eastAsia="仿宋"/>
          <w:b/>
        </w:rPr>
      </w:pPr>
      <w:r>
        <w:rPr>
          <w:rFonts w:hint="eastAsia" w:ascii="仿宋" w:hAnsi="仿宋" w:eastAsia="仿宋" w:cs="黑体"/>
          <w:b/>
        </w:rPr>
        <w:t>三、机关运行经费的支出情况说明</w:t>
      </w:r>
    </w:p>
    <w:p>
      <w:pPr>
        <w:ind w:left="640" w:firstLine="640"/>
        <w:rPr>
          <w:rFonts w:ascii="仿宋" w:hAnsi="仿宋" w:eastAsia="仿宋"/>
        </w:rPr>
      </w:pPr>
      <w:r>
        <w:rPr>
          <w:rFonts w:ascii="仿宋" w:hAnsi="仿宋" w:eastAsia="仿宋" w:cs="仿宋_GB2312"/>
        </w:rPr>
        <w:t>2016</w:t>
      </w:r>
      <w:r>
        <w:rPr>
          <w:rFonts w:hint="eastAsia" w:ascii="仿宋" w:hAnsi="仿宋" w:eastAsia="仿宋" w:cs="仿宋_GB2312"/>
        </w:rPr>
        <w:t>年本部门机关运行经费支出</w:t>
      </w:r>
      <w:r>
        <w:rPr>
          <w:rFonts w:ascii="仿宋" w:hAnsi="仿宋" w:eastAsia="仿宋" w:cs="仿宋_GB2312"/>
        </w:rPr>
        <w:t>156.76</w:t>
      </w:r>
      <w:r>
        <w:rPr>
          <w:rFonts w:hint="eastAsia" w:ascii="仿宋" w:hAnsi="仿宋" w:eastAsia="仿宋" w:cs="仿宋_GB2312"/>
        </w:rPr>
        <w:t>万元（机关正常公用支出</w:t>
      </w:r>
      <w:r>
        <w:rPr>
          <w:rFonts w:ascii="仿宋" w:hAnsi="仿宋" w:eastAsia="仿宋" w:cs="仿宋_GB2312"/>
        </w:rPr>
        <w:t>27.43</w:t>
      </w:r>
      <w:r>
        <w:rPr>
          <w:rFonts w:hint="eastAsia" w:ascii="仿宋" w:hAnsi="仿宋" w:eastAsia="仿宋" w:cs="仿宋_GB2312"/>
        </w:rPr>
        <w:t>万元，项目支出</w:t>
      </w:r>
      <w:r>
        <w:rPr>
          <w:rFonts w:ascii="仿宋" w:hAnsi="仿宋" w:eastAsia="仿宋" w:cs="仿宋_GB2312"/>
        </w:rPr>
        <w:t>129.33</w:t>
      </w:r>
      <w:r>
        <w:rPr>
          <w:rFonts w:hint="eastAsia" w:ascii="仿宋" w:hAnsi="仿宋" w:eastAsia="仿宋" w:cs="仿宋_GB2312"/>
        </w:rPr>
        <w:t>万元）比</w:t>
      </w:r>
      <w:r>
        <w:rPr>
          <w:rFonts w:ascii="仿宋" w:hAnsi="仿宋" w:eastAsia="仿宋" w:cs="仿宋_GB2312"/>
        </w:rPr>
        <w:t>2015</w:t>
      </w:r>
      <w:r>
        <w:rPr>
          <w:rFonts w:hint="eastAsia" w:ascii="仿宋" w:hAnsi="仿宋" w:eastAsia="仿宋" w:cs="仿宋_GB2312"/>
        </w:rPr>
        <w:t>年增加</w:t>
      </w:r>
      <w:r>
        <w:rPr>
          <w:rFonts w:ascii="仿宋" w:hAnsi="仿宋" w:eastAsia="仿宋" w:cs="仿宋_GB2312"/>
        </w:rPr>
        <w:t>23.02</w:t>
      </w:r>
      <w:r>
        <w:rPr>
          <w:rFonts w:hint="eastAsia" w:ascii="仿宋" w:hAnsi="仿宋" w:eastAsia="仿宋" w:cs="仿宋_GB2312"/>
        </w:rPr>
        <w:t>万元，增加</w:t>
      </w:r>
      <w:r>
        <w:rPr>
          <w:rFonts w:ascii="仿宋" w:hAnsi="仿宋" w:eastAsia="仿宋" w:cs="仿宋_GB2312"/>
        </w:rPr>
        <w:t>17.29%</w:t>
      </w:r>
      <w:r>
        <w:rPr>
          <w:rFonts w:hint="eastAsia" w:ascii="仿宋" w:hAnsi="仿宋" w:eastAsia="仿宋" w:cs="仿宋_GB2312"/>
        </w:rPr>
        <w:t>。主要原因是：项目支出增加。</w:t>
      </w:r>
    </w:p>
    <w:p>
      <w:pPr>
        <w:ind w:left="640" w:firstLine="643"/>
        <w:rPr>
          <w:rFonts w:ascii="仿宋" w:hAnsi="仿宋" w:eastAsia="仿宋"/>
          <w:b/>
        </w:rPr>
      </w:pPr>
      <w:r>
        <w:rPr>
          <w:rFonts w:hint="eastAsia" w:ascii="仿宋" w:hAnsi="仿宋" w:eastAsia="仿宋" w:cs="黑体"/>
          <w:b/>
        </w:rPr>
        <w:t>四、绩效预算执行情况说明</w:t>
      </w:r>
    </w:p>
    <w:p>
      <w:pPr>
        <w:ind w:left="640" w:firstLine="640"/>
        <w:rPr>
          <w:rFonts w:ascii="仿宋" w:hAnsi="仿宋" w:eastAsia="仿宋"/>
        </w:rPr>
      </w:pPr>
      <w:r>
        <w:rPr>
          <w:rFonts w:hint="eastAsia" w:ascii="仿宋" w:hAnsi="仿宋" w:eastAsia="仿宋" w:cs="仿宋_GB2312"/>
        </w:rPr>
        <w:t>我部绩效预算执行情况通过部门决算软件进行测评后得分为</w:t>
      </w:r>
      <w:r>
        <w:rPr>
          <w:rFonts w:ascii="仿宋" w:hAnsi="仿宋" w:eastAsia="仿宋" w:cs="仿宋_GB2312"/>
        </w:rPr>
        <w:t>78.5</w:t>
      </w:r>
      <w:r>
        <w:rPr>
          <w:rFonts w:hint="eastAsia" w:ascii="仿宋" w:hAnsi="仿宋" w:eastAsia="仿宋" w:cs="仿宋_GB2312"/>
        </w:rPr>
        <w:t>分，主要减分原因为：部分资金结转到下年使用。</w:t>
      </w:r>
    </w:p>
    <w:p>
      <w:pPr>
        <w:ind w:left="640" w:firstLine="643"/>
        <w:rPr>
          <w:rFonts w:ascii="仿宋" w:hAnsi="仿宋" w:eastAsia="仿宋"/>
          <w:b/>
        </w:rPr>
      </w:pPr>
      <w:r>
        <w:rPr>
          <w:rFonts w:hint="eastAsia" w:ascii="仿宋" w:hAnsi="仿宋" w:eastAsia="仿宋" w:cs="黑体"/>
          <w:b/>
        </w:rPr>
        <w:t>五、政府采购情况的说明。</w:t>
      </w:r>
    </w:p>
    <w:p>
      <w:pPr>
        <w:ind w:left="640" w:firstLine="320" w:firstLineChars="100"/>
        <w:rPr>
          <w:rFonts w:ascii="仿宋" w:hAnsi="仿宋" w:eastAsia="仿宋"/>
        </w:rPr>
      </w:pPr>
      <w:r>
        <w:rPr>
          <w:rFonts w:ascii="仿宋" w:hAnsi="仿宋" w:eastAsia="仿宋" w:cs="仿宋_GB2312"/>
        </w:rPr>
        <w:t xml:space="preserve">  2016</w:t>
      </w:r>
      <w:r>
        <w:rPr>
          <w:rFonts w:hint="eastAsia" w:ascii="仿宋" w:hAnsi="仿宋" w:eastAsia="仿宋" w:cs="仿宋_GB2312"/>
        </w:rPr>
        <w:t>年本部门政府采购预算为</w:t>
      </w:r>
      <w:r>
        <w:rPr>
          <w:rFonts w:ascii="仿宋" w:hAnsi="仿宋" w:eastAsia="仿宋" w:cs="仿宋_GB2312"/>
        </w:rPr>
        <w:t>61.95</w:t>
      </w:r>
      <w:r>
        <w:rPr>
          <w:rFonts w:hint="eastAsia" w:ascii="仿宋" w:hAnsi="仿宋" w:eastAsia="仿宋" w:cs="仿宋_GB2312"/>
        </w:rPr>
        <w:t>万元，决算支出</w:t>
      </w:r>
      <w:r>
        <w:rPr>
          <w:rFonts w:ascii="仿宋" w:hAnsi="仿宋" w:eastAsia="仿宋" w:cs="仿宋_GB2312"/>
        </w:rPr>
        <w:t>54.01</w:t>
      </w:r>
      <w:r>
        <w:rPr>
          <w:rFonts w:hint="eastAsia" w:ascii="仿宋" w:hAnsi="仿宋" w:eastAsia="仿宋" w:cs="仿宋_GB2312"/>
        </w:rPr>
        <w:t>万元，其中：政府采购货物支出</w:t>
      </w:r>
      <w:r>
        <w:rPr>
          <w:rFonts w:ascii="仿宋" w:hAnsi="仿宋" w:eastAsia="仿宋" w:cs="仿宋_GB2312"/>
        </w:rPr>
        <w:t>33.15</w:t>
      </w:r>
      <w:r>
        <w:rPr>
          <w:rFonts w:hint="eastAsia" w:ascii="仿宋" w:hAnsi="仿宋" w:eastAsia="仿宋" w:cs="仿宋_GB2312"/>
        </w:rPr>
        <w:t>万元，服务支出2</w:t>
      </w:r>
      <w:r>
        <w:rPr>
          <w:rFonts w:ascii="仿宋" w:hAnsi="仿宋" w:eastAsia="仿宋" w:cs="仿宋_GB2312"/>
        </w:rPr>
        <w:t>0.86</w:t>
      </w:r>
      <w:r>
        <w:rPr>
          <w:rFonts w:hint="eastAsia" w:ascii="仿宋" w:hAnsi="仿宋" w:eastAsia="仿宋" w:cs="仿宋_GB2312"/>
        </w:rPr>
        <w:t>万元。</w:t>
      </w:r>
    </w:p>
    <w:p>
      <w:pPr>
        <w:ind w:left="640" w:firstLine="643"/>
        <w:rPr>
          <w:rFonts w:ascii="仿宋" w:hAnsi="仿宋" w:eastAsia="仿宋"/>
          <w:b/>
        </w:rPr>
      </w:pPr>
      <w:r>
        <w:rPr>
          <w:rFonts w:hint="eastAsia" w:ascii="仿宋" w:hAnsi="仿宋" w:eastAsia="仿宋" w:cs="黑体"/>
          <w:b/>
        </w:rPr>
        <w:t>六、国有资产占用情况。</w:t>
      </w:r>
    </w:p>
    <w:p>
      <w:pPr>
        <w:ind w:left="640" w:firstLine="640"/>
        <w:rPr>
          <w:rFonts w:ascii="仿宋" w:hAnsi="仿宋" w:eastAsia="仿宋"/>
        </w:rPr>
      </w:pPr>
      <w:r>
        <w:rPr>
          <w:rFonts w:hint="eastAsia" w:ascii="仿宋" w:hAnsi="仿宋" w:eastAsia="仿宋" w:cs="仿宋_GB2312"/>
        </w:rPr>
        <w:t>截至</w:t>
      </w:r>
      <w:r>
        <w:rPr>
          <w:rFonts w:ascii="仿宋" w:hAnsi="仿宋" w:eastAsia="仿宋" w:cs="仿宋_GB2312"/>
        </w:rPr>
        <w:t>2016</w:t>
      </w:r>
      <w:r>
        <w:rPr>
          <w:rFonts w:hint="eastAsia" w:ascii="仿宋" w:hAnsi="仿宋" w:eastAsia="仿宋" w:cs="仿宋_GB2312"/>
        </w:rPr>
        <w:t>年</w:t>
      </w:r>
      <w:r>
        <w:rPr>
          <w:rFonts w:ascii="仿宋" w:hAnsi="仿宋" w:eastAsia="仿宋" w:cs="仿宋_GB2312"/>
        </w:rPr>
        <w:t>12</w:t>
      </w:r>
      <w:r>
        <w:rPr>
          <w:rFonts w:hint="eastAsia" w:ascii="仿宋" w:hAnsi="仿宋" w:eastAsia="仿宋" w:cs="仿宋_GB2312"/>
        </w:rPr>
        <w:t>月</w:t>
      </w:r>
      <w:r>
        <w:rPr>
          <w:rFonts w:ascii="仿宋" w:hAnsi="仿宋" w:eastAsia="仿宋" w:cs="仿宋_GB2312"/>
        </w:rPr>
        <w:t>31</w:t>
      </w:r>
      <w:r>
        <w:rPr>
          <w:rFonts w:hint="eastAsia" w:ascii="仿宋" w:hAnsi="仿宋" w:eastAsia="仿宋" w:cs="仿宋_GB2312"/>
        </w:rPr>
        <w:t>日，本部门共有车辆</w:t>
      </w:r>
      <w:r>
        <w:rPr>
          <w:rFonts w:ascii="仿宋" w:hAnsi="仿宋" w:eastAsia="仿宋" w:cs="仿宋_GB2312"/>
        </w:rPr>
        <w:t>2</w:t>
      </w:r>
      <w:r>
        <w:rPr>
          <w:rFonts w:hint="eastAsia" w:ascii="仿宋" w:hAnsi="仿宋" w:eastAsia="仿宋" w:cs="仿宋_GB2312"/>
        </w:rPr>
        <w:t>辆，其中，一般公务用车</w:t>
      </w:r>
      <w:r>
        <w:rPr>
          <w:rFonts w:ascii="仿宋" w:hAnsi="仿宋" w:eastAsia="仿宋" w:cs="仿宋_GB2312"/>
        </w:rPr>
        <w:t>2</w:t>
      </w:r>
      <w:r>
        <w:rPr>
          <w:rFonts w:hint="eastAsia" w:ascii="仿宋" w:hAnsi="仿宋" w:eastAsia="仿宋" w:cs="仿宋_GB2312"/>
        </w:rPr>
        <w:t>辆，价值金额3</w:t>
      </w:r>
      <w:r>
        <w:rPr>
          <w:rFonts w:ascii="仿宋" w:hAnsi="仿宋" w:eastAsia="仿宋" w:cs="仿宋_GB2312"/>
        </w:rPr>
        <w:t>1.50</w:t>
      </w:r>
      <w:r>
        <w:rPr>
          <w:rFonts w:hint="eastAsia" w:ascii="仿宋" w:hAnsi="仿宋" w:eastAsia="仿宋" w:cs="仿宋_GB2312"/>
        </w:rPr>
        <w:t>万元。</w:t>
      </w:r>
    </w:p>
    <w:p>
      <w:pPr>
        <w:ind w:left="640" w:firstLine="643"/>
        <w:rPr>
          <w:rFonts w:ascii="仿宋" w:hAnsi="仿宋" w:eastAsia="仿宋"/>
          <w:b/>
        </w:rPr>
      </w:pPr>
      <w:r>
        <w:rPr>
          <w:rFonts w:hint="eastAsia" w:ascii="仿宋" w:hAnsi="仿宋" w:eastAsia="仿宋" w:cs="黑体"/>
          <w:b/>
        </w:rPr>
        <w:t>七、其他重要事项的情况说明</w:t>
      </w:r>
    </w:p>
    <w:p>
      <w:pPr>
        <w:adjustRightInd w:val="0"/>
        <w:snapToGrid w:val="0"/>
        <w:spacing w:line="580" w:lineRule="exact"/>
        <w:ind w:firstLine="640"/>
        <w:rPr>
          <w:rFonts w:ascii="仿宋" w:hAnsi="仿宋" w:eastAsia="仿宋"/>
        </w:rPr>
      </w:pPr>
      <w:r>
        <w:rPr>
          <w:rFonts w:ascii="仿宋" w:hAnsi="仿宋" w:eastAsia="仿宋" w:cs="仿宋_GB2312"/>
          <w:kern w:val="0"/>
        </w:rPr>
        <w:t>1</w:t>
      </w:r>
      <w:r>
        <w:rPr>
          <w:rFonts w:hint="eastAsia" w:ascii="仿宋" w:hAnsi="仿宋" w:eastAsia="仿宋" w:cs="仿宋_GB2312"/>
          <w:kern w:val="0"/>
        </w:rPr>
        <w:t>、我部无政府性基金安排的各类资金，《</w:t>
      </w:r>
      <w:r>
        <w:rPr>
          <w:rFonts w:hint="eastAsia" w:ascii="仿宋" w:hAnsi="仿宋" w:eastAsia="仿宋" w:cs="仿宋_GB2312"/>
        </w:rPr>
        <w:t>部门政府性基金预算财政拨款收支决算表》为空。有数据的单独进行说明。</w:t>
      </w:r>
    </w:p>
    <w:p>
      <w:pPr>
        <w:ind w:firstLine="640"/>
        <w:rPr>
          <w:rFonts w:ascii="仿宋" w:hAnsi="仿宋" w:eastAsia="仿宋"/>
        </w:rPr>
      </w:pPr>
      <w:r>
        <w:rPr>
          <w:rFonts w:ascii="仿宋" w:hAnsi="仿宋" w:eastAsia="仿宋" w:cs="仿宋_GB2312"/>
        </w:rPr>
        <w:t>2</w:t>
      </w:r>
      <w:r>
        <w:rPr>
          <w:rFonts w:hint="eastAsia" w:ascii="仿宋" w:hAnsi="仿宋" w:eastAsia="仿宋" w:cs="仿宋_GB2312"/>
        </w:rPr>
        <w:t>、</w:t>
      </w:r>
      <w:r>
        <w:rPr>
          <w:rFonts w:hint="eastAsia" w:ascii="仿宋" w:hAnsi="仿宋" w:eastAsia="仿宋" w:cs="仿宋_GB2312"/>
          <w:kern w:val="0"/>
        </w:rPr>
        <w:t>我部无国有资本经营预、决算，《</w:t>
      </w:r>
      <w:r>
        <w:rPr>
          <w:rFonts w:hint="eastAsia" w:ascii="仿宋" w:hAnsi="仿宋" w:eastAsia="仿宋" w:cs="仿宋_GB2312"/>
        </w:rPr>
        <w:t>部门国有资本经营预算财政拨款支出决算表》为空。</w:t>
      </w:r>
    </w:p>
    <w:p>
      <w:pPr>
        <w:ind w:firstLine="199" w:firstLineChars="62"/>
        <w:jc w:val="center"/>
        <w:rPr>
          <w:rFonts w:ascii="仿宋" w:hAnsi="仿宋" w:eastAsia="仿宋" w:cs="黑体"/>
          <w:b/>
        </w:rPr>
      </w:pPr>
    </w:p>
    <w:p>
      <w:pPr>
        <w:ind w:firstLine="199" w:firstLineChars="62"/>
        <w:jc w:val="center"/>
        <w:rPr>
          <w:rFonts w:ascii="仿宋" w:hAnsi="仿宋" w:eastAsia="仿宋"/>
          <w:b/>
        </w:rPr>
      </w:pPr>
      <w:r>
        <w:rPr>
          <w:rFonts w:hint="eastAsia" w:ascii="仿宋" w:hAnsi="仿宋" w:eastAsia="仿宋" w:cs="黑体"/>
          <w:b/>
        </w:rPr>
        <w:t>第四部分名词解释</w:t>
      </w:r>
    </w:p>
    <w:p>
      <w:pPr>
        <w:ind w:left="640" w:firstLine="640"/>
        <w:rPr>
          <w:rFonts w:ascii="仿宋" w:hAnsi="仿宋" w:eastAsia="仿宋"/>
        </w:rPr>
      </w:pPr>
      <w:r>
        <w:rPr>
          <w:rFonts w:hint="eastAsia" w:ascii="仿宋" w:hAnsi="仿宋" w:eastAsia="仿宋" w:cs="黑体"/>
        </w:rPr>
        <w:t>（一）一般公共预算财政拨款</w:t>
      </w:r>
    </w:p>
    <w:p>
      <w:pPr>
        <w:ind w:left="640" w:firstLine="640"/>
        <w:rPr>
          <w:rFonts w:ascii="仿宋" w:hAnsi="仿宋" w:eastAsia="仿宋"/>
        </w:rPr>
      </w:pPr>
      <w:r>
        <w:rPr>
          <w:rFonts w:hint="eastAsia" w:ascii="仿宋" w:hAnsi="仿宋" w:eastAsia="仿宋" w:cs="仿宋_GB2312"/>
        </w:rPr>
        <w:t>一般公共预算财政拨款是对以税收为主体的财政收入，安排用于保障和改善民生、推动经济社会发展、维护国家安全、维持国家机构正常运转等方面的收入和支出。</w:t>
      </w:r>
    </w:p>
    <w:p>
      <w:pPr>
        <w:ind w:left="640" w:firstLine="640"/>
        <w:rPr>
          <w:rFonts w:ascii="仿宋" w:hAnsi="仿宋" w:eastAsia="仿宋"/>
        </w:rPr>
      </w:pPr>
      <w:r>
        <w:rPr>
          <w:rFonts w:hint="eastAsia" w:ascii="仿宋" w:hAnsi="仿宋" w:eastAsia="仿宋" w:cs="黑体"/>
        </w:rPr>
        <w:t>（二）基本支出和项目支出</w:t>
      </w:r>
    </w:p>
    <w:p>
      <w:pPr>
        <w:ind w:left="640" w:firstLine="640"/>
        <w:rPr>
          <w:rFonts w:ascii="仿宋" w:hAnsi="仿宋" w:eastAsia="仿宋"/>
        </w:rPr>
      </w:pPr>
      <w:r>
        <w:rPr>
          <w:rFonts w:hint="eastAsia" w:ascii="仿宋" w:hAnsi="仿宋" w:eastAsia="仿宋" w:cs="仿宋_GB231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pPr>
        <w:ind w:left="640" w:firstLine="640"/>
        <w:rPr>
          <w:rFonts w:ascii="仿宋" w:hAnsi="仿宋" w:eastAsia="仿宋"/>
        </w:rPr>
      </w:pPr>
      <w:r>
        <w:rPr>
          <w:rFonts w:hint="eastAsia" w:ascii="仿宋" w:hAnsi="仿宋" w:eastAsia="仿宋" w:cs="黑体"/>
        </w:rPr>
        <w:t>（三）“三公”经费及其支出口径</w:t>
      </w:r>
    </w:p>
    <w:p>
      <w:pPr>
        <w:ind w:left="640" w:firstLine="640"/>
        <w:rPr>
          <w:rFonts w:ascii="仿宋" w:hAnsi="仿宋" w:eastAsia="仿宋"/>
        </w:rPr>
      </w:pPr>
      <w:r>
        <w:rPr>
          <w:rFonts w:hint="eastAsia" w:ascii="仿宋" w:hAnsi="仿宋" w:eastAsia="仿宋" w:cs="仿宋_GB2312"/>
        </w:rPr>
        <w:t>因公出国（境）费是指单位公务出国（境）的国际旅费、国外城市间交通费、住宿费、伙食费、培训费、公杂费等支出。</w:t>
      </w:r>
    </w:p>
    <w:p>
      <w:pPr>
        <w:ind w:left="640" w:firstLine="640"/>
        <w:rPr>
          <w:rFonts w:ascii="仿宋" w:hAnsi="仿宋" w:eastAsia="仿宋"/>
        </w:rPr>
      </w:pPr>
      <w:r>
        <w:rPr>
          <w:rFonts w:hint="eastAsia" w:ascii="仿宋" w:hAnsi="仿宋" w:eastAsia="仿宋" w:cs="仿宋_GB2312"/>
        </w:rPr>
        <w:t>公务用车运行维护费是指单位公务用车租用费、燃料费、维修费、过桥过路费、保险费、出租车费用等。</w:t>
      </w:r>
    </w:p>
    <w:p>
      <w:pPr>
        <w:ind w:left="640" w:firstLine="640"/>
        <w:rPr>
          <w:rFonts w:ascii="仿宋" w:hAnsi="仿宋" w:eastAsia="仿宋"/>
        </w:rPr>
      </w:pPr>
      <w:r>
        <w:rPr>
          <w:rFonts w:hint="eastAsia" w:ascii="仿宋" w:hAnsi="仿宋" w:eastAsia="仿宋" w:cs="仿宋_GB2312"/>
        </w:rPr>
        <w:t>公务接待费是指单位按规定开支的各类公务接待（含外宾接待）费用。</w:t>
      </w:r>
    </w:p>
    <w:p>
      <w:pPr>
        <w:ind w:left="640" w:firstLine="640"/>
        <w:rPr>
          <w:rFonts w:ascii="仿宋" w:hAnsi="仿宋" w:eastAsia="仿宋"/>
        </w:rPr>
      </w:pPr>
      <w:r>
        <w:rPr>
          <w:rFonts w:hint="eastAsia" w:ascii="仿宋" w:hAnsi="仿宋" w:eastAsia="仿宋" w:cs="仿宋_GB2312"/>
        </w:rPr>
        <w:t>本次公开的“三公”经费支出口径均为一般公共预算财政拨款安排的资金。</w:t>
      </w:r>
    </w:p>
    <w:p>
      <w:pPr>
        <w:ind w:left="640" w:firstLine="640"/>
        <w:rPr>
          <w:rFonts w:ascii="仿宋" w:hAnsi="仿宋" w:eastAsia="仿宋"/>
        </w:rPr>
      </w:pPr>
      <w:r>
        <w:rPr>
          <w:rFonts w:hint="eastAsia" w:ascii="仿宋" w:hAnsi="仿宋" w:eastAsia="仿宋" w:cs="黑体"/>
        </w:rPr>
        <w:t>（四）机关运行经费及其支出口径</w:t>
      </w:r>
    </w:p>
    <w:p>
      <w:pPr>
        <w:ind w:left="640" w:firstLine="640"/>
        <w:rPr>
          <w:rFonts w:ascii="仿宋" w:hAnsi="仿宋" w:eastAsia="仿宋"/>
        </w:rPr>
      </w:pPr>
      <w:r>
        <w:rPr>
          <w:rFonts w:hint="eastAsia" w:ascii="仿宋" w:hAnsi="仿宋" w:eastAsia="仿宋" w:cs="仿宋_GB2312"/>
        </w:rPr>
        <w:t>机关运行经费是指行政机关（含参照公务员法管理的事业单位）用于保障其日常工作正常开展的基本支出经费。本次公开的机关运行经费支出口径均为使用区级财政一般公共预算财政拨款资金安排的支出，包括经济分类中的商品劳务支出和其他资本性支出。</w:t>
      </w:r>
    </w:p>
    <w:p>
      <w:pPr>
        <w:ind w:left="640" w:firstLine="640"/>
        <w:rPr>
          <w:rFonts w:ascii="仿宋" w:hAnsi="仿宋" w:eastAsia="仿宋"/>
        </w:rPr>
      </w:pPr>
    </w:p>
    <w:sectPr>
      <w:headerReference r:id="rId5" w:type="default"/>
      <w:footerReference r:id="rId6" w:type="default"/>
      <w:pgSz w:w="11906" w:h="16838"/>
      <w:pgMar w:top="1985"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兰亭超细黑简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6</w:t>
    </w:r>
    <w:r>
      <w:rPr>
        <w:rFonts w:ascii="Arial" w:hAnsi="Arial" w:cs="Arial"/>
        <w:b/>
        <w:bCs/>
        <w:sz w:val="21"/>
        <w:szCs w:val="21"/>
      </w:rPr>
      <w:fldChar w:fldCharType="end"/>
    </w:r>
    <w:r>
      <w:rPr>
        <w:rFonts w:hint="eastAsia" w:cs="宋体"/>
        <w:b/>
        <w:bCs/>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57C46"/>
    <w:multiLevelType w:val="multilevel"/>
    <w:tmpl w:val="49A57C46"/>
    <w:lvl w:ilvl="0" w:tentative="0">
      <w:start w:val="1"/>
      <w:numFmt w:val="japaneseCounting"/>
      <w:lvlText w:val="%1、"/>
      <w:lvlJc w:val="left"/>
      <w:pPr>
        <w:ind w:left="2138" w:hanging="720"/>
      </w:pPr>
      <w:rPr>
        <w:rFonts w:hint="default" w:cs="Times New Roman"/>
      </w:rPr>
    </w:lvl>
    <w:lvl w:ilvl="1" w:tentative="0">
      <w:start w:val="1"/>
      <w:numFmt w:val="lowerLetter"/>
      <w:lvlText w:val="%2)"/>
      <w:lvlJc w:val="left"/>
      <w:pPr>
        <w:ind w:left="2258" w:hanging="420"/>
      </w:pPr>
      <w:rPr>
        <w:rFonts w:cs="Times New Roman"/>
      </w:rPr>
    </w:lvl>
    <w:lvl w:ilvl="2" w:tentative="0">
      <w:start w:val="1"/>
      <w:numFmt w:val="lowerRoman"/>
      <w:lvlText w:val="%3."/>
      <w:lvlJc w:val="right"/>
      <w:pPr>
        <w:ind w:left="2678" w:hanging="420"/>
      </w:pPr>
      <w:rPr>
        <w:rFonts w:cs="Times New Roman"/>
      </w:rPr>
    </w:lvl>
    <w:lvl w:ilvl="3" w:tentative="0">
      <w:start w:val="1"/>
      <w:numFmt w:val="decimal"/>
      <w:lvlText w:val="%4."/>
      <w:lvlJc w:val="left"/>
      <w:pPr>
        <w:ind w:left="3098" w:hanging="420"/>
      </w:pPr>
      <w:rPr>
        <w:rFonts w:cs="Times New Roman"/>
      </w:rPr>
    </w:lvl>
    <w:lvl w:ilvl="4" w:tentative="0">
      <w:start w:val="1"/>
      <w:numFmt w:val="lowerLetter"/>
      <w:lvlText w:val="%5)"/>
      <w:lvlJc w:val="left"/>
      <w:pPr>
        <w:ind w:left="3518" w:hanging="420"/>
      </w:pPr>
      <w:rPr>
        <w:rFonts w:cs="Times New Roman"/>
      </w:rPr>
    </w:lvl>
    <w:lvl w:ilvl="5" w:tentative="0">
      <w:start w:val="1"/>
      <w:numFmt w:val="lowerRoman"/>
      <w:lvlText w:val="%6."/>
      <w:lvlJc w:val="right"/>
      <w:pPr>
        <w:ind w:left="3938" w:hanging="420"/>
      </w:pPr>
      <w:rPr>
        <w:rFonts w:cs="Times New Roman"/>
      </w:rPr>
    </w:lvl>
    <w:lvl w:ilvl="6" w:tentative="0">
      <w:start w:val="1"/>
      <w:numFmt w:val="decimal"/>
      <w:lvlText w:val="%7."/>
      <w:lvlJc w:val="left"/>
      <w:pPr>
        <w:ind w:left="4358" w:hanging="420"/>
      </w:pPr>
      <w:rPr>
        <w:rFonts w:cs="Times New Roman"/>
      </w:rPr>
    </w:lvl>
    <w:lvl w:ilvl="7" w:tentative="0">
      <w:start w:val="1"/>
      <w:numFmt w:val="lowerLetter"/>
      <w:lvlText w:val="%8)"/>
      <w:lvlJc w:val="left"/>
      <w:pPr>
        <w:ind w:left="4778" w:hanging="420"/>
      </w:pPr>
      <w:rPr>
        <w:rFonts w:cs="Times New Roman"/>
      </w:rPr>
    </w:lvl>
    <w:lvl w:ilvl="8" w:tentative="0">
      <w:start w:val="1"/>
      <w:numFmt w:val="lowerRoman"/>
      <w:lvlText w:val="%9."/>
      <w:lvlJc w:val="right"/>
      <w:pPr>
        <w:ind w:left="5198" w:hanging="420"/>
      </w:pPr>
      <w:rPr>
        <w:rFonts w:cs="Times New Roman"/>
      </w:rPr>
    </w:lvl>
  </w:abstractNum>
  <w:abstractNum w:abstractNumId="1">
    <w:nsid w:val="4CA76B74"/>
    <w:multiLevelType w:val="multilevel"/>
    <w:tmpl w:val="4CA76B74"/>
    <w:lvl w:ilvl="0" w:tentative="0">
      <w:start w:val="1"/>
      <w:numFmt w:val="japaneseCounting"/>
      <w:lvlText w:val="%1、"/>
      <w:lvlJc w:val="left"/>
      <w:pPr>
        <w:ind w:left="1684" w:hanging="720"/>
      </w:pPr>
      <w:rPr>
        <w:rFonts w:hint="default" w:cs="黑体"/>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NiMzFmNTAzZTk1ODA1Yzc2ZWU5MjMxMGM1YzZlMzEifQ=="/>
  </w:docVars>
  <w:rsids>
    <w:rsidRoot w:val="00562ED9"/>
    <w:rsid w:val="00001C5A"/>
    <w:rsid w:val="00005A31"/>
    <w:rsid w:val="00011393"/>
    <w:rsid w:val="000244B1"/>
    <w:rsid w:val="00042C57"/>
    <w:rsid w:val="000B10C2"/>
    <w:rsid w:val="000D15D1"/>
    <w:rsid w:val="000D5723"/>
    <w:rsid w:val="00127C8F"/>
    <w:rsid w:val="0014648D"/>
    <w:rsid w:val="00152543"/>
    <w:rsid w:val="00161607"/>
    <w:rsid w:val="0017741E"/>
    <w:rsid w:val="0019263B"/>
    <w:rsid w:val="001A25BB"/>
    <w:rsid w:val="001B305C"/>
    <w:rsid w:val="001C32DA"/>
    <w:rsid w:val="001D6B1A"/>
    <w:rsid w:val="001E4F9F"/>
    <w:rsid w:val="001F41FA"/>
    <w:rsid w:val="00202EA9"/>
    <w:rsid w:val="00227A25"/>
    <w:rsid w:val="00231700"/>
    <w:rsid w:val="00232B3B"/>
    <w:rsid w:val="0025242E"/>
    <w:rsid w:val="00255DC3"/>
    <w:rsid w:val="00271D6D"/>
    <w:rsid w:val="00273E03"/>
    <w:rsid w:val="002D1C92"/>
    <w:rsid w:val="002F6E96"/>
    <w:rsid w:val="00304C62"/>
    <w:rsid w:val="00310A7C"/>
    <w:rsid w:val="003155B1"/>
    <w:rsid w:val="003213FB"/>
    <w:rsid w:val="003530FF"/>
    <w:rsid w:val="003B3474"/>
    <w:rsid w:val="003B54BF"/>
    <w:rsid w:val="003C751C"/>
    <w:rsid w:val="003D313D"/>
    <w:rsid w:val="003F6043"/>
    <w:rsid w:val="003F6AAF"/>
    <w:rsid w:val="00404CFB"/>
    <w:rsid w:val="00414093"/>
    <w:rsid w:val="004331D3"/>
    <w:rsid w:val="00434B5A"/>
    <w:rsid w:val="004445FA"/>
    <w:rsid w:val="00494190"/>
    <w:rsid w:val="004D0CCE"/>
    <w:rsid w:val="004E1588"/>
    <w:rsid w:val="004E3970"/>
    <w:rsid w:val="004F0580"/>
    <w:rsid w:val="004F1F8E"/>
    <w:rsid w:val="005046AD"/>
    <w:rsid w:val="005320D8"/>
    <w:rsid w:val="0056078B"/>
    <w:rsid w:val="00562ED9"/>
    <w:rsid w:val="00575E18"/>
    <w:rsid w:val="0057758B"/>
    <w:rsid w:val="00591A81"/>
    <w:rsid w:val="00593550"/>
    <w:rsid w:val="005C5A21"/>
    <w:rsid w:val="005E76DE"/>
    <w:rsid w:val="00632195"/>
    <w:rsid w:val="00653DE8"/>
    <w:rsid w:val="00672801"/>
    <w:rsid w:val="006A1EF9"/>
    <w:rsid w:val="006B36AC"/>
    <w:rsid w:val="006C00CA"/>
    <w:rsid w:val="00704BA1"/>
    <w:rsid w:val="00706AFD"/>
    <w:rsid w:val="007259E0"/>
    <w:rsid w:val="007605CD"/>
    <w:rsid w:val="00784DFB"/>
    <w:rsid w:val="0079088C"/>
    <w:rsid w:val="007B7C45"/>
    <w:rsid w:val="007F67CB"/>
    <w:rsid w:val="0080381A"/>
    <w:rsid w:val="00811D89"/>
    <w:rsid w:val="008307DA"/>
    <w:rsid w:val="00830C9C"/>
    <w:rsid w:val="00842272"/>
    <w:rsid w:val="0086341F"/>
    <w:rsid w:val="008716D0"/>
    <w:rsid w:val="00892E51"/>
    <w:rsid w:val="008C452C"/>
    <w:rsid w:val="008E5AB8"/>
    <w:rsid w:val="008E7BFC"/>
    <w:rsid w:val="008F699F"/>
    <w:rsid w:val="0094203D"/>
    <w:rsid w:val="009507B0"/>
    <w:rsid w:val="00965AC4"/>
    <w:rsid w:val="009B336E"/>
    <w:rsid w:val="009D3B52"/>
    <w:rsid w:val="00A266EB"/>
    <w:rsid w:val="00A4272B"/>
    <w:rsid w:val="00A75B90"/>
    <w:rsid w:val="00A95197"/>
    <w:rsid w:val="00A977CF"/>
    <w:rsid w:val="00AB648E"/>
    <w:rsid w:val="00AC6680"/>
    <w:rsid w:val="00AC751B"/>
    <w:rsid w:val="00AD72CA"/>
    <w:rsid w:val="00AF2C1C"/>
    <w:rsid w:val="00B243DD"/>
    <w:rsid w:val="00B42B02"/>
    <w:rsid w:val="00B70478"/>
    <w:rsid w:val="00B764A4"/>
    <w:rsid w:val="00BC04E3"/>
    <w:rsid w:val="00BC4069"/>
    <w:rsid w:val="00BD46F1"/>
    <w:rsid w:val="00BD48BC"/>
    <w:rsid w:val="00C47F8E"/>
    <w:rsid w:val="00C62920"/>
    <w:rsid w:val="00C734F1"/>
    <w:rsid w:val="00C814D5"/>
    <w:rsid w:val="00C86674"/>
    <w:rsid w:val="00C93FFE"/>
    <w:rsid w:val="00CB466F"/>
    <w:rsid w:val="00CE7AA1"/>
    <w:rsid w:val="00D02D3B"/>
    <w:rsid w:val="00D17F84"/>
    <w:rsid w:val="00D53FC3"/>
    <w:rsid w:val="00D6310D"/>
    <w:rsid w:val="00D77FC6"/>
    <w:rsid w:val="00DB6093"/>
    <w:rsid w:val="00DD6004"/>
    <w:rsid w:val="00DF6203"/>
    <w:rsid w:val="00E02F9C"/>
    <w:rsid w:val="00E12BA2"/>
    <w:rsid w:val="00E3000A"/>
    <w:rsid w:val="00E33CB3"/>
    <w:rsid w:val="00E34004"/>
    <w:rsid w:val="00E4591E"/>
    <w:rsid w:val="00E4731A"/>
    <w:rsid w:val="00E55B04"/>
    <w:rsid w:val="00E65A34"/>
    <w:rsid w:val="00E77D93"/>
    <w:rsid w:val="00E84998"/>
    <w:rsid w:val="00E9159B"/>
    <w:rsid w:val="00EB19A8"/>
    <w:rsid w:val="00EB45A9"/>
    <w:rsid w:val="00EB63A9"/>
    <w:rsid w:val="00ED4660"/>
    <w:rsid w:val="00ED6876"/>
    <w:rsid w:val="00ED6B4C"/>
    <w:rsid w:val="00EE135B"/>
    <w:rsid w:val="00EF493B"/>
    <w:rsid w:val="00F01F9C"/>
    <w:rsid w:val="00F06F8D"/>
    <w:rsid w:val="00F24FAF"/>
    <w:rsid w:val="00F34BA2"/>
    <w:rsid w:val="00F52F27"/>
    <w:rsid w:val="00F53DB8"/>
    <w:rsid w:val="00F948E4"/>
    <w:rsid w:val="00F9758A"/>
    <w:rsid w:val="00FD5BCA"/>
    <w:rsid w:val="00FE51FB"/>
    <w:rsid w:val="29C571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iPriority w:val="99"/>
    <w:pPr>
      <w:spacing w:line="240" w:lineRule="auto"/>
    </w:pPr>
    <w:rPr>
      <w:sz w:val="18"/>
      <w:szCs w:val="18"/>
    </w:rPr>
  </w:style>
  <w:style w:type="paragraph" w:styleId="3">
    <w:name w:val="footer"/>
    <w:basedOn w:val="1"/>
    <w:link w:val="8"/>
    <w:uiPriority w:val="99"/>
    <w:pPr>
      <w:tabs>
        <w:tab w:val="center" w:pos="4153"/>
        <w:tab w:val="right" w:pos="8306"/>
      </w:tabs>
      <w:snapToGrid w:val="0"/>
      <w:jc w:val="left"/>
    </w:pPr>
    <w:rPr>
      <w:rFonts w:ascii="Calibri" w:hAnsi="Calibri" w:eastAsia="宋体" w:cs="Calibri"/>
      <w:kern w:val="0"/>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rFonts w:ascii="Calibri" w:hAnsi="Calibri" w:eastAsia="宋体" w:cs="Calibri"/>
      <w:kern w:val="0"/>
      <w:sz w:val="18"/>
      <w:szCs w:val="18"/>
    </w:rPr>
  </w:style>
  <w:style w:type="character" w:customStyle="1" w:styleId="7">
    <w:name w:val="页眉 字符"/>
    <w:link w:val="4"/>
    <w:locked/>
    <w:uiPriority w:val="99"/>
    <w:rPr>
      <w:rFonts w:ascii="Calibri" w:hAnsi="Calibri" w:eastAsia="宋体" w:cs="Calibri"/>
      <w:kern w:val="0"/>
      <w:sz w:val="18"/>
      <w:szCs w:val="18"/>
    </w:rPr>
  </w:style>
  <w:style w:type="character" w:customStyle="1" w:styleId="8">
    <w:name w:val="页脚 字符"/>
    <w:link w:val="3"/>
    <w:locked/>
    <w:uiPriority w:val="99"/>
    <w:rPr>
      <w:rFonts w:ascii="Calibri" w:hAnsi="Calibri" w:eastAsia="宋体" w:cs="Calibri"/>
      <w:kern w:val="0"/>
      <w:sz w:val="18"/>
      <w:szCs w:val="18"/>
    </w:rPr>
  </w:style>
  <w:style w:type="character" w:customStyle="1" w:styleId="9">
    <w:name w:val="批注框文本 字符"/>
    <w:link w:val="2"/>
    <w:semiHidden/>
    <w:locked/>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gkk</Company>
  <Pages>6</Pages>
  <Words>362</Words>
  <Characters>2068</Characters>
  <Lines>17</Lines>
  <Paragraphs>4</Paragraphs>
  <TotalTime>25</TotalTime>
  <ScaleCrop>false</ScaleCrop>
  <LinksUpToDate>false</LinksUpToDate>
  <CharactersWithSpaces>2426</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2017-10-30T01:25:00Z</dcterms:created>
  <dc:creator>jia</dc:creator>
  <cp:lastModifiedBy>晓</cp:lastModifiedBy>
  <cp:lastPrinted>2016-09-12T09:23:00Z</cp:lastPrinted>
  <dcterms:modified xsi:type="dcterms:W3CDTF">2023-11-09T06:42:20Z</dcterms:modified>
  <dc:title>部门决算公开目录（参考格式）</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DAE95E8F0CED473685DDB2B22C609B0B_12</vt:lpwstr>
  </property>
</Properties>
</file>