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hint="eastAsia"/>
          <w:szCs w:val="32"/>
        </w:rPr>
      </w:pPr>
      <w:r>
        <w:rPr>
          <w:rFonts w:hint="eastAsia" w:ascii="黑体" w:hAnsi="黑体" w:eastAsia="黑体" w:cs="黑体"/>
          <w:color w:val="000000"/>
          <w:kern w:val="0"/>
          <w:szCs w:val="32"/>
        </w:rPr>
        <w:t>附件</w:t>
      </w:r>
    </w:p>
    <w:p>
      <w:pPr>
        <w:widowControl/>
        <w:adjustRightInd w:val="0"/>
        <w:snapToGrid w:val="0"/>
        <w:spacing w:line="560" w:lineRule="exact"/>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海港区基本养老服务清单</w:t>
      </w:r>
    </w:p>
    <w:tbl>
      <w:tblPr>
        <w:tblStyle w:val="3"/>
        <w:tblW w:w="14852" w:type="dxa"/>
        <w:tblInd w:w="0" w:type="dxa"/>
        <w:tblLayout w:type="fixed"/>
        <w:tblCellMar>
          <w:top w:w="0" w:type="dxa"/>
          <w:left w:w="108" w:type="dxa"/>
          <w:bottom w:w="0" w:type="dxa"/>
          <w:right w:w="108" w:type="dxa"/>
        </w:tblCellMar>
      </w:tblPr>
      <w:tblGrid>
        <w:gridCol w:w="1327"/>
        <w:gridCol w:w="600"/>
        <w:gridCol w:w="1300"/>
        <w:gridCol w:w="3685"/>
        <w:gridCol w:w="4820"/>
        <w:gridCol w:w="1417"/>
        <w:gridCol w:w="1703"/>
      </w:tblGrid>
      <w:tr>
        <w:tblPrEx>
          <w:tblCellMar>
            <w:top w:w="0" w:type="dxa"/>
            <w:left w:w="108" w:type="dxa"/>
            <w:bottom w:w="0" w:type="dxa"/>
            <w:right w:w="108" w:type="dxa"/>
          </w:tblCellMar>
        </w:tblPrEx>
        <w:trPr>
          <w:trHeight w:val="776" w:hRule="atLeast"/>
        </w:trPr>
        <w:tc>
          <w:tcPr>
            <w:tcW w:w="1327" w:type="dxa"/>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对象</w:t>
            </w:r>
          </w:p>
        </w:tc>
        <w:tc>
          <w:tcPr>
            <w:tcW w:w="1900" w:type="dxa"/>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服务项目</w:t>
            </w:r>
          </w:p>
        </w:tc>
        <w:tc>
          <w:tcPr>
            <w:tcW w:w="3685" w:type="dxa"/>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服务内容</w:t>
            </w:r>
          </w:p>
        </w:tc>
        <w:tc>
          <w:tcPr>
            <w:tcW w:w="4820" w:type="dxa"/>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服务标准</w:t>
            </w:r>
          </w:p>
        </w:tc>
        <w:tc>
          <w:tcPr>
            <w:tcW w:w="1417" w:type="dxa"/>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服务类型</w:t>
            </w:r>
          </w:p>
        </w:tc>
        <w:tc>
          <w:tcPr>
            <w:tcW w:w="1703" w:type="dxa"/>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spacing w:val="-6"/>
                <w:kern w:val="0"/>
                <w:sz w:val="22"/>
                <w:szCs w:val="22"/>
              </w:rPr>
              <w:t>牵头落实部门</w:t>
            </w:r>
          </w:p>
        </w:tc>
      </w:tr>
      <w:tr>
        <w:tblPrEx>
          <w:tblCellMar>
            <w:top w:w="0" w:type="dxa"/>
            <w:left w:w="108" w:type="dxa"/>
            <w:bottom w:w="0" w:type="dxa"/>
            <w:right w:w="108" w:type="dxa"/>
          </w:tblCellMar>
        </w:tblPrEx>
        <w:trPr>
          <w:trHeight w:val="1426" w:hRule="atLeast"/>
        </w:trPr>
        <w:tc>
          <w:tcPr>
            <w:tcW w:w="1327" w:type="dxa"/>
            <w:vMerge w:val="restart"/>
            <w:tcBorders>
              <w:top w:val="single" w:color="000000" w:sz="4" w:space="0"/>
              <w:left w:val="single" w:color="000000" w:sz="12" w:space="0"/>
              <w:bottom w:val="single" w:color="000000" w:sz="4" w:space="0"/>
              <w:right w:val="single" w:color="000000" w:sz="4" w:space="0"/>
            </w:tcBorders>
            <w:noWrap/>
            <w:vAlign w:val="center"/>
          </w:tcPr>
          <w:p>
            <w:pPr>
              <w:widowControl/>
              <w:spacing w:line="320" w:lineRule="exact"/>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达到待遇</w:t>
            </w:r>
          </w:p>
          <w:p>
            <w:pPr>
              <w:widowControl/>
              <w:spacing w:line="320" w:lineRule="exact"/>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享受年龄的</w:t>
            </w:r>
          </w:p>
          <w:p>
            <w:pPr>
              <w:widowControl/>
              <w:spacing w:line="320" w:lineRule="exact"/>
              <w:jc w:val="center"/>
              <w:textAlignment w:val="center"/>
              <w:rPr>
                <w:rFonts w:eastAsia="方正楷体_GBK"/>
                <w:color w:val="000000"/>
                <w:sz w:val="22"/>
                <w:szCs w:val="22"/>
              </w:rPr>
            </w:pPr>
            <w:r>
              <w:rPr>
                <w:rFonts w:hint="eastAsia" w:ascii="黑体" w:hAnsi="黑体" w:eastAsia="黑体" w:cs="黑体"/>
                <w:color w:val="000000"/>
                <w:kern w:val="0"/>
                <w:sz w:val="22"/>
                <w:szCs w:val="22"/>
              </w:rPr>
              <w:t>老年人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1</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职工基本养老保险</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为符合条件的参保老年人按时足额发放基本养老金</w:t>
            </w:r>
            <w:r>
              <w:rPr>
                <w:szCs w:val="32"/>
              </w:rPr>
              <w:t>。</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参加职工基本养老保险的人员达到法定退休年龄、缴费年限（含视同缴费年限）累计满15年的，办理退休手续后，可按月领取基本养老金</w:t>
            </w:r>
            <w:r>
              <w:rPr>
                <w:szCs w:val="32"/>
              </w:rPr>
              <w:t>。</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3" w:type="dxa"/>
            <w:tcBorders>
              <w:top w:val="single" w:color="000000" w:sz="4" w:space="0"/>
              <w:left w:val="single" w:color="000000" w:sz="4" w:space="0"/>
              <w:bottom w:val="single" w:color="000000" w:sz="4" w:space="0"/>
              <w:right w:val="single" w:color="000000" w:sz="12" w:space="0"/>
            </w:tcBorders>
            <w:noWrap/>
            <w:vAlign w:val="center"/>
          </w:tcPr>
          <w:p>
            <w:pPr>
              <w:widowControl/>
              <w:spacing w:line="320" w:lineRule="exact"/>
              <w:jc w:val="center"/>
              <w:textAlignment w:val="center"/>
              <w:rPr>
                <w:color w:val="000000"/>
                <w:kern w:val="0"/>
                <w:sz w:val="22"/>
                <w:szCs w:val="22"/>
              </w:rPr>
            </w:pPr>
            <w:r>
              <w:rPr>
                <w:color w:val="000000"/>
                <w:kern w:val="0"/>
                <w:sz w:val="22"/>
                <w:szCs w:val="22"/>
              </w:rPr>
              <w:t>区人力资源和</w:t>
            </w:r>
          </w:p>
          <w:p>
            <w:pPr>
              <w:widowControl/>
              <w:spacing w:line="320" w:lineRule="exact"/>
              <w:jc w:val="center"/>
              <w:textAlignment w:val="center"/>
              <w:rPr>
                <w:color w:val="000000"/>
                <w:sz w:val="22"/>
                <w:szCs w:val="22"/>
              </w:rPr>
            </w:pPr>
            <w:r>
              <w:rPr>
                <w:color w:val="000000"/>
                <w:kern w:val="0"/>
                <w:sz w:val="22"/>
                <w:szCs w:val="22"/>
              </w:rPr>
              <w:t>社会保障局</w:t>
            </w:r>
          </w:p>
        </w:tc>
      </w:tr>
      <w:tr>
        <w:tblPrEx>
          <w:tblCellMar>
            <w:top w:w="0" w:type="dxa"/>
            <w:left w:w="108" w:type="dxa"/>
            <w:bottom w:w="0" w:type="dxa"/>
            <w:right w:w="108" w:type="dxa"/>
          </w:tblCellMar>
        </w:tblPrEx>
        <w:trPr>
          <w:trHeight w:val="1609" w:hRule="atLeast"/>
        </w:trPr>
        <w:tc>
          <w:tcPr>
            <w:tcW w:w="1327" w:type="dxa"/>
            <w:vMerge w:val="continue"/>
            <w:tcBorders>
              <w:top w:val="single" w:color="000000" w:sz="4" w:space="0"/>
              <w:left w:val="single" w:color="000000" w:sz="12" w:space="0"/>
              <w:bottom w:val="single" w:color="000000" w:sz="4" w:space="0"/>
              <w:right w:val="single" w:color="000000" w:sz="4" w:space="0"/>
            </w:tcBorders>
            <w:noWrap/>
            <w:vAlign w:val="center"/>
          </w:tcP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2</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城乡居民基本养老保险</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为符合条件的参保老年人发放基础养老金和个人帐户养老金</w:t>
            </w:r>
            <w:r>
              <w:rPr>
                <w:szCs w:val="32"/>
              </w:rPr>
              <w:t>。</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参加城乡居民基本养老保险的个人，年满60周岁、累计缴费满15年且未领取国家规定的基本养老保障待遇的，可以按月领取城乡居民基本养老保险待遇</w:t>
            </w:r>
            <w:r>
              <w:rPr>
                <w:szCs w:val="32"/>
              </w:rPr>
              <w:t>。</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3" w:type="dxa"/>
            <w:tcBorders>
              <w:top w:val="single" w:color="000000" w:sz="4" w:space="0"/>
              <w:left w:val="single" w:color="000000" w:sz="4" w:space="0"/>
              <w:bottom w:val="single" w:color="000000" w:sz="4" w:space="0"/>
              <w:right w:val="single" w:color="000000" w:sz="12" w:space="0"/>
            </w:tcBorders>
            <w:noWrap/>
            <w:vAlign w:val="center"/>
          </w:tcPr>
          <w:p>
            <w:pPr>
              <w:widowControl/>
              <w:spacing w:line="320" w:lineRule="exact"/>
              <w:jc w:val="center"/>
              <w:textAlignment w:val="center"/>
              <w:rPr>
                <w:color w:val="000000"/>
                <w:kern w:val="0"/>
                <w:sz w:val="22"/>
                <w:szCs w:val="22"/>
              </w:rPr>
            </w:pPr>
            <w:r>
              <w:rPr>
                <w:color w:val="000000"/>
                <w:kern w:val="0"/>
                <w:sz w:val="22"/>
                <w:szCs w:val="22"/>
              </w:rPr>
              <w:t>区人力资源和</w:t>
            </w:r>
          </w:p>
          <w:p>
            <w:pPr>
              <w:widowControl/>
              <w:spacing w:line="320" w:lineRule="exact"/>
              <w:jc w:val="center"/>
              <w:textAlignment w:val="center"/>
              <w:rPr>
                <w:color w:val="000000"/>
                <w:sz w:val="22"/>
                <w:szCs w:val="22"/>
              </w:rPr>
            </w:pPr>
            <w:r>
              <w:rPr>
                <w:color w:val="000000"/>
                <w:kern w:val="0"/>
                <w:sz w:val="22"/>
                <w:szCs w:val="22"/>
              </w:rPr>
              <w:t>社会保障局</w:t>
            </w:r>
          </w:p>
        </w:tc>
      </w:tr>
      <w:tr>
        <w:tblPrEx>
          <w:tblCellMar>
            <w:top w:w="0" w:type="dxa"/>
            <w:left w:w="108" w:type="dxa"/>
            <w:bottom w:w="0" w:type="dxa"/>
            <w:right w:w="108" w:type="dxa"/>
          </w:tblCellMar>
        </w:tblPrEx>
        <w:trPr>
          <w:trHeight w:val="1822" w:hRule="atLeast"/>
        </w:trPr>
        <w:tc>
          <w:tcPr>
            <w:tcW w:w="1327" w:type="dxa"/>
            <w:vMerge w:val="restart"/>
            <w:tcBorders>
              <w:top w:val="single" w:color="000000" w:sz="4" w:space="0"/>
              <w:left w:val="single" w:color="000000" w:sz="12" w:space="0"/>
              <w:bottom w:val="single" w:color="000000" w:sz="4" w:space="0"/>
              <w:right w:val="single" w:color="000000" w:sz="4" w:space="0"/>
            </w:tcBorders>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60周岁及</w:t>
            </w:r>
          </w:p>
          <w:p>
            <w:pPr>
              <w:widowControl/>
              <w:spacing w:line="320" w:lineRule="exact"/>
              <w:jc w:val="center"/>
              <w:textAlignment w:val="center"/>
              <w:rPr>
                <w:rFonts w:eastAsia="方正楷体_GBK"/>
                <w:color w:val="000000"/>
                <w:sz w:val="22"/>
                <w:szCs w:val="22"/>
              </w:rPr>
            </w:pPr>
            <w:r>
              <w:rPr>
                <w:rFonts w:eastAsia="黑体"/>
                <w:color w:val="000000"/>
                <w:kern w:val="0"/>
                <w:sz w:val="22"/>
                <w:szCs w:val="22"/>
              </w:rPr>
              <w:t>以上老年人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3</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司法救助</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老年人追索赡养费等，因被执行人没有履行能力，申请执行人陷入生活困难，符合司法救助条件的，应当优先、及时提供司法救助</w:t>
            </w:r>
            <w:r>
              <w:rPr>
                <w:szCs w:val="32"/>
              </w:rPr>
              <w:t>。</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免交诉讼费</w:t>
            </w:r>
            <w:r>
              <w:rPr>
                <w:szCs w:val="32"/>
              </w:rPr>
              <w:t>。</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关爱服务</w:t>
            </w:r>
          </w:p>
        </w:tc>
        <w:tc>
          <w:tcPr>
            <w:tcW w:w="1703" w:type="dxa"/>
            <w:tcBorders>
              <w:top w:val="single" w:color="000000" w:sz="4" w:space="0"/>
              <w:left w:val="single" w:color="000000" w:sz="4" w:space="0"/>
              <w:bottom w:val="single" w:color="000000" w:sz="4" w:space="0"/>
              <w:right w:val="single" w:color="000000" w:sz="12" w:space="0"/>
            </w:tcBorders>
            <w:noWrap/>
            <w:vAlign w:val="center"/>
          </w:tcPr>
          <w:p>
            <w:pPr>
              <w:widowControl/>
              <w:spacing w:line="320" w:lineRule="exact"/>
              <w:jc w:val="center"/>
              <w:textAlignment w:val="center"/>
              <w:rPr>
                <w:color w:val="000000"/>
                <w:sz w:val="22"/>
                <w:szCs w:val="22"/>
              </w:rPr>
            </w:pPr>
            <w:r>
              <w:rPr>
                <w:color w:val="000000"/>
                <w:kern w:val="0"/>
                <w:sz w:val="22"/>
                <w:szCs w:val="22"/>
              </w:rPr>
              <w:t>区法院</w:t>
            </w:r>
          </w:p>
        </w:tc>
      </w:tr>
      <w:tr>
        <w:tblPrEx>
          <w:tblCellMar>
            <w:top w:w="0" w:type="dxa"/>
            <w:left w:w="108" w:type="dxa"/>
            <w:bottom w:w="0" w:type="dxa"/>
            <w:right w:w="108" w:type="dxa"/>
          </w:tblCellMar>
        </w:tblPrEx>
        <w:trPr>
          <w:trHeight w:val="1554" w:hRule="atLeast"/>
        </w:trPr>
        <w:tc>
          <w:tcPr>
            <w:tcW w:w="1327" w:type="dxa"/>
            <w:vMerge w:val="continue"/>
            <w:tcBorders>
              <w:top w:val="single" w:color="000000" w:sz="4" w:space="0"/>
              <w:left w:val="single" w:color="000000" w:sz="12" w:space="0"/>
              <w:bottom w:val="single" w:color="000000" w:sz="12" w:space="0"/>
              <w:right w:val="single" w:color="000000" w:sz="4" w:space="0"/>
            </w:tcBorders>
            <w:noWrap/>
            <w:vAlign w:val="center"/>
          </w:tcPr>
          <w:p/>
        </w:tc>
        <w:tc>
          <w:tcPr>
            <w:tcW w:w="600" w:type="dxa"/>
            <w:tcBorders>
              <w:top w:val="single" w:color="000000" w:sz="4" w:space="0"/>
              <w:left w:val="single" w:color="000000" w:sz="4" w:space="0"/>
              <w:bottom w:val="single" w:color="000000" w:sz="12"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4</w:t>
            </w:r>
          </w:p>
        </w:tc>
        <w:tc>
          <w:tcPr>
            <w:tcW w:w="1300" w:type="dxa"/>
            <w:tcBorders>
              <w:top w:val="single" w:color="000000" w:sz="4" w:space="0"/>
              <w:left w:val="single" w:color="000000" w:sz="4" w:space="0"/>
              <w:bottom w:val="single" w:color="000000" w:sz="12"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户口迁移</w:t>
            </w:r>
          </w:p>
        </w:tc>
        <w:tc>
          <w:tcPr>
            <w:tcW w:w="3685" w:type="dxa"/>
            <w:tcBorders>
              <w:top w:val="single" w:color="000000" w:sz="4" w:space="0"/>
              <w:left w:val="single" w:color="000000" w:sz="4" w:space="0"/>
              <w:bottom w:val="single" w:color="000000" w:sz="12"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除有明确规定的人口严格管控地区外，老年人可自愿将户口迁移到其成年子女常住户口所在地</w:t>
            </w:r>
            <w:r>
              <w:rPr>
                <w:szCs w:val="32"/>
              </w:rPr>
              <w:t>。</w:t>
            </w:r>
          </w:p>
        </w:tc>
        <w:tc>
          <w:tcPr>
            <w:tcW w:w="4820" w:type="dxa"/>
            <w:tcBorders>
              <w:top w:val="single" w:color="000000" w:sz="4" w:space="0"/>
              <w:left w:val="single" w:color="000000" w:sz="4" w:space="0"/>
              <w:bottom w:val="single" w:color="000000" w:sz="12" w:space="0"/>
              <w:right w:val="single" w:color="000000" w:sz="4" w:space="0"/>
            </w:tcBorders>
            <w:noWrap/>
            <w:vAlign w:val="center"/>
          </w:tcPr>
          <w:p>
            <w:pPr>
              <w:widowControl/>
              <w:spacing w:line="320" w:lineRule="exact"/>
              <w:textAlignment w:val="center"/>
              <w:rPr>
                <w:color w:val="000000"/>
                <w:sz w:val="22"/>
                <w:szCs w:val="22"/>
              </w:rPr>
            </w:pPr>
            <w:r>
              <w:rPr>
                <w:color w:val="000000"/>
                <w:kern w:val="0"/>
                <w:sz w:val="22"/>
                <w:szCs w:val="22"/>
              </w:rPr>
              <w:t>个人提出申请，县级公安机关核准，在5个工作日内办结</w:t>
            </w:r>
            <w:r>
              <w:rPr>
                <w:szCs w:val="32"/>
              </w:rPr>
              <w:t>。</w:t>
            </w:r>
          </w:p>
        </w:tc>
        <w:tc>
          <w:tcPr>
            <w:tcW w:w="1417" w:type="dxa"/>
            <w:tcBorders>
              <w:top w:val="single" w:color="000000" w:sz="4" w:space="0"/>
              <w:left w:val="single" w:color="000000" w:sz="4" w:space="0"/>
              <w:bottom w:val="single" w:color="000000" w:sz="12" w:space="0"/>
              <w:right w:val="single" w:color="000000" w:sz="4" w:space="0"/>
            </w:tcBorders>
            <w:noWrap/>
            <w:vAlign w:val="center"/>
          </w:tcPr>
          <w:p>
            <w:pPr>
              <w:widowControl/>
              <w:spacing w:line="320" w:lineRule="exact"/>
              <w:jc w:val="center"/>
              <w:textAlignment w:val="center"/>
              <w:rPr>
                <w:color w:val="000000"/>
                <w:sz w:val="22"/>
                <w:szCs w:val="22"/>
              </w:rPr>
            </w:pPr>
            <w:r>
              <w:rPr>
                <w:color w:val="000000"/>
                <w:kern w:val="0"/>
                <w:sz w:val="22"/>
                <w:szCs w:val="22"/>
              </w:rPr>
              <w:t>关爱服务</w:t>
            </w:r>
          </w:p>
        </w:tc>
        <w:tc>
          <w:tcPr>
            <w:tcW w:w="1703" w:type="dxa"/>
            <w:tcBorders>
              <w:top w:val="single" w:color="000000" w:sz="4" w:space="0"/>
              <w:left w:val="single" w:color="000000" w:sz="4" w:space="0"/>
              <w:bottom w:val="single" w:color="000000" w:sz="12" w:space="0"/>
              <w:right w:val="single" w:color="000000" w:sz="12" w:space="0"/>
            </w:tcBorders>
            <w:noWrap/>
            <w:vAlign w:val="center"/>
          </w:tcPr>
          <w:p>
            <w:pPr>
              <w:widowControl/>
              <w:spacing w:line="320" w:lineRule="exact"/>
              <w:jc w:val="center"/>
              <w:textAlignment w:val="center"/>
              <w:rPr>
                <w:color w:val="000000"/>
                <w:sz w:val="22"/>
                <w:szCs w:val="22"/>
              </w:rPr>
            </w:pPr>
            <w:r>
              <w:rPr>
                <w:color w:val="000000"/>
                <w:kern w:val="0"/>
                <w:sz w:val="22"/>
                <w:szCs w:val="22"/>
              </w:rPr>
              <w:t>海港公安分局</w:t>
            </w:r>
          </w:p>
        </w:tc>
      </w:tr>
    </w:tbl>
    <w:tbl>
      <w:tblPr>
        <w:tblStyle w:val="3"/>
        <w:tblpPr w:leftFromText="180" w:rightFromText="180" w:vertAnchor="text" w:horzAnchor="page" w:tblpX="1121" w:tblpY="541"/>
        <w:tblOverlap w:val="never"/>
        <w:tblW w:w="14850" w:type="dxa"/>
        <w:tblInd w:w="0" w:type="dxa"/>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567"/>
        <w:gridCol w:w="1276"/>
        <w:gridCol w:w="3685"/>
        <w:gridCol w:w="4820"/>
        <w:gridCol w:w="1417"/>
        <w:gridCol w:w="1701"/>
      </w:tblGrid>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1384" w:type="dxa"/>
            <w:noWrap/>
            <w:vAlign w:val="center"/>
          </w:tcPr>
          <w:p>
            <w:pPr>
              <w:spacing w:line="320" w:lineRule="exact"/>
              <w:jc w:val="center"/>
              <w:rPr>
                <w:rFonts w:eastAsia="黑体"/>
                <w:color w:val="000000"/>
                <w:kern w:val="0"/>
                <w:sz w:val="22"/>
                <w:szCs w:val="22"/>
              </w:rPr>
            </w:pPr>
            <w:r>
              <w:rPr>
                <w:rFonts w:eastAsia="黑体"/>
                <w:color w:val="000000"/>
                <w:kern w:val="0"/>
                <w:sz w:val="22"/>
                <w:szCs w:val="22"/>
              </w:rPr>
              <w:t>60周岁及</w:t>
            </w:r>
          </w:p>
          <w:p>
            <w:pPr>
              <w:spacing w:line="320" w:lineRule="exact"/>
              <w:jc w:val="center"/>
              <w:rPr>
                <w:rFonts w:eastAsia="黑体"/>
                <w:color w:val="000000"/>
                <w:sz w:val="22"/>
                <w:szCs w:val="22"/>
              </w:rPr>
            </w:pPr>
            <w:r>
              <w:rPr>
                <w:rFonts w:eastAsia="黑体"/>
                <w:color w:val="000000"/>
                <w:kern w:val="0"/>
                <w:sz w:val="22"/>
                <w:szCs w:val="22"/>
              </w:rPr>
              <w:t>以上老年人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5</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旅游服务</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实行政府定价、政府指导价的旅游景区，对70周岁（含）以上老年人免门票，60周岁（含）至70周岁（不含）老年人执行半价门票</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老年人凭借身份证等有效证件，直接享受免费或优惠服务</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关爱服务</w:t>
            </w:r>
          </w:p>
        </w:tc>
        <w:tc>
          <w:tcPr>
            <w:tcW w:w="1701" w:type="dxa"/>
            <w:noWrap/>
            <w:vAlign w:val="center"/>
          </w:tcPr>
          <w:p>
            <w:pPr>
              <w:widowControl/>
              <w:spacing w:line="320" w:lineRule="exact"/>
              <w:jc w:val="center"/>
              <w:textAlignment w:val="center"/>
              <w:rPr>
                <w:color w:val="000000"/>
                <w:spacing w:val="-20"/>
                <w:sz w:val="22"/>
                <w:szCs w:val="22"/>
              </w:rPr>
            </w:pPr>
            <w:r>
              <w:rPr>
                <w:color w:val="000000"/>
                <w:spacing w:val="-20"/>
                <w:kern w:val="0"/>
                <w:sz w:val="22"/>
                <w:szCs w:val="22"/>
              </w:rPr>
              <w:t>区发展和改革局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1384" w:type="dxa"/>
            <w:vMerge w:val="restart"/>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65周岁及</w:t>
            </w:r>
          </w:p>
          <w:p>
            <w:pPr>
              <w:widowControl/>
              <w:spacing w:line="320" w:lineRule="exact"/>
              <w:jc w:val="center"/>
              <w:textAlignment w:val="center"/>
              <w:rPr>
                <w:rFonts w:eastAsia="黑体"/>
                <w:color w:val="000000"/>
                <w:sz w:val="22"/>
                <w:szCs w:val="22"/>
              </w:rPr>
            </w:pPr>
            <w:r>
              <w:rPr>
                <w:rFonts w:eastAsia="黑体"/>
                <w:color w:val="000000"/>
                <w:kern w:val="0"/>
                <w:sz w:val="22"/>
                <w:szCs w:val="22"/>
              </w:rPr>
              <w:t>以上老年人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6</w:t>
            </w:r>
          </w:p>
        </w:tc>
        <w:tc>
          <w:tcPr>
            <w:tcW w:w="1276" w:type="dxa"/>
            <w:noWrap/>
            <w:vAlign w:val="center"/>
          </w:tcPr>
          <w:p>
            <w:pPr>
              <w:widowControl/>
              <w:spacing w:line="320" w:lineRule="exact"/>
              <w:jc w:val="center"/>
              <w:textAlignment w:val="center"/>
              <w:rPr>
                <w:color w:val="000000"/>
                <w:kern w:val="0"/>
                <w:sz w:val="22"/>
                <w:szCs w:val="22"/>
              </w:rPr>
            </w:pPr>
            <w:r>
              <w:rPr>
                <w:color w:val="000000"/>
                <w:kern w:val="0"/>
                <w:sz w:val="22"/>
                <w:szCs w:val="22"/>
              </w:rPr>
              <w:t>老年人</w:t>
            </w:r>
          </w:p>
          <w:p>
            <w:pPr>
              <w:widowControl/>
              <w:spacing w:line="320" w:lineRule="exact"/>
              <w:jc w:val="center"/>
              <w:textAlignment w:val="center"/>
              <w:rPr>
                <w:color w:val="000000"/>
                <w:sz w:val="22"/>
                <w:szCs w:val="22"/>
              </w:rPr>
            </w:pPr>
            <w:r>
              <w:rPr>
                <w:color w:val="000000"/>
                <w:kern w:val="0"/>
                <w:sz w:val="22"/>
                <w:szCs w:val="22"/>
              </w:rPr>
              <w:t>能力综合评估</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为65周岁及以上老年人提供能力综合评估，做好老年人能力综合评估与健康状况评估的衔接</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65周岁及以上老年人自愿申请，县级政府民政部门按照国家标准免费进行能力综合评估</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44" w:hRule="atLeast"/>
        </w:trPr>
        <w:tc>
          <w:tcPr>
            <w:tcW w:w="1384" w:type="dxa"/>
            <w:vMerge w:val="continue"/>
            <w:noWrap/>
            <w:vAlign w:val="center"/>
          </w:tcPr>
          <w:p>
            <w:pPr>
              <w:rPr>
                <w:rFonts w:eastAsia="黑体"/>
              </w:rPr>
            </w:pP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7</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健康管理</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为65周岁及以上老年人免费建立电子健康档案，进行健康指导，每年为65周岁及以上老年人免费提供包括体检在内的健康管理服务</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电子健康档案包括个人基本信息、健康体检、健康状况评估等内容；健康管理服务每年免费提供1次，包括生活方式和健康状况评估、体格检查、辅助检查、健康指导</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sz w:val="22"/>
                <w:szCs w:val="22"/>
              </w:rPr>
            </w:pPr>
            <w:r>
              <w:rPr>
                <w:color w:val="000000"/>
                <w:spacing w:val="-11"/>
                <w:kern w:val="0"/>
                <w:sz w:val="22"/>
                <w:szCs w:val="22"/>
              </w:rPr>
              <w:t>区卫生健康局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80周岁及</w:t>
            </w:r>
          </w:p>
          <w:p>
            <w:pPr>
              <w:widowControl/>
              <w:spacing w:line="320" w:lineRule="exact"/>
              <w:jc w:val="center"/>
              <w:textAlignment w:val="center"/>
              <w:rPr>
                <w:rFonts w:eastAsia="黑体"/>
                <w:color w:val="000000"/>
                <w:sz w:val="22"/>
                <w:szCs w:val="22"/>
              </w:rPr>
            </w:pPr>
            <w:r>
              <w:rPr>
                <w:rFonts w:eastAsia="黑体"/>
                <w:color w:val="000000"/>
                <w:kern w:val="0"/>
                <w:sz w:val="22"/>
                <w:szCs w:val="22"/>
              </w:rPr>
              <w:t>以上老年人</w:t>
            </w:r>
          </w:p>
        </w:tc>
        <w:tc>
          <w:tcPr>
            <w:tcW w:w="567" w:type="dxa"/>
            <w:noWrap/>
            <w:vAlign w:val="center"/>
          </w:tcPr>
          <w:p>
            <w:pPr>
              <w:widowControl/>
              <w:spacing w:line="320" w:lineRule="exact"/>
              <w:jc w:val="center"/>
              <w:textAlignment w:val="center"/>
              <w:rPr>
                <w:color w:val="000000"/>
                <w:sz w:val="22"/>
                <w:szCs w:val="22"/>
              </w:rPr>
            </w:pPr>
            <w:r>
              <w:rPr>
                <w:rFonts w:hint="eastAsia"/>
                <w:color w:val="000000"/>
                <w:kern w:val="0"/>
                <w:sz w:val="22"/>
                <w:szCs w:val="22"/>
              </w:rPr>
              <w:t>8</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高龄津贴</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为80周岁及以上老年人发放高龄津贴</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补贴标准由市、县（区）政府根据本地经济社会发展水平确定，各县区可根据本辖区实际情况调整高龄津贴金额，但不得低于市级标准</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1384" w:type="dxa"/>
            <w:vMerge w:val="restart"/>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经济困难的</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rFonts w:hint="eastAsia"/>
                <w:color w:val="000000"/>
                <w:kern w:val="0"/>
                <w:sz w:val="22"/>
                <w:szCs w:val="22"/>
              </w:rPr>
              <w:t>9</w:t>
            </w:r>
          </w:p>
        </w:tc>
        <w:tc>
          <w:tcPr>
            <w:tcW w:w="1276" w:type="dxa"/>
            <w:noWrap/>
            <w:vAlign w:val="center"/>
          </w:tcPr>
          <w:p>
            <w:pPr>
              <w:widowControl/>
              <w:spacing w:line="320" w:lineRule="exact"/>
              <w:jc w:val="center"/>
              <w:textAlignment w:val="center"/>
              <w:rPr>
                <w:color w:val="000000"/>
                <w:kern w:val="0"/>
                <w:sz w:val="22"/>
                <w:szCs w:val="22"/>
              </w:rPr>
            </w:pPr>
            <w:r>
              <w:rPr>
                <w:color w:val="000000"/>
                <w:kern w:val="0"/>
                <w:sz w:val="22"/>
                <w:szCs w:val="22"/>
              </w:rPr>
              <w:t>养老服务</w:t>
            </w:r>
          </w:p>
          <w:p>
            <w:pPr>
              <w:widowControl/>
              <w:spacing w:line="320" w:lineRule="exact"/>
              <w:jc w:val="center"/>
              <w:textAlignment w:val="center"/>
              <w:rPr>
                <w:color w:val="000000"/>
                <w:sz w:val="22"/>
                <w:szCs w:val="22"/>
              </w:rPr>
            </w:pPr>
            <w:r>
              <w:rPr>
                <w:color w:val="000000"/>
                <w:kern w:val="0"/>
                <w:sz w:val="22"/>
                <w:szCs w:val="22"/>
              </w:rPr>
              <w:t>补贴</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为经济困难的老年人提供养老服务补贴</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补贴标准由县（区）政府根据本地经济社会发展水平确定，其中经济困难的80周岁及以上老年人每人每月不低于100元（自2023年1月1日开始执行）</w:t>
            </w:r>
            <w:r>
              <w:rPr>
                <w:szCs w:val="32"/>
              </w:rPr>
              <w:t>。</w:t>
            </w:r>
          </w:p>
        </w:tc>
        <w:tc>
          <w:tcPr>
            <w:tcW w:w="1417" w:type="dxa"/>
            <w:noWrap/>
            <w:vAlign w:val="center"/>
          </w:tcPr>
          <w:p>
            <w:pPr>
              <w:widowControl/>
              <w:spacing w:line="320" w:lineRule="exact"/>
              <w:jc w:val="center"/>
              <w:textAlignment w:val="center"/>
              <w:rPr>
                <w:sz w:val="22"/>
                <w:szCs w:val="22"/>
              </w:rPr>
            </w:pPr>
            <w:r>
              <w:rPr>
                <w:kern w:val="0"/>
                <w:sz w:val="22"/>
                <w:szCs w:val="22"/>
              </w:rPr>
              <w:t>物质帮助</w:t>
            </w:r>
          </w:p>
        </w:tc>
        <w:tc>
          <w:tcPr>
            <w:tcW w:w="1701" w:type="dxa"/>
            <w:noWrap/>
            <w:vAlign w:val="center"/>
          </w:tcPr>
          <w:p>
            <w:pPr>
              <w:widowControl/>
              <w:spacing w:line="320" w:lineRule="exact"/>
              <w:jc w:val="center"/>
              <w:textAlignment w:val="center"/>
              <w:rPr>
                <w:sz w:val="22"/>
                <w:szCs w:val="22"/>
              </w:rPr>
            </w:pPr>
            <w:r>
              <w:rPr>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1" w:hRule="atLeast"/>
        </w:trPr>
        <w:tc>
          <w:tcPr>
            <w:tcW w:w="1384" w:type="dxa"/>
            <w:vMerge w:val="continue"/>
            <w:noWrap/>
            <w:vAlign w:val="center"/>
          </w:tcPr>
          <w:p>
            <w:pPr>
              <w:rPr>
                <w:rFonts w:eastAsia="黑体"/>
              </w:rPr>
            </w:pP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0</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家庭适老化改造</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按照相关标准，分年度逐步为经济困难的老年人家庭提供无障碍改造服务</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根据民政部等9部门《关于加快实施老年人居家适老化改造工程的指导意见》有关要求，按照《河北省居家适老化改造技术指南（试行版）》，采取政府补贴的方式，分年度实施居家适老化改造，提升居家养老生活品质</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24" w:hRule="atLeast"/>
        </w:trPr>
        <w:tc>
          <w:tcPr>
            <w:tcW w:w="1384" w:type="dxa"/>
            <w:vMerge w:val="restart"/>
            <w:noWrap/>
            <w:vAlign w:val="center"/>
          </w:tcPr>
          <w:p>
            <w:pPr>
              <w:widowControl/>
              <w:spacing w:line="320" w:lineRule="exact"/>
              <w:jc w:val="center"/>
              <w:textAlignment w:val="center"/>
              <w:rPr>
                <w:rFonts w:eastAsia="黑体"/>
                <w:color w:val="000000"/>
                <w:sz w:val="22"/>
                <w:szCs w:val="22"/>
              </w:rPr>
            </w:pPr>
            <w:r>
              <w:rPr>
                <w:rFonts w:eastAsia="黑体"/>
                <w:color w:val="000000"/>
                <w:kern w:val="0"/>
                <w:sz w:val="22"/>
                <w:szCs w:val="22"/>
              </w:rPr>
              <w:t>经认定生活不能自理的老年人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1</w:t>
            </w:r>
          </w:p>
        </w:tc>
        <w:tc>
          <w:tcPr>
            <w:tcW w:w="1276" w:type="dxa"/>
            <w:noWrap/>
            <w:vAlign w:val="center"/>
          </w:tcPr>
          <w:p>
            <w:pPr>
              <w:widowControl/>
              <w:spacing w:line="320" w:lineRule="exact"/>
              <w:jc w:val="center"/>
              <w:textAlignment w:val="center"/>
              <w:rPr>
                <w:color w:val="000000"/>
                <w:sz w:val="22"/>
                <w:szCs w:val="22"/>
              </w:rPr>
            </w:pPr>
            <w:r>
              <w:rPr>
                <w:kern w:val="0"/>
                <w:sz w:val="22"/>
                <w:szCs w:val="22"/>
              </w:rPr>
              <w:t>护理补贴</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为经认定生活不能自理的经济困难老年人提供护理补贴</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为经认定生活不能自理的60周岁及以上经济困难老年人按照每人每月不低于100元标准发放护理补贴（自2023年1月1日开始执行）</w:t>
            </w:r>
            <w:r>
              <w:rPr>
                <w:szCs w:val="32"/>
              </w:rPr>
              <w:t>。</w:t>
            </w:r>
          </w:p>
        </w:tc>
        <w:tc>
          <w:tcPr>
            <w:tcW w:w="1417" w:type="dxa"/>
            <w:noWrap/>
            <w:vAlign w:val="center"/>
          </w:tcPr>
          <w:p>
            <w:pPr>
              <w:widowControl/>
              <w:spacing w:line="320" w:lineRule="exact"/>
              <w:jc w:val="center"/>
              <w:textAlignment w:val="center"/>
              <w:rPr>
                <w:sz w:val="22"/>
                <w:szCs w:val="22"/>
              </w:rPr>
            </w:pPr>
            <w:r>
              <w:rPr>
                <w:kern w:val="0"/>
                <w:sz w:val="22"/>
                <w:szCs w:val="22"/>
              </w:rPr>
              <w:t>物质帮助</w:t>
            </w:r>
          </w:p>
        </w:tc>
        <w:tc>
          <w:tcPr>
            <w:tcW w:w="1701" w:type="dxa"/>
            <w:noWrap/>
            <w:vAlign w:val="center"/>
          </w:tcPr>
          <w:p>
            <w:pPr>
              <w:widowControl/>
              <w:spacing w:line="320" w:lineRule="exact"/>
              <w:jc w:val="center"/>
              <w:textAlignment w:val="center"/>
              <w:rPr>
                <w:sz w:val="22"/>
                <w:szCs w:val="22"/>
              </w:rPr>
            </w:pPr>
            <w:r>
              <w:rPr>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1384" w:type="dxa"/>
            <w:vMerge w:val="continue"/>
            <w:noWrap/>
            <w:vAlign w:val="center"/>
          </w:tcPr>
          <w:p>
            <w:pPr>
              <w:rPr>
                <w:rFonts w:eastAsia="黑体"/>
              </w:rPr>
            </w:pP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2</w:t>
            </w:r>
          </w:p>
        </w:tc>
        <w:tc>
          <w:tcPr>
            <w:tcW w:w="1276" w:type="dxa"/>
            <w:noWrap/>
            <w:vAlign w:val="center"/>
          </w:tcPr>
          <w:p>
            <w:pPr>
              <w:widowControl/>
              <w:spacing w:line="320" w:lineRule="exact"/>
              <w:jc w:val="center"/>
              <w:textAlignment w:val="center"/>
              <w:rPr>
                <w:color w:val="000000"/>
                <w:kern w:val="0"/>
                <w:sz w:val="22"/>
                <w:szCs w:val="22"/>
              </w:rPr>
            </w:pPr>
            <w:r>
              <w:rPr>
                <w:color w:val="000000"/>
                <w:kern w:val="0"/>
                <w:sz w:val="22"/>
                <w:szCs w:val="22"/>
              </w:rPr>
              <w:t>家庭养老</w:t>
            </w:r>
          </w:p>
          <w:p>
            <w:pPr>
              <w:widowControl/>
              <w:spacing w:line="320" w:lineRule="exact"/>
              <w:jc w:val="center"/>
              <w:textAlignment w:val="center"/>
              <w:rPr>
                <w:color w:val="000000"/>
                <w:sz w:val="22"/>
                <w:szCs w:val="22"/>
              </w:rPr>
            </w:pPr>
            <w:r>
              <w:rPr>
                <w:color w:val="000000"/>
                <w:kern w:val="0"/>
                <w:sz w:val="22"/>
                <w:szCs w:val="22"/>
              </w:rPr>
              <w:t>支持服务</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符合条件的失能老年人家庭成员参加照护培训等相关职业技能培训的，按规定给予职业培训补贴</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按照相关规定给予补贴</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kern w:val="0"/>
                <w:sz w:val="22"/>
                <w:szCs w:val="22"/>
              </w:rPr>
            </w:pPr>
            <w:r>
              <w:rPr>
                <w:color w:val="000000"/>
                <w:kern w:val="0"/>
                <w:sz w:val="22"/>
                <w:szCs w:val="22"/>
              </w:rPr>
              <w:t>区人力资源和</w:t>
            </w:r>
          </w:p>
          <w:p>
            <w:pPr>
              <w:widowControl/>
              <w:spacing w:line="320" w:lineRule="exact"/>
              <w:jc w:val="center"/>
              <w:textAlignment w:val="center"/>
              <w:rPr>
                <w:color w:val="000000"/>
                <w:sz w:val="22"/>
                <w:szCs w:val="22"/>
              </w:rPr>
            </w:pPr>
            <w:r>
              <w:rPr>
                <w:color w:val="000000"/>
                <w:kern w:val="0"/>
                <w:sz w:val="22"/>
                <w:szCs w:val="22"/>
              </w:rPr>
              <w:t>社会保障局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纳入最低</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生活保障</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范围的</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3</w:t>
            </w:r>
          </w:p>
        </w:tc>
        <w:tc>
          <w:tcPr>
            <w:tcW w:w="1276" w:type="dxa"/>
            <w:noWrap/>
            <w:vAlign w:val="center"/>
          </w:tcPr>
          <w:p>
            <w:pPr>
              <w:widowControl/>
              <w:spacing w:line="320" w:lineRule="exact"/>
              <w:jc w:val="center"/>
              <w:textAlignment w:val="center"/>
              <w:rPr>
                <w:color w:val="000000"/>
                <w:kern w:val="0"/>
                <w:sz w:val="22"/>
                <w:szCs w:val="22"/>
              </w:rPr>
            </w:pPr>
            <w:r>
              <w:rPr>
                <w:color w:val="000000"/>
                <w:kern w:val="0"/>
                <w:sz w:val="22"/>
                <w:szCs w:val="22"/>
              </w:rPr>
              <w:t>最低生活</w:t>
            </w:r>
          </w:p>
          <w:p>
            <w:pPr>
              <w:widowControl/>
              <w:spacing w:line="320" w:lineRule="exact"/>
              <w:jc w:val="center"/>
              <w:textAlignment w:val="center"/>
              <w:rPr>
                <w:color w:val="000000"/>
                <w:sz w:val="22"/>
                <w:szCs w:val="22"/>
              </w:rPr>
            </w:pPr>
            <w:r>
              <w:rPr>
                <w:color w:val="000000"/>
                <w:kern w:val="0"/>
                <w:sz w:val="22"/>
                <w:szCs w:val="22"/>
              </w:rPr>
              <w:t>保障</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对获得最低生活保障金后生活仍有困难的老年人，采取必要措施给予生活保障</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对符合条件的困难老年人综合运用发放临时救助金、发放实物和提供转介服务等多种救助方式，给予应急性、过渡性临时救助</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94" w:hRule="atLeast"/>
        </w:trPr>
        <w:tc>
          <w:tcPr>
            <w:tcW w:w="1384" w:type="dxa"/>
            <w:vMerge w:val="restart"/>
            <w:noWrap/>
            <w:vAlign w:val="center"/>
          </w:tcPr>
          <w:p>
            <w:pPr>
              <w:widowControl/>
              <w:spacing w:line="320" w:lineRule="exact"/>
              <w:jc w:val="center"/>
              <w:textAlignment w:val="center"/>
              <w:rPr>
                <w:rFonts w:eastAsia="黑体"/>
                <w:color w:val="000000"/>
                <w:sz w:val="22"/>
                <w:szCs w:val="22"/>
              </w:rPr>
            </w:pPr>
            <w:r>
              <w:rPr>
                <w:rFonts w:eastAsia="黑体"/>
                <w:color w:val="000000"/>
                <w:kern w:val="0"/>
                <w:sz w:val="22"/>
                <w:szCs w:val="22"/>
              </w:rPr>
              <w:t>特困老年人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4</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分散供养</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对选择在家供养的特困老年人，由县级政府民政部门依照有关规定给予分散供养，提供基本生活条件、疾病治疗、办理丧葬事宜等，对生活不能自理的给予照料</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对分散供养特困人员提供以下照料服务：①提供基本生活条件。通过实物或现金方式予以保障。②提供疾病治疗。全额资助参加城乡居民基本医疗保险的个人缴费部分。医疗费用按照医疗保障制度规定支付后仍有不足的，由救助供养经费予以支持。③提供照料服务。对生活不能自理的给予照料，包括日常生活、住院期间的必要照料等基本服务。④办理丧葬事宜。丧葬费用从救助供养经费中支出。⑤对符合规定标准的住房困难的分散供养特困人员，通过配租公共租赁住房、发放住房租赁补贴、农村危房改造等方式给予住房救助</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1" w:hRule="atLeast"/>
        </w:trPr>
        <w:tc>
          <w:tcPr>
            <w:tcW w:w="1384" w:type="dxa"/>
            <w:vMerge w:val="continue"/>
            <w:noWrap/>
            <w:vAlign w:val="center"/>
          </w:tcPr>
          <w:p>
            <w:pPr>
              <w:rPr>
                <w:rFonts w:eastAsia="黑体"/>
              </w:rPr>
            </w:pP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5</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集中供养</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对需要集中供养的特困老年人，由县级政府民政部门按照便于管理的原则，就近安排到相应的供养服务机构，提供基本生活条件、疾病治疗、办理丧葬事宜等，对生活不能自理的给予照料</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按照《农村五保供养机构管理办法》《养老机构管理办法》有关要求提供集中供养服务，对有集中供养意愿的特困老年人全部实现集中供养</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特殊困难</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6</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探访服务</w:t>
            </w:r>
          </w:p>
        </w:tc>
        <w:tc>
          <w:tcPr>
            <w:tcW w:w="3685" w:type="dxa"/>
            <w:noWrap/>
            <w:vAlign w:val="center"/>
          </w:tcPr>
          <w:p>
            <w:pPr>
              <w:widowControl/>
              <w:spacing w:line="320" w:lineRule="exact"/>
              <w:textAlignment w:val="center"/>
              <w:rPr>
                <w:color w:val="000000"/>
                <w:spacing w:val="-6"/>
                <w:sz w:val="22"/>
                <w:szCs w:val="22"/>
              </w:rPr>
            </w:pPr>
            <w:r>
              <w:rPr>
                <w:color w:val="000000"/>
                <w:spacing w:val="-6"/>
                <w:kern w:val="0"/>
                <w:sz w:val="22"/>
                <w:szCs w:val="22"/>
              </w:rPr>
              <w:t>面向独居、空巢、留守、失能、重残、计划生育特殊家庭等老年人提供探访关爱服务</w:t>
            </w:r>
            <w:r>
              <w:rPr>
                <w:szCs w:val="32"/>
              </w:rPr>
              <w:t>。</w:t>
            </w:r>
          </w:p>
        </w:tc>
        <w:tc>
          <w:tcPr>
            <w:tcW w:w="4820" w:type="dxa"/>
            <w:noWrap/>
            <w:vAlign w:val="center"/>
          </w:tcPr>
          <w:p>
            <w:pPr>
              <w:widowControl/>
              <w:spacing w:line="320" w:lineRule="exact"/>
              <w:textAlignment w:val="center"/>
              <w:rPr>
                <w:color w:val="000000"/>
                <w:spacing w:val="-6"/>
                <w:sz w:val="22"/>
                <w:szCs w:val="22"/>
              </w:rPr>
            </w:pPr>
            <w:r>
              <w:rPr>
                <w:color w:val="000000"/>
                <w:spacing w:val="-6"/>
                <w:kern w:val="0"/>
                <w:sz w:val="22"/>
                <w:szCs w:val="22"/>
              </w:rPr>
              <w:t>对生活能够自理的特殊困难老年人，每月探访关爱不少于1次；对生活不能自理的特殊困难老年人应当适当增加探访次数，及时了解状况、提供帮助</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关爱服务</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对国家和</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社会作出</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特殊贡献</w:t>
            </w:r>
          </w:p>
          <w:p>
            <w:pPr>
              <w:widowControl/>
              <w:spacing w:line="320" w:lineRule="exact"/>
              <w:jc w:val="center"/>
              <w:textAlignment w:val="center"/>
              <w:rPr>
                <w:rFonts w:eastAsia="黑体"/>
                <w:color w:val="000000"/>
                <w:sz w:val="22"/>
                <w:szCs w:val="22"/>
              </w:rPr>
            </w:pPr>
            <w:r>
              <w:rPr>
                <w:rFonts w:eastAsia="黑体"/>
                <w:color w:val="000000"/>
                <w:kern w:val="0"/>
                <w:sz w:val="22"/>
                <w:szCs w:val="22"/>
              </w:rPr>
              <w:t>的老年人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7</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集中供养</w:t>
            </w:r>
          </w:p>
        </w:tc>
        <w:tc>
          <w:tcPr>
            <w:tcW w:w="3685" w:type="dxa"/>
            <w:noWrap/>
            <w:vAlign w:val="center"/>
          </w:tcPr>
          <w:p>
            <w:pPr>
              <w:widowControl/>
              <w:spacing w:line="300" w:lineRule="exact"/>
              <w:textAlignment w:val="center"/>
              <w:rPr>
                <w:color w:val="000000"/>
                <w:sz w:val="22"/>
                <w:szCs w:val="22"/>
              </w:rPr>
            </w:pPr>
            <w:r>
              <w:rPr>
                <w:color w:val="000000"/>
                <w:kern w:val="0"/>
                <w:sz w:val="22"/>
                <w:szCs w:val="22"/>
              </w:rPr>
              <w:t>老年烈士遗属、因公牺牲军人遗属、病故军人遗属和进入老年的残疾军人、复员军人、退伍军人，无法定赡养人、扶养人或法定赡养人、扶养人无赡养、扶养能力且享受国家定期抚恤补助待遇的，提供集中供养、医疗等保障</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按照《光荣院管理办法》提供集中供养服务</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kern w:val="0"/>
                <w:sz w:val="22"/>
                <w:szCs w:val="22"/>
              </w:rPr>
            </w:pPr>
            <w:r>
              <w:rPr>
                <w:color w:val="000000"/>
                <w:kern w:val="0"/>
                <w:sz w:val="22"/>
                <w:szCs w:val="22"/>
              </w:rPr>
              <w:t>区退役军人</w:t>
            </w:r>
          </w:p>
          <w:p>
            <w:pPr>
              <w:widowControl/>
              <w:spacing w:line="320" w:lineRule="exact"/>
              <w:jc w:val="center"/>
              <w:textAlignment w:val="center"/>
              <w:rPr>
                <w:color w:val="000000"/>
                <w:sz w:val="22"/>
                <w:szCs w:val="22"/>
              </w:rPr>
            </w:pPr>
            <w:r>
              <w:rPr>
                <w:color w:val="000000"/>
                <w:kern w:val="0"/>
                <w:sz w:val="22"/>
                <w:szCs w:val="22"/>
              </w:rPr>
              <w:t>事务局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计划生育</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特殊家庭</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1</w:t>
            </w:r>
            <w:r>
              <w:rPr>
                <w:rFonts w:hint="eastAsia"/>
                <w:color w:val="000000"/>
                <w:kern w:val="0"/>
                <w:sz w:val="22"/>
                <w:szCs w:val="22"/>
              </w:rPr>
              <w:t>8</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优先享受机构养老</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同等条件下优先入住政府投资兴办的养老机构</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由计划生育特殊家庭老年人提出申请，县级政府民政部门办理</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照护服务</w:t>
            </w:r>
          </w:p>
        </w:tc>
        <w:tc>
          <w:tcPr>
            <w:tcW w:w="1701" w:type="dxa"/>
            <w:noWrap/>
            <w:vAlign w:val="center"/>
          </w:tcPr>
          <w:p>
            <w:pPr>
              <w:widowControl/>
              <w:spacing w:line="320" w:lineRule="exact"/>
              <w:jc w:val="center"/>
              <w:textAlignment w:val="center"/>
              <w:rPr>
                <w:color w:val="000000"/>
                <w:kern w:val="0"/>
                <w:sz w:val="22"/>
                <w:szCs w:val="22"/>
              </w:rPr>
            </w:pPr>
            <w:r>
              <w:rPr>
                <w:color w:val="000000"/>
                <w:kern w:val="0"/>
                <w:sz w:val="22"/>
                <w:szCs w:val="22"/>
              </w:rPr>
              <w:t>区民政局</w:t>
            </w:r>
          </w:p>
          <w:p>
            <w:pPr>
              <w:widowControl/>
              <w:spacing w:line="320" w:lineRule="exact"/>
              <w:jc w:val="center"/>
              <w:textAlignment w:val="center"/>
              <w:rPr>
                <w:color w:val="000000"/>
                <w:sz w:val="22"/>
                <w:szCs w:val="22"/>
              </w:rPr>
            </w:pPr>
            <w:r>
              <w:rPr>
                <w:color w:val="000000"/>
                <w:kern w:val="0"/>
                <w:sz w:val="22"/>
                <w:szCs w:val="22"/>
              </w:rPr>
              <w:t>区卫健局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62"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经认定符合</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条件的残疾</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rFonts w:hint="eastAsia"/>
                <w:color w:val="000000"/>
                <w:kern w:val="0"/>
                <w:sz w:val="22"/>
                <w:szCs w:val="22"/>
              </w:rPr>
              <w:t>19</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困难残疾人生活补贴和重度残疾人护理补贴</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为最低生活保障家庭中的残疾老年人提供生活补贴，为残疾等级被评定为一级、二级且需要长期照护的重度残疾老年人提供护理补贴</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按照每人每月不低于66元标准发放生活补贴，按照每人每月不低于60元标准发放护理补贴</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r>
        <w:tblPrEx>
          <w:tblBorders>
            <w:top w:val="single" w:color="000000" w:sz="4"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1384" w:type="dxa"/>
            <w:noWrap/>
            <w:vAlign w:val="center"/>
          </w:tcPr>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生活无着的</w:t>
            </w:r>
          </w:p>
          <w:p>
            <w:pPr>
              <w:widowControl/>
              <w:spacing w:line="320" w:lineRule="exact"/>
              <w:jc w:val="center"/>
              <w:textAlignment w:val="center"/>
              <w:rPr>
                <w:rFonts w:eastAsia="黑体"/>
                <w:color w:val="000000"/>
                <w:kern w:val="0"/>
                <w:sz w:val="22"/>
                <w:szCs w:val="22"/>
              </w:rPr>
            </w:pPr>
            <w:r>
              <w:rPr>
                <w:rFonts w:eastAsia="黑体"/>
                <w:color w:val="000000"/>
                <w:kern w:val="0"/>
                <w:sz w:val="22"/>
                <w:szCs w:val="22"/>
              </w:rPr>
              <w:t>流浪、乞讨</w:t>
            </w:r>
          </w:p>
          <w:p>
            <w:pPr>
              <w:widowControl/>
              <w:spacing w:line="320" w:lineRule="exact"/>
              <w:jc w:val="center"/>
              <w:textAlignment w:val="center"/>
              <w:rPr>
                <w:rFonts w:eastAsia="黑体"/>
                <w:color w:val="000000"/>
                <w:sz w:val="22"/>
                <w:szCs w:val="22"/>
              </w:rPr>
            </w:pPr>
            <w:r>
              <w:rPr>
                <w:rFonts w:eastAsia="黑体"/>
                <w:color w:val="000000"/>
                <w:kern w:val="0"/>
                <w:sz w:val="22"/>
                <w:szCs w:val="22"/>
              </w:rPr>
              <w:t>老年人</w:t>
            </w:r>
          </w:p>
        </w:tc>
        <w:tc>
          <w:tcPr>
            <w:tcW w:w="567" w:type="dxa"/>
            <w:noWrap/>
            <w:vAlign w:val="center"/>
          </w:tcPr>
          <w:p>
            <w:pPr>
              <w:widowControl/>
              <w:spacing w:line="320" w:lineRule="exact"/>
              <w:jc w:val="center"/>
              <w:textAlignment w:val="center"/>
              <w:rPr>
                <w:color w:val="000000"/>
                <w:sz w:val="22"/>
                <w:szCs w:val="22"/>
              </w:rPr>
            </w:pPr>
            <w:r>
              <w:rPr>
                <w:color w:val="000000"/>
                <w:kern w:val="0"/>
                <w:sz w:val="22"/>
                <w:szCs w:val="22"/>
              </w:rPr>
              <w:t>2</w:t>
            </w:r>
            <w:r>
              <w:rPr>
                <w:rFonts w:hint="eastAsia"/>
                <w:color w:val="000000"/>
                <w:kern w:val="0"/>
                <w:sz w:val="22"/>
                <w:szCs w:val="22"/>
              </w:rPr>
              <w:t>0</w:t>
            </w:r>
          </w:p>
        </w:tc>
        <w:tc>
          <w:tcPr>
            <w:tcW w:w="1276" w:type="dxa"/>
            <w:noWrap/>
            <w:vAlign w:val="center"/>
          </w:tcPr>
          <w:p>
            <w:pPr>
              <w:widowControl/>
              <w:spacing w:line="320" w:lineRule="exact"/>
              <w:jc w:val="center"/>
              <w:textAlignment w:val="center"/>
              <w:rPr>
                <w:color w:val="000000"/>
                <w:sz w:val="22"/>
                <w:szCs w:val="22"/>
              </w:rPr>
            </w:pPr>
            <w:r>
              <w:rPr>
                <w:color w:val="000000"/>
                <w:kern w:val="0"/>
                <w:sz w:val="22"/>
                <w:szCs w:val="22"/>
              </w:rPr>
              <w:t>社会救助</w:t>
            </w:r>
          </w:p>
        </w:tc>
        <w:tc>
          <w:tcPr>
            <w:tcW w:w="3685" w:type="dxa"/>
            <w:noWrap/>
            <w:vAlign w:val="center"/>
          </w:tcPr>
          <w:p>
            <w:pPr>
              <w:widowControl/>
              <w:spacing w:line="320" w:lineRule="exact"/>
              <w:textAlignment w:val="center"/>
              <w:rPr>
                <w:color w:val="000000"/>
                <w:sz w:val="22"/>
                <w:szCs w:val="22"/>
              </w:rPr>
            </w:pPr>
            <w:r>
              <w:rPr>
                <w:color w:val="000000"/>
                <w:kern w:val="0"/>
                <w:sz w:val="22"/>
                <w:szCs w:val="22"/>
              </w:rPr>
              <w:t>依照有关规定给予救助</w:t>
            </w:r>
            <w:r>
              <w:rPr>
                <w:szCs w:val="32"/>
              </w:rPr>
              <w:t>。</w:t>
            </w:r>
          </w:p>
        </w:tc>
        <w:tc>
          <w:tcPr>
            <w:tcW w:w="4820" w:type="dxa"/>
            <w:noWrap/>
            <w:vAlign w:val="center"/>
          </w:tcPr>
          <w:p>
            <w:pPr>
              <w:widowControl/>
              <w:spacing w:line="320" w:lineRule="exact"/>
              <w:textAlignment w:val="center"/>
              <w:rPr>
                <w:color w:val="000000"/>
                <w:sz w:val="22"/>
                <w:szCs w:val="22"/>
              </w:rPr>
            </w:pPr>
            <w:r>
              <w:rPr>
                <w:color w:val="000000"/>
                <w:kern w:val="0"/>
                <w:sz w:val="22"/>
                <w:szCs w:val="22"/>
              </w:rPr>
              <w:t>按照《生活无着的流浪乞讨人员救助管理机构工作规程》，为生活无着的流浪、乞讨老年人提供生活服务、寻亲服务、医疗服务等</w:t>
            </w:r>
            <w:r>
              <w:rPr>
                <w:szCs w:val="32"/>
              </w:rPr>
              <w:t>。</w:t>
            </w:r>
          </w:p>
        </w:tc>
        <w:tc>
          <w:tcPr>
            <w:tcW w:w="1417" w:type="dxa"/>
            <w:noWrap/>
            <w:vAlign w:val="center"/>
          </w:tcPr>
          <w:p>
            <w:pPr>
              <w:widowControl/>
              <w:spacing w:line="320" w:lineRule="exact"/>
              <w:jc w:val="center"/>
              <w:textAlignment w:val="center"/>
              <w:rPr>
                <w:color w:val="000000"/>
                <w:sz w:val="22"/>
                <w:szCs w:val="22"/>
              </w:rPr>
            </w:pPr>
            <w:r>
              <w:rPr>
                <w:color w:val="000000"/>
                <w:kern w:val="0"/>
                <w:sz w:val="22"/>
                <w:szCs w:val="22"/>
              </w:rPr>
              <w:t>物质帮助</w:t>
            </w:r>
          </w:p>
        </w:tc>
        <w:tc>
          <w:tcPr>
            <w:tcW w:w="1701" w:type="dxa"/>
            <w:noWrap/>
            <w:vAlign w:val="center"/>
          </w:tcPr>
          <w:p>
            <w:pPr>
              <w:widowControl/>
              <w:spacing w:line="320" w:lineRule="exact"/>
              <w:jc w:val="center"/>
              <w:textAlignment w:val="center"/>
              <w:rPr>
                <w:color w:val="000000"/>
                <w:sz w:val="22"/>
                <w:szCs w:val="22"/>
              </w:rPr>
            </w:pPr>
            <w:r>
              <w:rPr>
                <w:color w:val="000000"/>
                <w:kern w:val="0"/>
                <w:sz w:val="22"/>
                <w:szCs w:val="22"/>
              </w:rPr>
              <w:t>区民政局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8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2023-06-08T03:20:08Z</dcterms:created>
  <dc:creator>lenovo</dc:creator>
  <cp:lastModifiedBy>lenovo</cp:lastModifiedBy>
  <dcterms:modified xsi:type="dcterms:W3CDTF">2023-06-08T03:24:11Z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