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4"/>
        <w:rPr>
          <w:rFonts w:ascii="方正小标宋_GBK" w:hAnsi="方正小标宋_GBK" w:eastAsia="方正小标宋_GBK" w:cs="方正小标宋_GBK"/>
          <w:color w:val="000000"/>
          <w:sz w:val="44"/>
          <w:lang w:eastAsia="zh-CN"/>
        </w:rPr>
      </w:pPr>
      <w:bookmarkStart w:id="0" w:name="_Toc_4_4_0000000019"/>
      <w:r>
        <w:rPr>
          <w:rFonts w:hint="eastAsia" w:ascii="方正小标宋_GBK" w:hAnsi="方正小标宋_GBK" w:eastAsia="方正小标宋_GBK" w:cs="方正小标宋_GBK"/>
          <w:color w:val="000000"/>
          <w:sz w:val="44"/>
          <w:lang w:eastAsia="zh-CN"/>
        </w:rPr>
        <w:t>323001</w:t>
      </w:r>
      <w:r>
        <w:rPr>
          <w:rFonts w:ascii="方正小标宋_GBK" w:hAnsi="方正小标宋_GBK" w:eastAsia="方正小标宋_GBK" w:cs="方正小标宋_GBK"/>
          <w:color w:val="000000"/>
          <w:sz w:val="44"/>
        </w:rPr>
        <w:t>秦皇岛市海港区人力资源和社会保障局本级</w:t>
      </w:r>
      <w:bookmarkEnd w:id="0"/>
      <w:r>
        <w:rPr>
          <w:rFonts w:hint="eastAsia" w:ascii="方正小标宋_GBK" w:hAnsi="方正小标宋_GBK" w:eastAsia="方正小标宋_GBK" w:cs="方正小标宋_GBK"/>
          <w:color w:val="000000"/>
          <w:sz w:val="44"/>
          <w:lang w:eastAsia="zh-CN"/>
        </w:rPr>
        <w:t>预算公开信息文本</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91"/>
        <w:gridCol w:w="2268"/>
        <w:gridCol w:w="4138"/>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1" w:type="dxa"/>
            <w:gridSpan w:val="2"/>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268" w:type="dxa"/>
            <w:tcBorders>
              <w:top w:val="single" w:color="FFFFFF" w:sz="6" w:space="0"/>
              <w:left w:val="single" w:color="FFFFFF" w:sz="6" w:space="0"/>
              <w:right w:val="single" w:color="FFFFFF" w:sz="6" w:space="0"/>
            </w:tcBorders>
            <w:vAlign w:val="center"/>
          </w:tcPr>
          <w:p>
            <w:pPr>
              <w:pStyle w:val="8"/>
            </w:pPr>
            <w:r>
              <w:rPr>
                <w:rFonts w:hint="eastAsia" w:asciiTheme="minorEastAsia" w:hAnsiTheme="minorEastAsia" w:eastAsiaTheme="minorEastAsia"/>
                <w:lang w:eastAsia="zh-CN"/>
              </w:rPr>
              <w:t xml:space="preserve"> </w:t>
            </w:r>
            <w:r>
              <w:t>预算年度：2024</w:t>
            </w:r>
          </w:p>
        </w:tc>
        <w:tc>
          <w:tcPr>
            <w:tcW w:w="626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7059" w:type="dxa"/>
            <w:gridSpan w:val="2"/>
            <w:vAlign w:val="center"/>
          </w:tcPr>
          <w:p>
            <w:pPr>
              <w:pStyle w:val="10"/>
            </w:pPr>
            <w:r>
              <w:t>收入</w:t>
            </w:r>
          </w:p>
        </w:tc>
        <w:tc>
          <w:tcPr>
            <w:tcW w:w="626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791" w:type="dxa"/>
            <w:vAlign w:val="center"/>
          </w:tcPr>
          <w:p>
            <w:pPr>
              <w:pStyle w:val="10"/>
            </w:pPr>
            <w:r>
              <w:t>项  目</w:t>
            </w:r>
          </w:p>
        </w:tc>
        <w:tc>
          <w:tcPr>
            <w:tcW w:w="2268" w:type="dxa"/>
            <w:vAlign w:val="center"/>
          </w:tcPr>
          <w:p>
            <w:pPr>
              <w:pStyle w:val="10"/>
            </w:pPr>
            <w:r>
              <w:t>预算数</w:t>
            </w:r>
          </w:p>
        </w:tc>
        <w:tc>
          <w:tcPr>
            <w:tcW w:w="4138"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791" w:type="dxa"/>
            <w:vAlign w:val="center"/>
          </w:tcPr>
          <w:p>
            <w:pPr>
              <w:pStyle w:val="10"/>
            </w:pPr>
            <w:r>
              <w:t>1</w:t>
            </w:r>
          </w:p>
        </w:tc>
        <w:tc>
          <w:tcPr>
            <w:tcW w:w="2268" w:type="dxa"/>
            <w:vAlign w:val="center"/>
          </w:tcPr>
          <w:p>
            <w:pPr>
              <w:pStyle w:val="10"/>
            </w:pPr>
            <w:r>
              <w:t>2</w:t>
            </w:r>
          </w:p>
        </w:tc>
        <w:tc>
          <w:tcPr>
            <w:tcW w:w="4138"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791" w:type="dxa"/>
            <w:vAlign w:val="center"/>
          </w:tcPr>
          <w:p>
            <w:pPr>
              <w:pStyle w:val="12"/>
            </w:pPr>
            <w:r>
              <w:t>一、一般公共预算拨款收入</w:t>
            </w:r>
          </w:p>
        </w:tc>
        <w:tc>
          <w:tcPr>
            <w:tcW w:w="2268" w:type="dxa"/>
            <w:vAlign w:val="center"/>
          </w:tcPr>
          <w:p>
            <w:pPr>
              <w:pStyle w:val="11"/>
            </w:pPr>
            <w:r>
              <w:t>496.46</w:t>
            </w:r>
          </w:p>
        </w:tc>
        <w:tc>
          <w:tcPr>
            <w:tcW w:w="4138"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791" w:type="dxa"/>
            <w:vAlign w:val="center"/>
          </w:tcPr>
          <w:p>
            <w:pPr>
              <w:pStyle w:val="12"/>
            </w:pPr>
            <w:r>
              <w:t>二、政府性基金预算拨款收入</w:t>
            </w:r>
          </w:p>
        </w:tc>
        <w:tc>
          <w:tcPr>
            <w:tcW w:w="2268" w:type="dxa"/>
            <w:vAlign w:val="center"/>
          </w:tcPr>
          <w:p>
            <w:pPr>
              <w:pStyle w:val="11"/>
            </w:pPr>
          </w:p>
        </w:tc>
        <w:tc>
          <w:tcPr>
            <w:tcW w:w="4138"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791" w:type="dxa"/>
            <w:vAlign w:val="center"/>
          </w:tcPr>
          <w:p>
            <w:pPr>
              <w:pStyle w:val="12"/>
            </w:pPr>
            <w:r>
              <w:t>三、国有资本经营预算拨款收入</w:t>
            </w:r>
          </w:p>
        </w:tc>
        <w:tc>
          <w:tcPr>
            <w:tcW w:w="2268" w:type="dxa"/>
            <w:vAlign w:val="center"/>
          </w:tcPr>
          <w:p>
            <w:pPr>
              <w:pStyle w:val="11"/>
            </w:pPr>
          </w:p>
        </w:tc>
        <w:tc>
          <w:tcPr>
            <w:tcW w:w="4138"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791" w:type="dxa"/>
            <w:vAlign w:val="center"/>
          </w:tcPr>
          <w:p>
            <w:pPr>
              <w:pStyle w:val="12"/>
            </w:pPr>
            <w:r>
              <w:t>四、财政专户管理资金收入</w:t>
            </w:r>
          </w:p>
        </w:tc>
        <w:tc>
          <w:tcPr>
            <w:tcW w:w="2268" w:type="dxa"/>
            <w:vAlign w:val="center"/>
          </w:tcPr>
          <w:p>
            <w:pPr>
              <w:pStyle w:val="11"/>
            </w:pPr>
          </w:p>
        </w:tc>
        <w:tc>
          <w:tcPr>
            <w:tcW w:w="4138"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791" w:type="dxa"/>
            <w:vAlign w:val="center"/>
          </w:tcPr>
          <w:p>
            <w:pPr>
              <w:pStyle w:val="12"/>
            </w:pPr>
            <w:r>
              <w:t>五、单位资金</w:t>
            </w:r>
          </w:p>
        </w:tc>
        <w:tc>
          <w:tcPr>
            <w:tcW w:w="2268" w:type="dxa"/>
            <w:vAlign w:val="center"/>
          </w:tcPr>
          <w:p>
            <w:pPr>
              <w:pStyle w:val="11"/>
            </w:pPr>
          </w:p>
        </w:tc>
        <w:tc>
          <w:tcPr>
            <w:tcW w:w="4138"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八、社会保障和就业支出</w:t>
            </w:r>
          </w:p>
        </w:tc>
        <w:tc>
          <w:tcPr>
            <w:tcW w:w="2126" w:type="dxa"/>
            <w:vAlign w:val="center"/>
          </w:tcPr>
          <w:p>
            <w:pPr>
              <w:pStyle w:val="11"/>
            </w:pPr>
            <w:r>
              <w:t>446.16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十、卫生健康支出</w:t>
            </w:r>
          </w:p>
        </w:tc>
        <w:tc>
          <w:tcPr>
            <w:tcW w:w="2126" w:type="dxa"/>
            <w:vAlign w:val="center"/>
          </w:tcPr>
          <w:p>
            <w:pPr>
              <w:pStyle w:val="11"/>
            </w:pPr>
            <w:r>
              <w:t>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二十、住房保障支出</w:t>
            </w:r>
          </w:p>
        </w:tc>
        <w:tc>
          <w:tcPr>
            <w:tcW w:w="2126" w:type="dxa"/>
            <w:vAlign w:val="center"/>
          </w:tcPr>
          <w:p>
            <w:pPr>
              <w:pStyle w:val="11"/>
            </w:pPr>
            <w:r>
              <w:t>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791" w:type="dxa"/>
            <w:vAlign w:val="center"/>
          </w:tcPr>
          <w:p>
            <w:pPr>
              <w:pStyle w:val="12"/>
            </w:pPr>
          </w:p>
        </w:tc>
        <w:tc>
          <w:tcPr>
            <w:tcW w:w="2268" w:type="dxa"/>
            <w:vAlign w:val="center"/>
          </w:tcPr>
          <w:p>
            <w:pPr>
              <w:pStyle w:val="11"/>
            </w:pPr>
          </w:p>
        </w:tc>
        <w:tc>
          <w:tcPr>
            <w:tcW w:w="4138"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791" w:type="dxa"/>
            <w:vAlign w:val="center"/>
          </w:tcPr>
          <w:p>
            <w:pPr>
              <w:pStyle w:val="14"/>
            </w:pPr>
            <w:r>
              <w:t>本年收入合计</w:t>
            </w:r>
          </w:p>
        </w:tc>
        <w:tc>
          <w:tcPr>
            <w:tcW w:w="2268" w:type="dxa"/>
            <w:vAlign w:val="center"/>
          </w:tcPr>
          <w:p>
            <w:pPr>
              <w:pStyle w:val="15"/>
            </w:pPr>
            <w:r>
              <w:t>496.46</w:t>
            </w:r>
          </w:p>
        </w:tc>
        <w:tc>
          <w:tcPr>
            <w:tcW w:w="4138" w:type="dxa"/>
            <w:vAlign w:val="center"/>
          </w:tcPr>
          <w:p>
            <w:pPr>
              <w:pStyle w:val="14"/>
            </w:pPr>
            <w:r>
              <w:t>本年支出合计</w:t>
            </w:r>
          </w:p>
        </w:tc>
        <w:tc>
          <w:tcPr>
            <w:tcW w:w="2126" w:type="dxa"/>
            <w:vAlign w:val="center"/>
          </w:tcPr>
          <w:p>
            <w:pPr>
              <w:pStyle w:val="15"/>
            </w:pPr>
            <w:r>
              <w:t>496.46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791" w:type="dxa"/>
            <w:vAlign w:val="center"/>
          </w:tcPr>
          <w:p>
            <w:pPr>
              <w:pStyle w:val="12"/>
            </w:pPr>
            <w:r>
              <w:t>上年结转结余</w:t>
            </w:r>
          </w:p>
        </w:tc>
        <w:tc>
          <w:tcPr>
            <w:tcW w:w="2268" w:type="dxa"/>
            <w:vAlign w:val="center"/>
          </w:tcPr>
          <w:p>
            <w:pPr>
              <w:pStyle w:val="11"/>
            </w:pPr>
          </w:p>
        </w:tc>
        <w:tc>
          <w:tcPr>
            <w:tcW w:w="4138"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791" w:type="dxa"/>
            <w:vAlign w:val="center"/>
          </w:tcPr>
          <w:p>
            <w:pPr>
              <w:pStyle w:val="14"/>
            </w:pPr>
            <w:r>
              <w:t>收入总计</w:t>
            </w:r>
          </w:p>
        </w:tc>
        <w:tc>
          <w:tcPr>
            <w:tcW w:w="2268" w:type="dxa"/>
            <w:vAlign w:val="center"/>
          </w:tcPr>
          <w:p>
            <w:pPr>
              <w:pStyle w:val="15"/>
            </w:pPr>
            <w:r>
              <w:t>496.46</w:t>
            </w:r>
          </w:p>
        </w:tc>
        <w:tc>
          <w:tcPr>
            <w:tcW w:w="4138" w:type="dxa"/>
            <w:vAlign w:val="center"/>
          </w:tcPr>
          <w:p>
            <w:pPr>
              <w:pStyle w:val="14"/>
            </w:pPr>
            <w:r>
              <w:t>支出总计</w:t>
            </w:r>
          </w:p>
        </w:tc>
        <w:tc>
          <w:tcPr>
            <w:tcW w:w="2126" w:type="dxa"/>
            <w:vAlign w:val="center"/>
          </w:tcPr>
          <w:p>
            <w:pPr>
              <w:pStyle w:val="15"/>
            </w:pPr>
            <w:r>
              <w:t>496.46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884"/>
        <w:gridCol w:w="1134"/>
        <w:gridCol w:w="1134"/>
        <w:gridCol w:w="851"/>
        <w:gridCol w:w="992"/>
        <w:gridCol w:w="709"/>
        <w:gridCol w:w="709"/>
        <w:gridCol w:w="992"/>
        <w:gridCol w:w="992"/>
        <w:gridCol w:w="709"/>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4" w:type="dxa"/>
            <w:gridSpan w:val="5"/>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55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9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4876" w:type="dxa"/>
            <w:gridSpan w:val="2"/>
            <w:vAlign w:val="center"/>
          </w:tcPr>
          <w:p>
            <w:pPr>
              <w:pStyle w:val="10"/>
            </w:pPr>
            <w:r>
              <w:t>功能分类科目</w:t>
            </w:r>
          </w:p>
        </w:tc>
        <w:tc>
          <w:tcPr>
            <w:tcW w:w="1134" w:type="dxa"/>
            <w:vMerge w:val="restart"/>
            <w:vAlign w:val="center"/>
          </w:tcPr>
          <w:p>
            <w:pPr>
              <w:pStyle w:val="10"/>
            </w:pPr>
            <w:r>
              <w:t>合计</w:t>
            </w:r>
          </w:p>
        </w:tc>
        <w:tc>
          <w:tcPr>
            <w:tcW w:w="7088" w:type="dxa"/>
            <w:gridSpan w:val="8"/>
            <w:vAlign w:val="center"/>
          </w:tcPr>
          <w:p>
            <w:pPr>
              <w:pStyle w:val="10"/>
            </w:pPr>
            <w:r>
              <w:t>本年收入</w:t>
            </w:r>
          </w:p>
        </w:tc>
        <w:tc>
          <w:tcPr>
            <w:tcW w:w="79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3884"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851" w:type="dxa"/>
            <w:vAlign w:val="center"/>
          </w:tcPr>
          <w:p>
            <w:pPr>
              <w:pStyle w:val="10"/>
            </w:pPr>
            <w:r>
              <w:t>财政拨款收入</w:t>
            </w:r>
          </w:p>
        </w:tc>
        <w:tc>
          <w:tcPr>
            <w:tcW w:w="992" w:type="dxa"/>
            <w:vAlign w:val="center"/>
          </w:tcPr>
          <w:p>
            <w:pPr>
              <w:pStyle w:val="10"/>
            </w:pPr>
            <w:r>
              <w:t>财政专户收入</w:t>
            </w:r>
          </w:p>
        </w:tc>
        <w:tc>
          <w:tcPr>
            <w:tcW w:w="709" w:type="dxa"/>
            <w:vAlign w:val="center"/>
          </w:tcPr>
          <w:p>
            <w:pPr>
              <w:pStyle w:val="10"/>
            </w:pPr>
            <w:r>
              <w:t>事业收入</w:t>
            </w:r>
          </w:p>
        </w:tc>
        <w:tc>
          <w:tcPr>
            <w:tcW w:w="709" w:type="dxa"/>
            <w:vAlign w:val="center"/>
          </w:tcPr>
          <w:p>
            <w:pPr>
              <w:pStyle w:val="10"/>
            </w:pPr>
            <w:r>
              <w:t>经营收入</w:t>
            </w:r>
          </w:p>
        </w:tc>
        <w:tc>
          <w:tcPr>
            <w:tcW w:w="992" w:type="dxa"/>
            <w:vAlign w:val="center"/>
          </w:tcPr>
          <w:p>
            <w:pPr>
              <w:pStyle w:val="10"/>
            </w:pPr>
            <w:r>
              <w:t>上级补助收入</w:t>
            </w:r>
          </w:p>
        </w:tc>
        <w:tc>
          <w:tcPr>
            <w:tcW w:w="992" w:type="dxa"/>
            <w:vAlign w:val="center"/>
          </w:tcPr>
          <w:p>
            <w:pPr>
              <w:pStyle w:val="10"/>
            </w:pPr>
            <w:r>
              <w:t>附属单位上缴收入</w:t>
            </w:r>
          </w:p>
        </w:tc>
        <w:tc>
          <w:tcPr>
            <w:tcW w:w="709" w:type="dxa"/>
            <w:vAlign w:val="center"/>
          </w:tcPr>
          <w:p>
            <w:pPr>
              <w:pStyle w:val="10"/>
            </w:pPr>
            <w:r>
              <w:t>其他收入</w:t>
            </w:r>
          </w:p>
        </w:tc>
        <w:tc>
          <w:tcPr>
            <w:tcW w:w="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3884"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851" w:type="dxa"/>
            <w:vAlign w:val="center"/>
          </w:tcPr>
          <w:p>
            <w:pPr>
              <w:pStyle w:val="10"/>
            </w:pPr>
            <w:r>
              <w:t>5</w:t>
            </w:r>
          </w:p>
        </w:tc>
        <w:tc>
          <w:tcPr>
            <w:tcW w:w="992" w:type="dxa"/>
            <w:vAlign w:val="center"/>
          </w:tcPr>
          <w:p>
            <w:pPr>
              <w:pStyle w:val="10"/>
            </w:pPr>
            <w:r>
              <w:t>6</w:t>
            </w:r>
          </w:p>
        </w:tc>
        <w:tc>
          <w:tcPr>
            <w:tcW w:w="709" w:type="dxa"/>
            <w:vAlign w:val="center"/>
          </w:tcPr>
          <w:p>
            <w:pPr>
              <w:pStyle w:val="10"/>
            </w:pPr>
            <w:r>
              <w:t>7</w:t>
            </w:r>
          </w:p>
        </w:tc>
        <w:tc>
          <w:tcPr>
            <w:tcW w:w="709" w:type="dxa"/>
            <w:vAlign w:val="center"/>
          </w:tcPr>
          <w:p>
            <w:pPr>
              <w:pStyle w:val="10"/>
            </w:pPr>
            <w:r>
              <w:t>8</w:t>
            </w:r>
          </w:p>
        </w:tc>
        <w:tc>
          <w:tcPr>
            <w:tcW w:w="992" w:type="dxa"/>
            <w:vAlign w:val="center"/>
          </w:tcPr>
          <w:p>
            <w:pPr>
              <w:pStyle w:val="10"/>
            </w:pPr>
            <w:r>
              <w:t>9</w:t>
            </w:r>
          </w:p>
        </w:tc>
        <w:tc>
          <w:tcPr>
            <w:tcW w:w="992" w:type="dxa"/>
            <w:vAlign w:val="center"/>
          </w:tcPr>
          <w:p>
            <w:pPr>
              <w:pStyle w:val="10"/>
            </w:pPr>
            <w:r>
              <w:t>10</w:t>
            </w:r>
          </w:p>
        </w:tc>
        <w:tc>
          <w:tcPr>
            <w:tcW w:w="709" w:type="dxa"/>
            <w:vAlign w:val="center"/>
          </w:tcPr>
          <w:p>
            <w:pPr>
              <w:pStyle w:val="10"/>
            </w:pPr>
            <w:r>
              <w:t>11</w:t>
            </w:r>
          </w:p>
        </w:tc>
        <w:tc>
          <w:tcPr>
            <w:tcW w:w="79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3884" w:type="dxa"/>
            <w:vAlign w:val="center"/>
          </w:tcPr>
          <w:p>
            <w:pPr>
              <w:pStyle w:val="14"/>
            </w:pPr>
            <w:r>
              <w:t>合计</w:t>
            </w:r>
          </w:p>
        </w:tc>
        <w:tc>
          <w:tcPr>
            <w:tcW w:w="1134" w:type="dxa"/>
            <w:vAlign w:val="center"/>
          </w:tcPr>
          <w:p>
            <w:pPr>
              <w:pStyle w:val="15"/>
            </w:pPr>
            <w:r>
              <w:t>496.46</w:t>
            </w:r>
          </w:p>
        </w:tc>
        <w:tc>
          <w:tcPr>
            <w:tcW w:w="1134" w:type="dxa"/>
            <w:vAlign w:val="center"/>
          </w:tcPr>
          <w:p>
            <w:pPr>
              <w:pStyle w:val="15"/>
            </w:pPr>
            <w:r>
              <w:t>496.46</w:t>
            </w:r>
          </w:p>
        </w:tc>
        <w:tc>
          <w:tcPr>
            <w:tcW w:w="851" w:type="dxa"/>
            <w:vAlign w:val="center"/>
          </w:tcPr>
          <w:p>
            <w:pPr>
              <w:pStyle w:val="15"/>
            </w:pPr>
            <w:r>
              <w:t>496.46</w:t>
            </w:r>
          </w:p>
        </w:tc>
        <w:tc>
          <w:tcPr>
            <w:tcW w:w="992" w:type="dxa"/>
            <w:vAlign w:val="center"/>
          </w:tcPr>
          <w:p>
            <w:pPr>
              <w:pStyle w:val="15"/>
            </w:pPr>
          </w:p>
        </w:tc>
        <w:tc>
          <w:tcPr>
            <w:tcW w:w="709" w:type="dxa"/>
            <w:vAlign w:val="center"/>
          </w:tcPr>
          <w:p>
            <w:pPr>
              <w:pStyle w:val="15"/>
            </w:pPr>
          </w:p>
        </w:tc>
        <w:tc>
          <w:tcPr>
            <w:tcW w:w="709" w:type="dxa"/>
            <w:vAlign w:val="center"/>
          </w:tcPr>
          <w:p>
            <w:pPr>
              <w:pStyle w:val="15"/>
            </w:pPr>
          </w:p>
        </w:tc>
        <w:tc>
          <w:tcPr>
            <w:tcW w:w="992" w:type="dxa"/>
            <w:vAlign w:val="center"/>
          </w:tcPr>
          <w:p>
            <w:pPr>
              <w:pStyle w:val="15"/>
            </w:pPr>
          </w:p>
        </w:tc>
        <w:tc>
          <w:tcPr>
            <w:tcW w:w="992" w:type="dxa"/>
            <w:vAlign w:val="center"/>
          </w:tcPr>
          <w:p>
            <w:pPr>
              <w:pStyle w:val="15"/>
            </w:pPr>
          </w:p>
        </w:tc>
        <w:tc>
          <w:tcPr>
            <w:tcW w:w="709" w:type="dxa"/>
            <w:vAlign w:val="center"/>
          </w:tcPr>
          <w:p>
            <w:pPr>
              <w:pStyle w:val="15"/>
            </w:pPr>
          </w:p>
        </w:tc>
        <w:tc>
          <w:tcPr>
            <w:tcW w:w="7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3884" w:type="dxa"/>
            <w:vAlign w:val="center"/>
          </w:tcPr>
          <w:p>
            <w:pPr>
              <w:pStyle w:val="12"/>
            </w:pPr>
            <w:r>
              <w:t>社会保障和就业支出</w:t>
            </w:r>
          </w:p>
        </w:tc>
        <w:tc>
          <w:tcPr>
            <w:tcW w:w="1134" w:type="dxa"/>
            <w:vAlign w:val="center"/>
          </w:tcPr>
          <w:p>
            <w:pPr>
              <w:pStyle w:val="11"/>
            </w:pPr>
            <w:r>
              <w:t>446.16</w:t>
            </w:r>
          </w:p>
        </w:tc>
        <w:tc>
          <w:tcPr>
            <w:tcW w:w="1134" w:type="dxa"/>
            <w:vAlign w:val="center"/>
          </w:tcPr>
          <w:p>
            <w:pPr>
              <w:pStyle w:val="11"/>
            </w:pPr>
            <w:r>
              <w:t>446.16</w:t>
            </w:r>
          </w:p>
        </w:tc>
        <w:tc>
          <w:tcPr>
            <w:tcW w:w="851" w:type="dxa"/>
            <w:vAlign w:val="center"/>
          </w:tcPr>
          <w:p>
            <w:pPr>
              <w:pStyle w:val="11"/>
            </w:pPr>
            <w:r>
              <w:t>446.16</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3884" w:type="dxa"/>
            <w:vAlign w:val="center"/>
          </w:tcPr>
          <w:p>
            <w:pPr>
              <w:pStyle w:val="12"/>
            </w:pPr>
            <w:r>
              <w:t>人力资源和社会保障管理事务</w:t>
            </w:r>
          </w:p>
        </w:tc>
        <w:tc>
          <w:tcPr>
            <w:tcW w:w="1134" w:type="dxa"/>
            <w:vAlign w:val="center"/>
          </w:tcPr>
          <w:p>
            <w:pPr>
              <w:pStyle w:val="11"/>
            </w:pPr>
            <w:r>
              <w:t>364.52</w:t>
            </w:r>
          </w:p>
        </w:tc>
        <w:tc>
          <w:tcPr>
            <w:tcW w:w="1134" w:type="dxa"/>
            <w:vAlign w:val="center"/>
          </w:tcPr>
          <w:p>
            <w:pPr>
              <w:pStyle w:val="11"/>
            </w:pPr>
            <w:r>
              <w:t>364.52</w:t>
            </w:r>
          </w:p>
        </w:tc>
        <w:tc>
          <w:tcPr>
            <w:tcW w:w="851" w:type="dxa"/>
            <w:vAlign w:val="center"/>
          </w:tcPr>
          <w:p>
            <w:pPr>
              <w:pStyle w:val="11"/>
            </w:pPr>
            <w:r>
              <w:t>364.52</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3884" w:type="dxa"/>
            <w:vAlign w:val="center"/>
          </w:tcPr>
          <w:p>
            <w:pPr>
              <w:pStyle w:val="12"/>
            </w:pPr>
            <w:r>
              <w:t>行政运行</w:t>
            </w:r>
          </w:p>
        </w:tc>
        <w:tc>
          <w:tcPr>
            <w:tcW w:w="1134" w:type="dxa"/>
            <w:vAlign w:val="center"/>
          </w:tcPr>
          <w:p>
            <w:pPr>
              <w:pStyle w:val="11"/>
            </w:pPr>
            <w:r>
              <w:t>279.52</w:t>
            </w:r>
          </w:p>
        </w:tc>
        <w:tc>
          <w:tcPr>
            <w:tcW w:w="1134" w:type="dxa"/>
            <w:vAlign w:val="center"/>
          </w:tcPr>
          <w:p>
            <w:pPr>
              <w:pStyle w:val="11"/>
            </w:pPr>
            <w:r>
              <w:t>279.52</w:t>
            </w:r>
          </w:p>
        </w:tc>
        <w:tc>
          <w:tcPr>
            <w:tcW w:w="851" w:type="dxa"/>
            <w:vAlign w:val="center"/>
          </w:tcPr>
          <w:p>
            <w:pPr>
              <w:pStyle w:val="11"/>
            </w:pPr>
            <w:r>
              <w:t>279.52</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2080102</w:t>
            </w:r>
          </w:p>
        </w:tc>
        <w:tc>
          <w:tcPr>
            <w:tcW w:w="3884"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851" w:type="dxa"/>
            <w:vAlign w:val="center"/>
          </w:tcPr>
          <w:p>
            <w:pPr>
              <w:pStyle w:val="11"/>
            </w:pPr>
            <w:r>
              <w:t>30.00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2080104</w:t>
            </w:r>
          </w:p>
        </w:tc>
        <w:tc>
          <w:tcPr>
            <w:tcW w:w="3884" w:type="dxa"/>
            <w:vAlign w:val="center"/>
          </w:tcPr>
          <w:p>
            <w:pPr>
              <w:pStyle w:val="12"/>
            </w:pPr>
            <w:r>
              <w:t>综合业务管理</w:t>
            </w:r>
          </w:p>
        </w:tc>
        <w:tc>
          <w:tcPr>
            <w:tcW w:w="1134" w:type="dxa"/>
            <w:vAlign w:val="center"/>
          </w:tcPr>
          <w:p>
            <w:pPr>
              <w:pStyle w:val="11"/>
            </w:pPr>
            <w:r>
              <w:t>5.50</w:t>
            </w:r>
          </w:p>
        </w:tc>
        <w:tc>
          <w:tcPr>
            <w:tcW w:w="1134" w:type="dxa"/>
            <w:vAlign w:val="center"/>
          </w:tcPr>
          <w:p>
            <w:pPr>
              <w:pStyle w:val="11"/>
            </w:pPr>
            <w:r>
              <w:t>5.50</w:t>
            </w:r>
          </w:p>
        </w:tc>
        <w:tc>
          <w:tcPr>
            <w:tcW w:w="851" w:type="dxa"/>
            <w:vAlign w:val="center"/>
          </w:tcPr>
          <w:p>
            <w:pPr>
              <w:pStyle w:val="11"/>
            </w:pPr>
            <w:r>
              <w:t>5.50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2080105</w:t>
            </w:r>
          </w:p>
        </w:tc>
        <w:tc>
          <w:tcPr>
            <w:tcW w:w="3884" w:type="dxa"/>
            <w:vAlign w:val="center"/>
          </w:tcPr>
          <w:p>
            <w:pPr>
              <w:pStyle w:val="12"/>
            </w:pPr>
            <w:r>
              <w:t>劳动保障监察</w:t>
            </w:r>
          </w:p>
        </w:tc>
        <w:tc>
          <w:tcPr>
            <w:tcW w:w="1134" w:type="dxa"/>
            <w:vAlign w:val="center"/>
          </w:tcPr>
          <w:p>
            <w:pPr>
              <w:pStyle w:val="11"/>
            </w:pPr>
            <w:r>
              <w:t>1.00</w:t>
            </w:r>
          </w:p>
        </w:tc>
        <w:tc>
          <w:tcPr>
            <w:tcW w:w="1134" w:type="dxa"/>
            <w:vAlign w:val="center"/>
          </w:tcPr>
          <w:p>
            <w:pPr>
              <w:pStyle w:val="11"/>
            </w:pPr>
            <w:r>
              <w:t>1.00</w:t>
            </w:r>
          </w:p>
        </w:tc>
        <w:tc>
          <w:tcPr>
            <w:tcW w:w="851" w:type="dxa"/>
            <w:vAlign w:val="center"/>
          </w:tcPr>
          <w:p>
            <w:pPr>
              <w:pStyle w:val="11"/>
            </w:pPr>
            <w:r>
              <w:t>1.00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2080107</w:t>
            </w:r>
          </w:p>
        </w:tc>
        <w:tc>
          <w:tcPr>
            <w:tcW w:w="3884" w:type="dxa"/>
            <w:vAlign w:val="center"/>
          </w:tcPr>
          <w:p>
            <w:pPr>
              <w:pStyle w:val="12"/>
            </w:pPr>
            <w:r>
              <w:t>社会保险业务管理事务</w:t>
            </w:r>
          </w:p>
        </w:tc>
        <w:tc>
          <w:tcPr>
            <w:tcW w:w="1134" w:type="dxa"/>
            <w:vAlign w:val="center"/>
          </w:tcPr>
          <w:p>
            <w:pPr>
              <w:pStyle w:val="11"/>
            </w:pPr>
            <w:r>
              <w:t>3.00</w:t>
            </w:r>
          </w:p>
        </w:tc>
        <w:tc>
          <w:tcPr>
            <w:tcW w:w="1134" w:type="dxa"/>
            <w:vAlign w:val="center"/>
          </w:tcPr>
          <w:p>
            <w:pPr>
              <w:pStyle w:val="11"/>
            </w:pPr>
            <w:r>
              <w:t>3.00</w:t>
            </w:r>
          </w:p>
        </w:tc>
        <w:tc>
          <w:tcPr>
            <w:tcW w:w="851" w:type="dxa"/>
            <w:vAlign w:val="center"/>
          </w:tcPr>
          <w:p>
            <w:pPr>
              <w:pStyle w:val="11"/>
            </w:pPr>
            <w:r>
              <w:t>3.00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2080108</w:t>
            </w:r>
          </w:p>
        </w:tc>
        <w:tc>
          <w:tcPr>
            <w:tcW w:w="3884" w:type="dxa"/>
            <w:vAlign w:val="center"/>
          </w:tcPr>
          <w:p>
            <w:pPr>
              <w:pStyle w:val="12"/>
            </w:pPr>
            <w:r>
              <w:t>信息化建设</w:t>
            </w:r>
          </w:p>
        </w:tc>
        <w:tc>
          <w:tcPr>
            <w:tcW w:w="1134" w:type="dxa"/>
            <w:vAlign w:val="center"/>
          </w:tcPr>
          <w:p>
            <w:pPr>
              <w:pStyle w:val="11"/>
            </w:pPr>
            <w:r>
              <w:t>16.50</w:t>
            </w:r>
          </w:p>
        </w:tc>
        <w:tc>
          <w:tcPr>
            <w:tcW w:w="1134" w:type="dxa"/>
            <w:vAlign w:val="center"/>
          </w:tcPr>
          <w:p>
            <w:pPr>
              <w:pStyle w:val="11"/>
            </w:pPr>
            <w:r>
              <w:t>16.50</w:t>
            </w:r>
          </w:p>
        </w:tc>
        <w:tc>
          <w:tcPr>
            <w:tcW w:w="851" w:type="dxa"/>
            <w:vAlign w:val="center"/>
          </w:tcPr>
          <w:p>
            <w:pPr>
              <w:pStyle w:val="11"/>
            </w:pPr>
            <w:r>
              <w:t>16.50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2080110</w:t>
            </w:r>
          </w:p>
        </w:tc>
        <w:tc>
          <w:tcPr>
            <w:tcW w:w="3884" w:type="dxa"/>
            <w:vAlign w:val="center"/>
          </w:tcPr>
          <w:p>
            <w:pPr>
              <w:pStyle w:val="12"/>
            </w:pPr>
            <w:r>
              <w:t>劳动关系和维权</w:t>
            </w:r>
          </w:p>
        </w:tc>
        <w:tc>
          <w:tcPr>
            <w:tcW w:w="1134" w:type="dxa"/>
            <w:vAlign w:val="center"/>
          </w:tcPr>
          <w:p>
            <w:pPr>
              <w:pStyle w:val="11"/>
            </w:pPr>
            <w:r>
              <w:t>4.00</w:t>
            </w:r>
          </w:p>
        </w:tc>
        <w:tc>
          <w:tcPr>
            <w:tcW w:w="1134" w:type="dxa"/>
            <w:vAlign w:val="center"/>
          </w:tcPr>
          <w:p>
            <w:pPr>
              <w:pStyle w:val="11"/>
            </w:pPr>
            <w:r>
              <w:t>4.00</w:t>
            </w:r>
          </w:p>
        </w:tc>
        <w:tc>
          <w:tcPr>
            <w:tcW w:w="851" w:type="dxa"/>
            <w:vAlign w:val="center"/>
          </w:tcPr>
          <w:p>
            <w:pPr>
              <w:pStyle w:val="11"/>
            </w:pPr>
            <w:r>
              <w:t>4.00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2080112</w:t>
            </w:r>
          </w:p>
        </w:tc>
        <w:tc>
          <w:tcPr>
            <w:tcW w:w="3884" w:type="dxa"/>
            <w:vAlign w:val="center"/>
          </w:tcPr>
          <w:p>
            <w:pPr>
              <w:pStyle w:val="12"/>
            </w:pPr>
            <w:r>
              <w:t>劳动人事争议调解仲裁</w:t>
            </w:r>
          </w:p>
        </w:tc>
        <w:tc>
          <w:tcPr>
            <w:tcW w:w="1134" w:type="dxa"/>
            <w:vAlign w:val="center"/>
          </w:tcPr>
          <w:p>
            <w:pPr>
              <w:pStyle w:val="11"/>
            </w:pPr>
            <w:r>
              <w:t>25.00</w:t>
            </w:r>
          </w:p>
        </w:tc>
        <w:tc>
          <w:tcPr>
            <w:tcW w:w="1134" w:type="dxa"/>
            <w:vAlign w:val="center"/>
          </w:tcPr>
          <w:p>
            <w:pPr>
              <w:pStyle w:val="11"/>
            </w:pPr>
            <w:r>
              <w:t>25.00</w:t>
            </w:r>
          </w:p>
        </w:tc>
        <w:tc>
          <w:tcPr>
            <w:tcW w:w="851" w:type="dxa"/>
            <w:vAlign w:val="center"/>
          </w:tcPr>
          <w:p>
            <w:pPr>
              <w:pStyle w:val="11"/>
            </w:pPr>
            <w:r>
              <w:t>25.00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3884" w:type="dxa"/>
            <w:vAlign w:val="center"/>
          </w:tcPr>
          <w:p>
            <w:pPr>
              <w:pStyle w:val="12"/>
            </w:pPr>
            <w:r>
              <w:t>行政事业单位养老支出</w:t>
            </w:r>
          </w:p>
        </w:tc>
        <w:tc>
          <w:tcPr>
            <w:tcW w:w="1134" w:type="dxa"/>
            <w:vAlign w:val="center"/>
          </w:tcPr>
          <w:p>
            <w:pPr>
              <w:pStyle w:val="11"/>
            </w:pPr>
            <w:r>
              <w:t>81.64</w:t>
            </w:r>
          </w:p>
        </w:tc>
        <w:tc>
          <w:tcPr>
            <w:tcW w:w="1134" w:type="dxa"/>
            <w:vAlign w:val="center"/>
          </w:tcPr>
          <w:p>
            <w:pPr>
              <w:pStyle w:val="11"/>
            </w:pPr>
            <w:r>
              <w:t>81.64</w:t>
            </w:r>
          </w:p>
        </w:tc>
        <w:tc>
          <w:tcPr>
            <w:tcW w:w="851" w:type="dxa"/>
            <w:vAlign w:val="center"/>
          </w:tcPr>
          <w:p>
            <w:pPr>
              <w:pStyle w:val="11"/>
            </w:pPr>
            <w:r>
              <w:t>81.64</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3884" w:type="dxa"/>
            <w:vAlign w:val="center"/>
          </w:tcPr>
          <w:p>
            <w:pPr>
              <w:pStyle w:val="12"/>
            </w:pPr>
            <w:r>
              <w:t>行政单位离退休</w:t>
            </w:r>
          </w:p>
        </w:tc>
        <w:tc>
          <w:tcPr>
            <w:tcW w:w="1134" w:type="dxa"/>
            <w:vAlign w:val="center"/>
          </w:tcPr>
          <w:p>
            <w:pPr>
              <w:pStyle w:val="11"/>
            </w:pPr>
            <w:r>
              <w:t>54.41</w:t>
            </w:r>
          </w:p>
        </w:tc>
        <w:tc>
          <w:tcPr>
            <w:tcW w:w="1134" w:type="dxa"/>
            <w:vAlign w:val="center"/>
          </w:tcPr>
          <w:p>
            <w:pPr>
              <w:pStyle w:val="11"/>
            </w:pPr>
            <w:r>
              <w:t>54.41</w:t>
            </w:r>
          </w:p>
        </w:tc>
        <w:tc>
          <w:tcPr>
            <w:tcW w:w="851" w:type="dxa"/>
            <w:vAlign w:val="center"/>
          </w:tcPr>
          <w:p>
            <w:pPr>
              <w:pStyle w:val="11"/>
            </w:pPr>
            <w:r>
              <w:t>54.41</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3884" w:type="dxa"/>
            <w:vAlign w:val="center"/>
          </w:tcPr>
          <w:p>
            <w:pPr>
              <w:pStyle w:val="12"/>
            </w:pPr>
            <w:r>
              <w:t>机关事业单位基本养老保险缴费支出</w:t>
            </w:r>
          </w:p>
        </w:tc>
        <w:tc>
          <w:tcPr>
            <w:tcW w:w="1134" w:type="dxa"/>
            <w:vAlign w:val="center"/>
          </w:tcPr>
          <w:p>
            <w:pPr>
              <w:pStyle w:val="11"/>
            </w:pPr>
            <w:r>
              <w:t>27.23</w:t>
            </w:r>
          </w:p>
        </w:tc>
        <w:tc>
          <w:tcPr>
            <w:tcW w:w="1134" w:type="dxa"/>
            <w:vAlign w:val="center"/>
          </w:tcPr>
          <w:p>
            <w:pPr>
              <w:pStyle w:val="11"/>
            </w:pPr>
            <w:r>
              <w:t>27.23</w:t>
            </w:r>
          </w:p>
        </w:tc>
        <w:tc>
          <w:tcPr>
            <w:tcW w:w="851" w:type="dxa"/>
            <w:vAlign w:val="center"/>
          </w:tcPr>
          <w:p>
            <w:pPr>
              <w:pStyle w:val="11"/>
            </w:pPr>
            <w:r>
              <w:t>27.23</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3884" w:type="dxa"/>
            <w:vAlign w:val="center"/>
          </w:tcPr>
          <w:p>
            <w:pPr>
              <w:pStyle w:val="12"/>
            </w:pPr>
            <w:r>
              <w:t>卫生健康支出</w:t>
            </w:r>
          </w:p>
        </w:tc>
        <w:tc>
          <w:tcPr>
            <w:tcW w:w="1134" w:type="dxa"/>
            <w:vAlign w:val="center"/>
          </w:tcPr>
          <w:p>
            <w:pPr>
              <w:pStyle w:val="11"/>
            </w:pPr>
            <w:r>
              <w:t>26.22</w:t>
            </w:r>
          </w:p>
        </w:tc>
        <w:tc>
          <w:tcPr>
            <w:tcW w:w="1134" w:type="dxa"/>
            <w:vAlign w:val="center"/>
          </w:tcPr>
          <w:p>
            <w:pPr>
              <w:pStyle w:val="11"/>
            </w:pPr>
            <w:r>
              <w:t>26.22</w:t>
            </w:r>
          </w:p>
        </w:tc>
        <w:tc>
          <w:tcPr>
            <w:tcW w:w="851" w:type="dxa"/>
            <w:vAlign w:val="center"/>
          </w:tcPr>
          <w:p>
            <w:pPr>
              <w:pStyle w:val="11"/>
            </w:pPr>
            <w:r>
              <w:t>26.22</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3884" w:type="dxa"/>
            <w:vAlign w:val="center"/>
          </w:tcPr>
          <w:p>
            <w:pPr>
              <w:pStyle w:val="12"/>
            </w:pPr>
            <w:r>
              <w:t>行政事业单位医疗</w:t>
            </w:r>
          </w:p>
        </w:tc>
        <w:tc>
          <w:tcPr>
            <w:tcW w:w="1134" w:type="dxa"/>
            <w:vAlign w:val="center"/>
          </w:tcPr>
          <w:p>
            <w:pPr>
              <w:pStyle w:val="11"/>
            </w:pPr>
            <w:r>
              <w:t>26.22</w:t>
            </w:r>
          </w:p>
        </w:tc>
        <w:tc>
          <w:tcPr>
            <w:tcW w:w="1134" w:type="dxa"/>
            <w:vAlign w:val="center"/>
          </w:tcPr>
          <w:p>
            <w:pPr>
              <w:pStyle w:val="11"/>
            </w:pPr>
            <w:r>
              <w:t>26.22</w:t>
            </w:r>
          </w:p>
        </w:tc>
        <w:tc>
          <w:tcPr>
            <w:tcW w:w="851" w:type="dxa"/>
            <w:vAlign w:val="center"/>
          </w:tcPr>
          <w:p>
            <w:pPr>
              <w:pStyle w:val="11"/>
            </w:pPr>
            <w:r>
              <w:t>26.22</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3884" w:type="dxa"/>
            <w:vAlign w:val="center"/>
          </w:tcPr>
          <w:p>
            <w:pPr>
              <w:pStyle w:val="12"/>
            </w:pPr>
            <w:r>
              <w:t>行政单位医疗</w:t>
            </w:r>
          </w:p>
        </w:tc>
        <w:tc>
          <w:tcPr>
            <w:tcW w:w="1134" w:type="dxa"/>
            <w:vAlign w:val="center"/>
          </w:tcPr>
          <w:p>
            <w:pPr>
              <w:pStyle w:val="11"/>
            </w:pPr>
            <w:r>
              <w:t>9.32</w:t>
            </w:r>
          </w:p>
        </w:tc>
        <w:tc>
          <w:tcPr>
            <w:tcW w:w="1134" w:type="dxa"/>
            <w:vAlign w:val="center"/>
          </w:tcPr>
          <w:p>
            <w:pPr>
              <w:pStyle w:val="11"/>
            </w:pPr>
            <w:r>
              <w:t>9.32</w:t>
            </w:r>
          </w:p>
        </w:tc>
        <w:tc>
          <w:tcPr>
            <w:tcW w:w="851" w:type="dxa"/>
            <w:vAlign w:val="center"/>
          </w:tcPr>
          <w:p>
            <w:pPr>
              <w:pStyle w:val="11"/>
            </w:pPr>
            <w:r>
              <w:t>9.32</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3884" w:type="dxa"/>
            <w:vAlign w:val="center"/>
          </w:tcPr>
          <w:p>
            <w:pPr>
              <w:pStyle w:val="12"/>
            </w:pPr>
            <w:r>
              <w:t>公务员医疗补助</w:t>
            </w:r>
          </w:p>
        </w:tc>
        <w:tc>
          <w:tcPr>
            <w:tcW w:w="1134" w:type="dxa"/>
            <w:vAlign w:val="center"/>
          </w:tcPr>
          <w:p>
            <w:pPr>
              <w:pStyle w:val="11"/>
            </w:pPr>
            <w:r>
              <w:t>16.90</w:t>
            </w:r>
          </w:p>
        </w:tc>
        <w:tc>
          <w:tcPr>
            <w:tcW w:w="1134" w:type="dxa"/>
            <w:vAlign w:val="center"/>
          </w:tcPr>
          <w:p>
            <w:pPr>
              <w:pStyle w:val="11"/>
            </w:pPr>
            <w:r>
              <w:t>16.90</w:t>
            </w:r>
          </w:p>
        </w:tc>
        <w:tc>
          <w:tcPr>
            <w:tcW w:w="851" w:type="dxa"/>
            <w:vAlign w:val="center"/>
          </w:tcPr>
          <w:p>
            <w:pPr>
              <w:pStyle w:val="11"/>
            </w:pPr>
            <w:r>
              <w:t>16.90</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3884" w:type="dxa"/>
            <w:vAlign w:val="center"/>
          </w:tcPr>
          <w:p>
            <w:pPr>
              <w:pStyle w:val="12"/>
            </w:pPr>
            <w:r>
              <w:t>住房保障支出</w:t>
            </w:r>
          </w:p>
        </w:tc>
        <w:tc>
          <w:tcPr>
            <w:tcW w:w="1134" w:type="dxa"/>
            <w:vAlign w:val="center"/>
          </w:tcPr>
          <w:p>
            <w:pPr>
              <w:pStyle w:val="11"/>
            </w:pPr>
            <w:r>
              <w:t>24.08</w:t>
            </w:r>
          </w:p>
        </w:tc>
        <w:tc>
          <w:tcPr>
            <w:tcW w:w="1134" w:type="dxa"/>
            <w:vAlign w:val="center"/>
          </w:tcPr>
          <w:p>
            <w:pPr>
              <w:pStyle w:val="11"/>
            </w:pPr>
            <w:r>
              <w:t>24.08</w:t>
            </w:r>
          </w:p>
        </w:tc>
        <w:tc>
          <w:tcPr>
            <w:tcW w:w="851" w:type="dxa"/>
            <w:vAlign w:val="center"/>
          </w:tcPr>
          <w:p>
            <w:pPr>
              <w:pStyle w:val="11"/>
            </w:pPr>
            <w:r>
              <w:t>24.08</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3884" w:type="dxa"/>
            <w:vAlign w:val="center"/>
          </w:tcPr>
          <w:p>
            <w:pPr>
              <w:pStyle w:val="12"/>
            </w:pPr>
            <w:r>
              <w:t>住房改革支出</w:t>
            </w:r>
          </w:p>
        </w:tc>
        <w:tc>
          <w:tcPr>
            <w:tcW w:w="1134" w:type="dxa"/>
            <w:vAlign w:val="center"/>
          </w:tcPr>
          <w:p>
            <w:pPr>
              <w:pStyle w:val="11"/>
            </w:pPr>
            <w:r>
              <w:t>24.08</w:t>
            </w:r>
          </w:p>
        </w:tc>
        <w:tc>
          <w:tcPr>
            <w:tcW w:w="1134" w:type="dxa"/>
            <w:vAlign w:val="center"/>
          </w:tcPr>
          <w:p>
            <w:pPr>
              <w:pStyle w:val="11"/>
            </w:pPr>
            <w:r>
              <w:t>24.08</w:t>
            </w:r>
          </w:p>
        </w:tc>
        <w:tc>
          <w:tcPr>
            <w:tcW w:w="851" w:type="dxa"/>
            <w:vAlign w:val="center"/>
          </w:tcPr>
          <w:p>
            <w:pPr>
              <w:pStyle w:val="11"/>
            </w:pPr>
            <w:r>
              <w:t>24.08</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3884" w:type="dxa"/>
            <w:vAlign w:val="center"/>
          </w:tcPr>
          <w:p>
            <w:pPr>
              <w:pStyle w:val="12"/>
            </w:pPr>
            <w:r>
              <w:t>住房公积金</w:t>
            </w:r>
          </w:p>
        </w:tc>
        <w:tc>
          <w:tcPr>
            <w:tcW w:w="1134" w:type="dxa"/>
            <w:vAlign w:val="center"/>
          </w:tcPr>
          <w:p>
            <w:pPr>
              <w:pStyle w:val="11"/>
            </w:pPr>
            <w:r>
              <w:t>24.08</w:t>
            </w:r>
          </w:p>
        </w:tc>
        <w:tc>
          <w:tcPr>
            <w:tcW w:w="1134" w:type="dxa"/>
            <w:vAlign w:val="center"/>
          </w:tcPr>
          <w:p>
            <w:pPr>
              <w:pStyle w:val="11"/>
            </w:pPr>
            <w:r>
              <w:t>24.08</w:t>
            </w:r>
          </w:p>
        </w:tc>
        <w:tc>
          <w:tcPr>
            <w:tcW w:w="851" w:type="dxa"/>
            <w:vAlign w:val="center"/>
          </w:tcPr>
          <w:p>
            <w:pPr>
              <w:pStyle w:val="11"/>
            </w:pPr>
            <w:r>
              <w:t>24.08</w:t>
            </w:r>
          </w:p>
        </w:tc>
        <w:tc>
          <w:tcPr>
            <w:tcW w:w="992" w:type="dxa"/>
            <w:vAlign w:val="center"/>
          </w:tcPr>
          <w:p>
            <w:pPr>
              <w:pStyle w:val="11"/>
            </w:pPr>
          </w:p>
        </w:tc>
        <w:tc>
          <w:tcPr>
            <w:tcW w:w="709" w:type="dxa"/>
            <w:vAlign w:val="center"/>
          </w:tcPr>
          <w:p>
            <w:pPr>
              <w:pStyle w:val="11"/>
            </w:pPr>
          </w:p>
        </w:tc>
        <w:tc>
          <w:tcPr>
            <w:tcW w:w="709" w:type="dxa"/>
            <w:vAlign w:val="center"/>
          </w:tcPr>
          <w:p>
            <w:pPr>
              <w:pStyle w:val="11"/>
            </w:pPr>
          </w:p>
        </w:tc>
        <w:tc>
          <w:tcPr>
            <w:tcW w:w="992" w:type="dxa"/>
            <w:vAlign w:val="center"/>
          </w:tcPr>
          <w:p>
            <w:pPr>
              <w:pStyle w:val="11"/>
            </w:pPr>
          </w:p>
        </w:tc>
        <w:tc>
          <w:tcPr>
            <w:tcW w:w="992" w:type="dxa"/>
            <w:vAlign w:val="center"/>
          </w:tcPr>
          <w:p>
            <w:pPr>
              <w:pStyle w:val="11"/>
            </w:pPr>
          </w:p>
        </w:tc>
        <w:tc>
          <w:tcPr>
            <w:tcW w:w="709" w:type="dxa"/>
            <w:vAlign w:val="center"/>
          </w:tcPr>
          <w:p>
            <w:pPr>
              <w:pStyle w:val="11"/>
            </w:pPr>
          </w:p>
        </w:tc>
        <w:tc>
          <w:tcPr>
            <w:tcW w:w="793"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496.46</w:t>
            </w:r>
          </w:p>
        </w:tc>
        <w:tc>
          <w:tcPr>
            <w:tcW w:w="1361" w:type="dxa"/>
            <w:vAlign w:val="center"/>
          </w:tcPr>
          <w:p>
            <w:pPr>
              <w:pStyle w:val="15"/>
            </w:pPr>
            <w:r>
              <w:t>411.46</w:t>
            </w: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446.16</w:t>
            </w:r>
          </w:p>
        </w:tc>
        <w:tc>
          <w:tcPr>
            <w:tcW w:w="1361" w:type="dxa"/>
            <w:vAlign w:val="center"/>
          </w:tcPr>
          <w:p>
            <w:pPr>
              <w:pStyle w:val="11"/>
            </w:pPr>
            <w:r>
              <w:t>361.16</w:t>
            </w: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364.52</w:t>
            </w:r>
          </w:p>
        </w:tc>
        <w:tc>
          <w:tcPr>
            <w:tcW w:w="1361" w:type="dxa"/>
            <w:vAlign w:val="center"/>
          </w:tcPr>
          <w:p>
            <w:pPr>
              <w:pStyle w:val="11"/>
            </w:pPr>
            <w:r>
              <w:t>279.52</w:t>
            </w: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279.52</w:t>
            </w:r>
          </w:p>
        </w:tc>
        <w:tc>
          <w:tcPr>
            <w:tcW w:w="1361" w:type="dxa"/>
            <w:vAlign w:val="center"/>
          </w:tcPr>
          <w:p>
            <w:pPr>
              <w:pStyle w:val="11"/>
            </w:pPr>
            <w:r>
              <w:t>279.52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5.50</w:t>
            </w:r>
          </w:p>
        </w:tc>
        <w:tc>
          <w:tcPr>
            <w:tcW w:w="1361" w:type="dxa"/>
            <w:vAlign w:val="center"/>
          </w:tcPr>
          <w:p>
            <w:pPr>
              <w:pStyle w:val="11"/>
            </w:pPr>
          </w:p>
        </w:tc>
        <w:tc>
          <w:tcPr>
            <w:tcW w:w="1361" w:type="dxa"/>
            <w:vAlign w:val="center"/>
          </w:tcPr>
          <w:p>
            <w:pPr>
              <w:pStyle w:val="11"/>
            </w:pPr>
            <w:r>
              <w:t>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2080105</w:t>
            </w:r>
          </w:p>
        </w:tc>
        <w:tc>
          <w:tcPr>
            <w:tcW w:w="4535" w:type="dxa"/>
            <w:vAlign w:val="center"/>
          </w:tcPr>
          <w:p>
            <w:pPr>
              <w:pStyle w:val="12"/>
            </w:pPr>
            <w:r>
              <w:t>劳动保障监察</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2080107</w:t>
            </w:r>
          </w:p>
        </w:tc>
        <w:tc>
          <w:tcPr>
            <w:tcW w:w="4535" w:type="dxa"/>
            <w:vAlign w:val="center"/>
          </w:tcPr>
          <w:p>
            <w:pPr>
              <w:pStyle w:val="12"/>
            </w:pPr>
            <w:r>
              <w:t>社会保险业务管理事务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2080108</w:t>
            </w:r>
          </w:p>
        </w:tc>
        <w:tc>
          <w:tcPr>
            <w:tcW w:w="4535" w:type="dxa"/>
            <w:vAlign w:val="center"/>
          </w:tcPr>
          <w:p>
            <w:pPr>
              <w:pStyle w:val="12"/>
            </w:pPr>
            <w:r>
              <w:t>信息化建设</w:t>
            </w: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2080110</w:t>
            </w:r>
          </w:p>
        </w:tc>
        <w:tc>
          <w:tcPr>
            <w:tcW w:w="4535" w:type="dxa"/>
            <w:vAlign w:val="center"/>
          </w:tcPr>
          <w:p>
            <w:pPr>
              <w:pStyle w:val="12"/>
            </w:pPr>
            <w:r>
              <w:t>劳动关系和维权</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2080112</w:t>
            </w:r>
          </w:p>
        </w:tc>
        <w:tc>
          <w:tcPr>
            <w:tcW w:w="4535" w:type="dxa"/>
            <w:vAlign w:val="center"/>
          </w:tcPr>
          <w:p>
            <w:pPr>
              <w:pStyle w:val="12"/>
            </w:pPr>
            <w:r>
              <w:t>劳动人事争议调解仲裁</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81.64</w:t>
            </w:r>
          </w:p>
        </w:tc>
        <w:tc>
          <w:tcPr>
            <w:tcW w:w="1361" w:type="dxa"/>
            <w:vAlign w:val="center"/>
          </w:tcPr>
          <w:p>
            <w:pPr>
              <w:pStyle w:val="11"/>
            </w:pPr>
            <w:r>
              <w:t>81.64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54.41</w:t>
            </w:r>
          </w:p>
        </w:tc>
        <w:tc>
          <w:tcPr>
            <w:tcW w:w="1361" w:type="dxa"/>
            <w:vAlign w:val="center"/>
          </w:tcPr>
          <w:p>
            <w:pPr>
              <w:pStyle w:val="11"/>
            </w:pPr>
            <w:r>
              <w:t>54.41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27.23</w:t>
            </w:r>
          </w:p>
        </w:tc>
        <w:tc>
          <w:tcPr>
            <w:tcW w:w="1361" w:type="dxa"/>
            <w:vAlign w:val="center"/>
          </w:tcPr>
          <w:p>
            <w:pPr>
              <w:pStyle w:val="11"/>
            </w:pPr>
            <w:r>
              <w:t>27.23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26.22</w:t>
            </w:r>
          </w:p>
        </w:tc>
        <w:tc>
          <w:tcPr>
            <w:tcW w:w="1361" w:type="dxa"/>
            <w:vAlign w:val="center"/>
          </w:tcPr>
          <w:p>
            <w:pPr>
              <w:pStyle w:val="11"/>
            </w:pPr>
            <w:r>
              <w:t>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26.22</w:t>
            </w:r>
          </w:p>
        </w:tc>
        <w:tc>
          <w:tcPr>
            <w:tcW w:w="1361" w:type="dxa"/>
            <w:vAlign w:val="center"/>
          </w:tcPr>
          <w:p>
            <w:pPr>
              <w:pStyle w:val="11"/>
            </w:pPr>
            <w:r>
              <w:t>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9.32</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16.90</w:t>
            </w:r>
          </w:p>
        </w:tc>
        <w:tc>
          <w:tcPr>
            <w:tcW w:w="1361" w:type="dxa"/>
            <w:vAlign w:val="center"/>
          </w:tcPr>
          <w:p>
            <w:pPr>
              <w:pStyle w:val="11"/>
            </w:pPr>
            <w:r>
              <w:t>16.90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24.08</w:t>
            </w:r>
          </w:p>
        </w:tc>
        <w:tc>
          <w:tcPr>
            <w:tcW w:w="1361" w:type="dxa"/>
            <w:vAlign w:val="center"/>
          </w:tcPr>
          <w:p>
            <w:pPr>
              <w:pStyle w:val="11"/>
            </w:pPr>
            <w:r>
              <w:t>24.08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24.08</w:t>
            </w:r>
          </w:p>
        </w:tc>
        <w:tc>
          <w:tcPr>
            <w:tcW w:w="1361" w:type="dxa"/>
            <w:vAlign w:val="center"/>
          </w:tcPr>
          <w:p>
            <w:pPr>
              <w:pStyle w:val="11"/>
            </w:pPr>
            <w:r>
              <w:t>24.08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24.08</w:t>
            </w:r>
          </w:p>
        </w:tc>
        <w:tc>
          <w:tcPr>
            <w:tcW w:w="1361" w:type="dxa"/>
            <w:vAlign w:val="center"/>
          </w:tcPr>
          <w:p>
            <w:pPr>
              <w:pStyle w:val="11"/>
            </w:pPr>
            <w:r>
              <w:t>24.08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496.46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446.16</w:t>
            </w:r>
          </w:p>
        </w:tc>
        <w:tc>
          <w:tcPr>
            <w:tcW w:w="1474" w:type="dxa"/>
            <w:vAlign w:val="center"/>
          </w:tcPr>
          <w:p>
            <w:pPr>
              <w:pStyle w:val="11"/>
            </w:pPr>
            <w:r>
              <w:t>446.16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26.22</w:t>
            </w:r>
          </w:p>
        </w:tc>
        <w:tc>
          <w:tcPr>
            <w:tcW w:w="1474" w:type="dxa"/>
            <w:vAlign w:val="center"/>
          </w:tcPr>
          <w:p>
            <w:pPr>
              <w:pStyle w:val="11"/>
            </w:pPr>
            <w:r>
              <w:t>26.22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24.08</w:t>
            </w:r>
          </w:p>
        </w:tc>
        <w:tc>
          <w:tcPr>
            <w:tcW w:w="1474" w:type="dxa"/>
            <w:vAlign w:val="center"/>
          </w:tcPr>
          <w:p>
            <w:pPr>
              <w:pStyle w:val="11"/>
            </w:pPr>
            <w:r>
              <w:t>24.08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496.46</w:t>
            </w:r>
          </w:p>
        </w:tc>
        <w:tc>
          <w:tcPr>
            <w:tcW w:w="3402" w:type="dxa"/>
            <w:vAlign w:val="center"/>
          </w:tcPr>
          <w:p>
            <w:pPr>
              <w:pStyle w:val="14"/>
            </w:pPr>
            <w:r>
              <w:t>本年支出合计</w:t>
            </w:r>
          </w:p>
        </w:tc>
        <w:tc>
          <w:tcPr>
            <w:tcW w:w="1474" w:type="dxa"/>
            <w:vAlign w:val="center"/>
          </w:tcPr>
          <w:p>
            <w:pPr>
              <w:pStyle w:val="15"/>
            </w:pPr>
            <w:r>
              <w:t>496.46</w:t>
            </w:r>
          </w:p>
        </w:tc>
        <w:tc>
          <w:tcPr>
            <w:tcW w:w="1474" w:type="dxa"/>
            <w:vAlign w:val="center"/>
          </w:tcPr>
          <w:p>
            <w:pPr>
              <w:pStyle w:val="15"/>
            </w:pPr>
            <w:r>
              <w:t>496.46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496.46</w:t>
            </w:r>
          </w:p>
        </w:tc>
        <w:tc>
          <w:tcPr>
            <w:tcW w:w="3402" w:type="dxa"/>
            <w:vAlign w:val="center"/>
          </w:tcPr>
          <w:p>
            <w:pPr>
              <w:pStyle w:val="14"/>
            </w:pPr>
            <w:r>
              <w:t>支出总计</w:t>
            </w:r>
          </w:p>
        </w:tc>
        <w:tc>
          <w:tcPr>
            <w:tcW w:w="1474" w:type="dxa"/>
            <w:vAlign w:val="center"/>
          </w:tcPr>
          <w:p>
            <w:pPr>
              <w:pStyle w:val="15"/>
            </w:pPr>
            <w:r>
              <w:t>496.46</w:t>
            </w:r>
          </w:p>
        </w:tc>
        <w:tc>
          <w:tcPr>
            <w:tcW w:w="1474" w:type="dxa"/>
            <w:vAlign w:val="center"/>
          </w:tcPr>
          <w:p>
            <w:pPr>
              <w:pStyle w:val="15"/>
            </w:pPr>
            <w:r>
              <w:t>496.46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496.46</w:t>
            </w:r>
          </w:p>
        </w:tc>
        <w:tc>
          <w:tcPr>
            <w:tcW w:w="2551" w:type="dxa"/>
            <w:vAlign w:val="center"/>
          </w:tcPr>
          <w:p>
            <w:pPr>
              <w:pStyle w:val="15"/>
            </w:pPr>
            <w:r>
              <w:t>411.46</w:t>
            </w:r>
          </w:p>
        </w:tc>
        <w:tc>
          <w:tcPr>
            <w:tcW w:w="2551" w:type="dxa"/>
            <w:vAlign w:val="center"/>
          </w:tcPr>
          <w:p>
            <w:pPr>
              <w:pStyle w:val="15"/>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446.16</w:t>
            </w:r>
          </w:p>
        </w:tc>
        <w:tc>
          <w:tcPr>
            <w:tcW w:w="2551" w:type="dxa"/>
            <w:vAlign w:val="center"/>
          </w:tcPr>
          <w:p>
            <w:pPr>
              <w:pStyle w:val="11"/>
            </w:pPr>
            <w:r>
              <w:t>361.16</w:t>
            </w:r>
          </w:p>
        </w:tc>
        <w:tc>
          <w:tcPr>
            <w:tcW w:w="2551"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364.52</w:t>
            </w:r>
          </w:p>
        </w:tc>
        <w:tc>
          <w:tcPr>
            <w:tcW w:w="2551" w:type="dxa"/>
            <w:vAlign w:val="center"/>
          </w:tcPr>
          <w:p>
            <w:pPr>
              <w:pStyle w:val="11"/>
            </w:pPr>
            <w:r>
              <w:t>279.52</w:t>
            </w:r>
          </w:p>
        </w:tc>
        <w:tc>
          <w:tcPr>
            <w:tcW w:w="2551"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279.52</w:t>
            </w:r>
          </w:p>
        </w:tc>
        <w:tc>
          <w:tcPr>
            <w:tcW w:w="2551" w:type="dxa"/>
            <w:vAlign w:val="center"/>
          </w:tcPr>
          <w:p>
            <w:pPr>
              <w:pStyle w:val="11"/>
            </w:pPr>
            <w:r>
              <w:t>279.52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2080107</w:t>
            </w:r>
          </w:p>
        </w:tc>
        <w:tc>
          <w:tcPr>
            <w:tcW w:w="4535" w:type="dxa"/>
            <w:vAlign w:val="center"/>
          </w:tcPr>
          <w:p>
            <w:pPr>
              <w:pStyle w:val="12"/>
            </w:pPr>
            <w:r>
              <w:t>社会保险业务管理事务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2080108</w:t>
            </w:r>
          </w:p>
        </w:tc>
        <w:tc>
          <w:tcPr>
            <w:tcW w:w="4535" w:type="dxa"/>
            <w:vAlign w:val="center"/>
          </w:tcPr>
          <w:p>
            <w:pPr>
              <w:pStyle w:val="12"/>
            </w:pPr>
            <w:r>
              <w:t>信息化建设</w:t>
            </w:r>
          </w:p>
        </w:tc>
        <w:tc>
          <w:tcPr>
            <w:tcW w:w="2551" w:type="dxa"/>
            <w:vAlign w:val="center"/>
          </w:tcPr>
          <w:p>
            <w:pPr>
              <w:pStyle w:val="11"/>
            </w:pPr>
            <w:r>
              <w:t>16.50</w:t>
            </w:r>
          </w:p>
        </w:tc>
        <w:tc>
          <w:tcPr>
            <w:tcW w:w="2551" w:type="dxa"/>
            <w:vAlign w:val="center"/>
          </w:tcPr>
          <w:p>
            <w:pPr>
              <w:pStyle w:val="11"/>
            </w:pPr>
          </w:p>
        </w:tc>
        <w:tc>
          <w:tcPr>
            <w:tcW w:w="2551"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2080110</w:t>
            </w:r>
          </w:p>
        </w:tc>
        <w:tc>
          <w:tcPr>
            <w:tcW w:w="4535" w:type="dxa"/>
            <w:vAlign w:val="center"/>
          </w:tcPr>
          <w:p>
            <w:pPr>
              <w:pStyle w:val="12"/>
            </w:pPr>
            <w:r>
              <w:t>劳动关系和维权</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2080112</w:t>
            </w:r>
          </w:p>
        </w:tc>
        <w:tc>
          <w:tcPr>
            <w:tcW w:w="4535" w:type="dxa"/>
            <w:vAlign w:val="center"/>
          </w:tcPr>
          <w:p>
            <w:pPr>
              <w:pStyle w:val="12"/>
            </w:pPr>
            <w:r>
              <w:t>劳动人事争议调解仲裁</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81.64</w:t>
            </w:r>
          </w:p>
        </w:tc>
        <w:tc>
          <w:tcPr>
            <w:tcW w:w="2551" w:type="dxa"/>
            <w:vAlign w:val="center"/>
          </w:tcPr>
          <w:p>
            <w:pPr>
              <w:pStyle w:val="11"/>
            </w:pPr>
            <w:r>
              <w:t>81.64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54.41</w:t>
            </w:r>
          </w:p>
        </w:tc>
        <w:tc>
          <w:tcPr>
            <w:tcW w:w="2551" w:type="dxa"/>
            <w:vAlign w:val="center"/>
          </w:tcPr>
          <w:p>
            <w:pPr>
              <w:pStyle w:val="11"/>
            </w:pPr>
            <w:r>
              <w:t>54.41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27.23</w:t>
            </w:r>
          </w:p>
        </w:tc>
        <w:tc>
          <w:tcPr>
            <w:tcW w:w="2551" w:type="dxa"/>
            <w:vAlign w:val="center"/>
          </w:tcPr>
          <w:p>
            <w:pPr>
              <w:pStyle w:val="11"/>
            </w:pPr>
            <w:r>
              <w:t>27.23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26.22</w:t>
            </w:r>
          </w:p>
        </w:tc>
        <w:tc>
          <w:tcPr>
            <w:tcW w:w="2551" w:type="dxa"/>
            <w:vAlign w:val="center"/>
          </w:tcPr>
          <w:p>
            <w:pPr>
              <w:pStyle w:val="11"/>
            </w:pPr>
            <w:r>
              <w:t>26.22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26.22</w:t>
            </w:r>
          </w:p>
        </w:tc>
        <w:tc>
          <w:tcPr>
            <w:tcW w:w="2551" w:type="dxa"/>
            <w:vAlign w:val="center"/>
          </w:tcPr>
          <w:p>
            <w:pPr>
              <w:pStyle w:val="11"/>
            </w:pPr>
            <w:r>
              <w:t>26.22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16.90</w:t>
            </w:r>
          </w:p>
        </w:tc>
        <w:tc>
          <w:tcPr>
            <w:tcW w:w="2551" w:type="dxa"/>
            <w:vAlign w:val="center"/>
          </w:tcPr>
          <w:p>
            <w:pPr>
              <w:pStyle w:val="11"/>
            </w:pPr>
            <w:r>
              <w:t>16.90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24.08</w:t>
            </w:r>
          </w:p>
        </w:tc>
        <w:tc>
          <w:tcPr>
            <w:tcW w:w="2551" w:type="dxa"/>
            <w:vAlign w:val="center"/>
          </w:tcPr>
          <w:p>
            <w:pPr>
              <w:pStyle w:val="11"/>
            </w:pPr>
            <w:r>
              <w:t>24.08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24.08</w:t>
            </w:r>
          </w:p>
        </w:tc>
        <w:tc>
          <w:tcPr>
            <w:tcW w:w="2551" w:type="dxa"/>
            <w:vAlign w:val="center"/>
          </w:tcPr>
          <w:p>
            <w:pPr>
              <w:pStyle w:val="11"/>
            </w:pPr>
            <w:r>
              <w:t>24.08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24.08</w:t>
            </w:r>
          </w:p>
        </w:tc>
        <w:tc>
          <w:tcPr>
            <w:tcW w:w="2551" w:type="dxa"/>
            <w:vAlign w:val="center"/>
          </w:tcPr>
          <w:p>
            <w:pPr>
              <w:pStyle w:val="11"/>
            </w:pPr>
            <w:r>
              <w:t>24.08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411.46</w:t>
            </w:r>
          </w:p>
        </w:tc>
        <w:tc>
          <w:tcPr>
            <w:tcW w:w="2551" w:type="dxa"/>
            <w:vAlign w:val="center"/>
          </w:tcPr>
          <w:p>
            <w:pPr>
              <w:pStyle w:val="15"/>
            </w:pPr>
            <w:r>
              <w:t>335.28</w:t>
            </w:r>
          </w:p>
        </w:tc>
        <w:tc>
          <w:tcPr>
            <w:tcW w:w="2551" w:type="dxa"/>
            <w:vAlign w:val="center"/>
          </w:tcPr>
          <w:p>
            <w:pPr>
              <w:pStyle w:val="15"/>
            </w:pPr>
            <w:r>
              <w:t>76.18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281.84</w:t>
            </w:r>
          </w:p>
        </w:tc>
        <w:tc>
          <w:tcPr>
            <w:tcW w:w="2551" w:type="dxa"/>
            <w:vAlign w:val="center"/>
          </w:tcPr>
          <w:p>
            <w:pPr>
              <w:pStyle w:val="11"/>
            </w:pPr>
            <w:r>
              <w:t>281.84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76.43</w:t>
            </w:r>
          </w:p>
        </w:tc>
        <w:tc>
          <w:tcPr>
            <w:tcW w:w="2551" w:type="dxa"/>
            <w:vAlign w:val="center"/>
          </w:tcPr>
          <w:p>
            <w:pPr>
              <w:pStyle w:val="11"/>
            </w:pPr>
            <w:r>
              <w:t>76.43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71.10</w:t>
            </w:r>
          </w:p>
        </w:tc>
        <w:tc>
          <w:tcPr>
            <w:tcW w:w="2551" w:type="dxa"/>
            <w:vAlign w:val="center"/>
          </w:tcPr>
          <w:p>
            <w:pPr>
              <w:pStyle w:val="11"/>
            </w:pPr>
            <w:r>
              <w:t>71.10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54.96</w:t>
            </w:r>
          </w:p>
        </w:tc>
        <w:tc>
          <w:tcPr>
            <w:tcW w:w="2551" w:type="dxa"/>
            <w:vAlign w:val="center"/>
          </w:tcPr>
          <w:p>
            <w:pPr>
              <w:pStyle w:val="11"/>
            </w:pPr>
            <w:r>
              <w:t>54.96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27.23</w:t>
            </w:r>
          </w:p>
        </w:tc>
        <w:tc>
          <w:tcPr>
            <w:tcW w:w="2551" w:type="dxa"/>
            <w:vAlign w:val="center"/>
          </w:tcPr>
          <w:p>
            <w:pPr>
              <w:pStyle w:val="11"/>
            </w:pPr>
            <w:r>
              <w:t>27.23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9.32</w:t>
            </w:r>
          </w:p>
        </w:tc>
        <w:tc>
          <w:tcPr>
            <w:tcW w:w="2551" w:type="dxa"/>
            <w:vAlign w:val="center"/>
          </w:tcPr>
          <w:p>
            <w:pPr>
              <w:pStyle w:val="11"/>
            </w:pPr>
            <w:r>
              <w:t>9.32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16.90</w:t>
            </w:r>
          </w:p>
        </w:tc>
        <w:tc>
          <w:tcPr>
            <w:tcW w:w="2551" w:type="dxa"/>
            <w:vAlign w:val="center"/>
          </w:tcPr>
          <w:p>
            <w:pPr>
              <w:pStyle w:val="11"/>
            </w:pPr>
            <w:r>
              <w:t>16.90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1.82</w:t>
            </w:r>
          </w:p>
        </w:tc>
        <w:tc>
          <w:tcPr>
            <w:tcW w:w="2551" w:type="dxa"/>
            <w:vAlign w:val="center"/>
          </w:tcPr>
          <w:p>
            <w:pPr>
              <w:pStyle w:val="11"/>
            </w:pPr>
            <w:r>
              <w:t>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24.08</w:t>
            </w:r>
          </w:p>
        </w:tc>
        <w:tc>
          <w:tcPr>
            <w:tcW w:w="2551" w:type="dxa"/>
            <w:vAlign w:val="center"/>
          </w:tcPr>
          <w:p>
            <w:pPr>
              <w:pStyle w:val="11"/>
            </w:pPr>
            <w:r>
              <w:t>24.08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76.18</w:t>
            </w:r>
          </w:p>
        </w:tc>
        <w:tc>
          <w:tcPr>
            <w:tcW w:w="2551" w:type="dxa"/>
            <w:vAlign w:val="center"/>
          </w:tcPr>
          <w:p>
            <w:pPr>
              <w:pStyle w:val="11"/>
            </w:pPr>
          </w:p>
        </w:tc>
        <w:tc>
          <w:tcPr>
            <w:tcW w:w="2551" w:type="dxa"/>
            <w:vAlign w:val="center"/>
          </w:tcPr>
          <w:p>
            <w:pPr>
              <w:pStyle w:val="11"/>
            </w:pPr>
            <w:r>
              <w:t>76.18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4.25</w:t>
            </w:r>
          </w:p>
        </w:tc>
        <w:tc>
          <w:tcPr>
            <w:tcW w:w="2551" w:type="dxa"/>
            <w:vAlign w:val="center"/>
          </w:tcPr>
          <w:p>
            <w:pPr>
              <w:pStyle w:val="11"/>
            </w:pPr>
          </w:p>
        </w:tc>
        <w:tc>
          <w:tcPr>
            <w:tcW w:w="2551"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12.61</w:t>
            </w:r>
          </w:p>
        </w:tc>
        <w:tc>
          <w:tcPr>
            <w:tcW w:w="2551" w:type="dxa"/>
            <w:vAlign w:val="center"/>
          </w:tcPr>
          <w:p>
            <w:pPr>
              <w:pStyle w:val="11"/>
            </w:pPr>
          </w:p>
        </w:tc>
        <w:tc>
          <w:tcPr>
            <w:tcW w:w="2551" w:type="dxa"/>
            <w:vAlign w:val="center"/>
          </w:tcPr>
          <w:p>
            <w:pPr>
              <w:pStyle w:val="11"/>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2.66</w:t>
            </w:r>
          </w:p>
        </w:tc>
        <w:tc>
          <w:tcPr>
            <w:tcW w:w="2551" w:type="dxa"/>
            <w:vAlign w:val="center"/>
          </w:tcPr>
          <w:p>
            <w:pPr>
              <w:pStyle w:val="11"/>
            </w:pPr>
          </w:p>
        </w:tc>
        <w:tc>
          <w:tcPr>
            <w:tcW w:w="2551" w:type="dxa"/>
            <w:vAlign w:val="center"/>
          </w:tcPr>
          <w:p>
            <w:pPr>
              <w:pStyle w:val="11"/>
            </w:pPr>
            <w: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4.21</w:t>
            </w:r>
          </w:p>
        </w:tc>
        <w:tc>
          <w:tcPr>
            <w:tcW w:w="2551" w:type="dxa"/>
            <w:vAlign w:val="center"/>
          </w:tcPr>
          <w:p>
            <w:pPr>
              <w:pStyle w:val="11"/>
            </w:pPr>
          </w:p>
        </w:tc>
        <w:tc>
          <w:tcPr>
            <w:tcW w:w="2551" w:type="dxa"/>
            <w:vAlign w:val="center"/>
          </w:tcPr>
          <w:p>
            <w:pPr>
              <w:pStyle w:val="11"/>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4.51</w:t>
            </w:r>
          </w:p>
        </w:tc>
        <w:tc>
          <w:tcPr>
            <w:tcW w:w="2551" w:type="dxa"/>
            <w:vAlign w:val="center"/>
          </w:tcPr>
          <w:p>
            <w:pPr>
              <w:pStyle w:val="11"/>
            </w:pPr>
          </w:p>
        </w:tc>
        <w:tc>
          <w:tcPr>
            <w:tcW w:w="2551" w:type="dxa"/>
            <w:vAlign w:val="center"/>
          </w:tcPr>
          <w:p>
            <w:pPr>
              <w:pStyle w:val="11"/>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10.08</w:t>
            </w:r>
          </w:p>
        </w:tc>
        <w:tc>
          <w:tcPr>
            <w:tcW w:w="2551" w:type="dxa"/>
            <w:vAlign w:val="center"/>
          </w:tcPr>
          <w:p>
            <w:pPr>
              <w:pStyle w:val="11"/>
            </w:pPr>
          </w:p>
        </w:tc>
        <w:tc>
          <w:tcPr>
            <w:tcW w:w="2551" w:type="dxa"/>
            <w:vAlign w:val="center"/>
          </w:tcPr>
          <w:p>
            <w:pPr>
              <w:pStyle w:val="11"/>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1.33</w:t>
            </w:r>
          </w:p>
        </w:tc>
        <w:tc>
          <w:tcPr>
            <w:tcW w:w="2551" w:type="dxa"/>
            <w:vAlign w:val="center"/>
          </w:tcPr>
          <w:p>
            <w:pPr>
              <w:pStyle w:val="11"/>
            </w:pPr>
          </w:p>
        </w:tc>
        <w:tc>
          <w:tcPr>
            <w:tcW w:w="2551"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53.44</w:t>
            </w:r>
          </w:p>
        </w:tc>
        <w:tc>
          <w:tcPr>
            <w:tcW w:w="2551" w:type="dxa"/>
            <w:vAlign w:val="center"/>
          </w:tcPr>
          <w:p>
            <w:pPr>
              <w:pStyle w:val="11"/>
            </w:pPr>
            <w:r>
              <w:t>53.44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46.46</w:t>
            </w:r>
          </w:p>
        </w:tc>
        <w:tc>
          <w:tcPr>
            <w:tcW w:w="2551" w:type="dxa"/>
            <w:vAlign w:val="center"/>
          </w:tcPr>
          <w:p>
            <w:pPr>
              <w:pStyle w:val="11"/>
            </w:pPr>
            <w:r>
              <w:t>46.46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0.21</w:t>
            </w:r>
          </w:p>
        </w:tc>
        <w:tc>
          <w:tcPr>
            <w:tcW w:w="2551" w:type="dxa"/>
            <w:vAlign w:val="center"/>
          </w:tcPr>
          <w:p>
            <w:pPr>
              <w:pStyle w:val="11"/>
            </w:pPr>
            <w:r>
              <w:t>0.21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168"/>
        <w:gridCol w:w="2375"/>
        <w:gridCol w:w="2013"/>
        <w:gridCol w:w="1875"/>
        <w:gridCol w:w="1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3" w:type="dxa"/>
            <w:gridSpan w:val="3"/>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2013" w:type="dxa"/>
            <w:tcBorders>
              <w:top w:val="single" w:color="FFFFFF" w:sz="6" w:space="0"/>
              <w:left w:val="single" w:color="FFFFFF" w:sz="6" w:space="0"/>
              <w:right w:val="single" w:color="FFFFFF" w:sz="6" w:space="0"/>
            </w:tcBorders>
            <w:vAlign w:val="center"/>
          </w:tcPr>
          <w:p>
            <w:pPr>
              <w:pStyle w:val="8"/>
            </w:pPr>
            <w:r>
              <w:t>预算年度：2024</w:t>
            </w:r>
          </w:p>
        </w:tc>
        <w:tc>
          <w:tcPr>
            <w:tcW w:w="376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168" w:type="dxa"/>
            <w:vMerge w:val="restart"/>
            <w:vAlign w:val="center"/>
          </w:tcPr>
          <w:p>
            <w:pPr>
              <w:pStyle w:val="10"/>
            </w:pPr>
            <w:r>
              <w:t>项  目</w:t>
            </w:r>
          </w:p>
        </w:tc>
        <w:tc>
          <w:tcPr>
            <w:tcW w:w="815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5168" w:type="dxa"/>
            <w:vMerge w:val="continue"/>
          </w:tcPr>
          <w:p/>
        </w:tc>
        <w:tc>
          <w:tcPr>
            <w:tcW w:w="2375" w:type="dxa"/>
            <w:vAlign w:val="center"/>
          </w:tcPr>
          <w:p>
            <w:pPr>
              <w:pStyle w:val="10"/>
            </w:pPr>
            <w:r>
              <w:t>合计</w:t>
            </w:r>
          </w:p>
        </w:tc>
        <w:tc>
          <w:tcPr>
            <w:tcW w:w="2013" w:type="dxa"/>
            <w:vAlign w:val="center"/>
          </w:tcPr>
          <w:p>
            <w:pPr>
              <w:pStyle w:val="10"/>
            </w:pPr>
            <w:r>
              <w:t>一般公共预算              财政拨款</w:t>
            </w:r>
          </w:p>
        </w:tc>
        <w:tc>
          <w:tcPr>
            <w:tcW w:w="1875" w:type="dxa"/>
            <w:vAlign w:val="center"/>
          </w:tcPr>
          <w:p>
            <w:pPr>
              <w:pStyle w:val="10"/>
            </w:pPr>
            <w:r>
              <w:t>政府性基金                  预算拨款</w:t>
            </w:r>
          </w:p>
        </w:tc>
        <w:tc>
          <w:tcPr>
            <w:tcW w:w="1892"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5168" w:type="dxa"/>
            <w:vAlign w:val="center"/>
          </w:tcPr>
          <w:p>
            <w:pPr>
              <w:pStyle w:val="10"/>
            </w:pPr>
            <w:r>
              <w:t>1</w:t>
            </w:r>
          </w:p>
        </w:tc>
        <w:tc>
          <w:tcPr>
            <w:tcW w:w="2375" w:type="dxa"/>
            <w:vAlign w:val="center"/>
          </w:tcPr>
          <w:p>
            <w:pPr>
              <w:pStyle w:val="10"/>
            </w:pPr>
            <w:r>
              <w:t>2</w:t>
            </w:r>
          </w:p>
        </w:tc>
        <w:tc>
          <w:tcPr>
            <w:tcW w:w="2013" w:type="dxa"/>
            <w:vAlign w:val="center"/>
          </w:tcPr>
          <w:p>
            <w:pPr>
              <w:pStyle w:val="10"/>
            </w:pPr>
            <w:r>
              <w:t>3</w:t>
            </w:r>
          </w:p>
        </w:tc>
        <w:tc>
          <w:tcPr>
            <w:tcW w:w="1875" w:type="dxa"/>
            <w:vAlign w:val="center"/>
          </w:tcPr>
          <w:p>
            <w:pPr>
              <w:pStyle w:val="10"/>
            </w:pPr>
            <w:r>
              <w:t>4</w:t>
            </w:r>
          </w:p>
        </w:tc>
        <w:tc>
          <w:tcPr>
            <w:tcW w:w="189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jc w:val="center"/>
            </w:pPr>
            <w:r>
              <w:rPr>
                <w:rFonts w:hint="eastAsia" w:ascii="方正书宋_GBK" w:hAnsi="方正书宋_GBK" w:eastAsia="方正书宋_GBK" w:cs="方正书宋_GBK"/>
                <w:sz w:val="21"/>
                <w:szCs w:val="21"/>
                <w:lang w:val="en-US" w:eastAsia="zh-CN"/>
              </w:rPr>
              <w:t>1</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“三公”经费小计</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4.74</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4.74</w:t>
            </w:r>
          </w:p>
        </w:tc>
        <w:tc>
          <w:tcPr>
            <w:tcW w:w="1875" w:type="dxa"/>
            <w:vAlign w:val="center"/>
          </w:tcPr>
          <w:p>
            <w:pPr>
              <w:pStyle w:val="13"/>
              <w:jc w:val="right"/>
            </w:pPr>
          </w:p>
        </w:tc>
        <w:tc>
          <w:tcPr>
            <w:tcW w:w="1892"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2</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一、因公出国（境）费</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0</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0</w:t>
            </w:r>
          </w:p>
        </w:tc>
        <w:tc>
          <w:tcPr>
            <w:tcW w:w="1875" w:type="dxa"/>
            <w:vAlign w:val="center"/>
          </w:tcPr>
          <w:p>
            <w:pPr>
              <w:pStyle w:val="13"/>
              <w:jc w:val="right"/>
            </w:pPr>
          </w:p>
        </w:tc>
        <w:tc>
          <w:tcPr>
            <w:tcW w:w="1892"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3</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其中：教学科研人员因公出国（境）费</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0</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0</w:t>
            </w:r>
          </w:p>
        </w:tc>
        <w:tc>
          <w:tcPr>
            <w:tcW w:w="1875" w:type="dxa"/>
            <w:vAlign w:val="center"/>
          </w:tcPr>
          <w:p>
            <w:pPr>
              <w:pStyle w:val="13"/>
              <w:jc w:val="right"/>
            </w:pPr>
          </w:p>
        </w:tc>
        <w:tc>
          <w:tcPr>
            <w:tcW w:w="1892"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4</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其他因公出国（境）费</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0</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0</w:t>
            </w:r>
          </w:p>
        </w:tc>
        <w:tc>
          <w:tcPr>
            <w:tcW w:w="1875" w:type="dxa"/>
            <w:vAlign w:val="center"/>
          </w:tcPr>
          <w:p>
            <w:pPr>
              <w:pStyle w:val="13"/>
              <w:jc w:val="right"/>
            </w:pPr>
          </w:p>
        </w:tc>
        <w:tc>
          <w:tcPr>
            <w:tcW w:w="1892"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5</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二、公务用车购置及运维费</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4.51</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4.51</w:t>
            </w:r>
          </w:p>
        </w:tc>
        <w:tc>
          <w:tcPr>
            <w:tcW w:w="1875" w:type="dxa"/>
            <w:vAlign w:val="center"/>
          </w:tcPr>
          <w:p>
            <w:pPr>
              <w:pStyle w:val="13"/>
              <w:jc w:val="right"/>
            </w:pPr>
          </w:p>
        </w:tc>
        <w:tc>
          <w:tcPr>
            <w:tcW w:w="1892"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6</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其中：公务用车购置费</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0</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0</w:t>
            </w:r>
          </w:p>
        </w:tc>
        <w:tc>
          <w:tcPr>
            <w:tcW w:w="1875" w:type="dxa"/>
            <w:vAlign w:val="center"/>
          </w:tcPr>
          <w:p>
            <w:pPr>
              <w:pStyle w:val="13"/>
              <w:jc w:val="right"/>
            </w:pPr>
          </w:p>
        </w:tc>
        <w:tc>
          <w:tcPr>
            <w:tcW w:w="1892"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7</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 xml:space="preserve">                    公务用车运行维护费</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4.51</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4.51</w:t>
            </w:r>
          </w:p>
        </w:tc>
        <w:tc>
          <w:tcPr>
            <w:tcW w:w="1875" w:type="dxa"/>
            <w:vAlign w:val="center"/>
          </w:tcPr>
          <w:p>
            <w:pPr>
              <w:pStyle w:val="13"/>
              <w:jc w:val="right"/>
            </w:pPr>
          </w:p>
        </w:tc>
        <w:tc>
          <w:tcPr>
            <w:tcW w:w="1892"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jc w:val="center"/>
            </w:pPr>
            <w:r>
              <w:rPr>
                <w:rFonts w:hint="eastAsia" w:ascii="方正书宋_GBK" w:hAnsi="方正书宋_GBK" w:eastAsia="方正书宋_GBK" w:cs="方正书宋_GBK"/>
                <w:sz w:val="21"/>
                <w:szCs w:val="21"/>
                <w:lang w:val="en-US" w:eastAsia="zh-CN"/>
              </w:rPr>
              <w:t>8</w:t>
            </w:r>
          </w:p>
        </w:tc>
        <w:tc>
          <w:tcPr>
            <w:tcW w:w="5168" w:type="dxa"/>
            <w:vAlign w:val="center"/>
          </w:tcPr>
          <w:p>
            <w:pPr>
              <w:keepNext w:val="0"/>
              <w:keepLines w:val="0"/>
              <w:widowControl/>
              <w:suppressLineNumbers w:val="0"/>
              <w:jc w:val="both"/>
              <w:textAlignment w:val="top"/>
            </w:pPr>
            <w:r>
              <w:rPr>
                <w:rFonts w:hint="eastAsia" w:ascii="方正书宋_GBK" w:hAnsi="方正书宋_GBK" w:eastAsia="方正书宋_GBK" w:cs="方正书宋_GBK"/>
                <w:i w:val="0"/>
                <w:iCs w:val="0"/>
                <w:color w:val="000000"/>
                <w:kern w:val="0"/>
                <w:sz w:val="21"/>
                <w:szCs w:val="21"/>
                <w:u w:val="none"/>
                <w:lang w:val="en-US" w:eastAsia="zh-CN" w:bidi="ar"/>
              </w:rPr>
              <w:t>三、公务接待费</w:t>
            </w:r>
          </w:p>
        </w:tc>
        <w:tc>
          <w:tcPr>
            <w:tcW w:w="2375" w:type="dxa"/>
            <w:vAlign w:val="center"/>
          </w:tcPr>
          <w:p>
            <w:pPr>
              <w:pStyle w:val="11"/>
              <w:jc w:val="right"/>
            </w:pPr>
            <w:r>
              <w:rPr>
                <w:rFonts w:hint="default" w:ascii="方正书宋_GBK" w:hAnsi="方正书宋_GBK" w:eastAsia="方正书宋_GBK" w:cs="方正书宋_GBK"/>
                <w:sz w:val="21"/>
                <w:szCs w:val="21"/>
                <w:lang w:val="en-US" w:eastAsia="zh-CN"/>
              </w:rPr>
              <w:t>0.23</w:t>
            </w:r>
          </w:p>
        </w:tc>
        <w:tc>
          <w:tcPr>
            <w:tcW w:w="2013" w:type="dxa"/>
            <w:vAlign w:val="center"/>
          </w:tcPr>
          <w:p>
            <w:pPr>
              <w:pStyle w:val="11"/>
              <w:jc w:val="right"/>
              <w:rPr>
                <w:rFonts w:hint="eastAsia" w:ascii="方正书宋_GBK" w:hAnsi="方正书宋_GBK" w:eastAsia="方正书宋_GBK" w:cs="方正书宋_GBK"/>
                <w:sz w:val="21"/>
                <w:szCs w:val="21"/>
              </w:rPr>
            </w:pPr>
            <w:r>
              <w:rPr>
                <w:rFonts w:hint="default" w:ascii="方正书宋_GBK" w:hAnsi="方正书宋_GBK" w:eastAsia="方正书宋_GBK" w:cs="方正书宋_GBK"/>
                <w:sz w:val="21"/>
                <w:szCs w:val="21"/>
                <w:lang w:val="en-US" w:eastAsia="zh-CN"/>
              </w:rPr>
              <w:t>0.23</w:t>
            </w:r>
          </w:p>
        </w:tc>
        <w:tc>
          <w:tcPr>
            <w:tcW w:w="1875" w:type="dxa"/>
            <w:vAlign w:val="center"/>
          </w:tcPr>
          <w:p>
            <w:pPr>
              <w:pStyle w:val="13"/>
              <w:jc w:val="right"/>
            </w:pPr>
          </w:p>
        </w:tc>
        <w:tc>
          <w:tcPr>
            <w:tcW w:w="1892" w:type="dxa"/>
            <w:vAlign w:val="center"/>
          </w:tcPr>
          <w:p>
            <w:pPr>
              <w:pStyle w:val="13"/>
              <w:jc w:val="right"/>
            </w:pPr>
          </w:p>
        </w:tc>
      </w:tr>
    </w:tbl>
    <w:p>
      <w:pPr>
        <w:ind w:firstLine="420"/>
        <w:sectPr>
          <w:pgSz w:w="16840" w:h="11900" w:orient="landscape"/>
          <w:pgMar w:top="1361" w:right="1020" w:bottom="1361" w:left="1020" w:header="720" w:footer="720" w:gutter="0"/>
          <w:cols w:space="720" w:num="1"/>
        </w:sectPr>
      </w:pPr>
    </w:p>
    <w:p>
      <w:pPr>
        <w:jc w:val="center"/>
        <w:outlineLvl w:val="4"/>
        <w:rPr>
          <w:rFonts w:hint="eastAsia"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秦皇岛市海港区人力资源和社会保障局本级</w:t>
      </w:r>
    </w:p>
    <w:p>
      <w:pPr>
        <w:jc w:val="center"/>
        <w:outlineLvl w:val="4"/>
      </w:pPr>
      <w:r>
        <w:rPr>
          <w:rFonts w:ascii="方正小标宋_GBK" w:hAnsi="方正小标宋_GBK" w:eastAsia="方正小标宋_GBK" w:cs="方正小标宋_GBK"/>
          <w:color w:val="000000"/>
          <w:sz w:val="44"/>
        </w:rPr>
        <w:t>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按照《中华人民共和国预算法》、《地方预决算公开操作规程》和《关于进一步推进预算公开工作的实施意见》规定，现将秦皇岛市海港区人力资源和社会保障局本级2024年单位预算公开如下：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根据《人社局部门职能配置、内设机构和人员编制规定》， 人社局部门的主要职责是：</w:t>
      </w:r>
    </w:p>
    <w:p>
      <w:pPr>
        <w:pStyle w:val="27"/>
      </w:pPr>
      <w:r>
        <w:t>（一）拟订全区人力资源和社会保障事业发展政策、规划。</w:t>
      </w:r>
    </w:p>
    <w:p>
      <w:pPr>
        <w:pStyle w:val="27"/>
      </w:pPr>
      <w:r>
        <w:t>（二）拟订人力资源市场发展规划和人力资源服务业发展、人力资源流动政策，促进人力资源合理流动、有效配置。按照管理权限拟订人员（不含公务员）调配政策和特殊人员安置政策。</w:t>
      </w:r>
    </w:p>
    <w:p>
      <w:pPr>
        <w:pStyle w:val="27"/>
      </w:pPr>
      <w:r>
        <w:t>（三）负责促进就业创业工作，拟订统筹城乡的就业发展规划和促进就业创业扶持政策，完善公共就业服务体系，促进公平就业，统筹建立面向城乡劳动者的职业技能培训制度，拟订全区技工学校、职业培训机构发展规划和管理规则并组织实施。加强就业服务和就业培训，拟订就业援助制度，牵头拟订高校毕业生就业政策，按规定负责中专以上毕业生（非师范类）的就业工作。</w:t>
      </w:r>
    </w:p>
    <w:p>
      <w:pPr>
        <w:pStyle w:val="27"/>
      </w:pPr>
      <w:r>
        <w:t>（四）统筹推进建立覆盖城乡的多层次社会保障体系。落实养老、失业等社会保险及其补充保险政策和标准。落实养老保险省级统筹办法和全省统一的养老、失业关系转续办法和基金统筹办法，组织拟订养老、失业等社会保险及其补充保险基金管理和监督制度，审核汇总相关社会保险基金预决算草案，落实企业年金和职业年金政策。会同有关部门实施全民参保计划并建立全区统一的社会保险公共服务平台。</w:t>
      </w:r>
    </w:p>
    <w:p>
      <w:pPr>
        <w:pStyle w:val="27"/>
      </w:pPr>
      <w:r>
        <w:t>（五）负责就业、失业和相关社会保险基金预测预警和信息引导，拟订应对预案，实施预防、调节和控制，保持就业形势稳定和社会保险基金总体收支平衡。</w:t>
      </w:r>
    </w:p>
    <w:p>
      <w:pPr>
        <w:pStyle w:val="27"/>
      </w:pPr>
      <w:r>
        <w:t>（六）统筹拟订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pPr>
        <w:pStyle w:val="27"/>
      </w:pPr>
      <w:r>
        <w:t>（七）拟订人才工作有关目标，参与全区人才工作的指导、组织、协调和管理，承办有关人才工作。推动建立健全市场化、社会化的人才管理服务体系。负责人事考试工作。负责人才分类评价机制推进实施，牵头推进深化职称制度改革，制定全区专业技术人员管理、继续教育和博士后管理等政策，负责相关高层次专业技术人才选拔和培养，拟订吸引留学人员来区（回国）工作或定居政策。组织拟订技能人才培养、评价、使用和激励制度。落实职业资格制度和职业技能多元化评价政策。</w:t>
      </w:r>
    </w:p>
    <w:p>
      <w:pPr>
        <w:pStyle w:val="27"/>
      </w:pPr>
      <w:r>
        <w:t>（八）会同有关部门指导事业单位人事制度改革，按照管理权限负责规范事业单位岗位设置、公开招聘、聘用合同等人事综合管理工作，拟订事业单位工作人员和机关工勤人员管理政策。</w:t>
      </w:r>
    </w:p>
    <w:p>
      <w:pPr>
        <w:pStyle w:val="27"/>
      </w:pPr>
      <w:r>
        <w:t>（九）负责全区评比达标表彰和创建示范工作的综合管理、审核上报。会同有关部门落实全省表彰奖励办法（不含中国共产党党内表彰、公务员奖励）。负责全区功勋荣誉表彰奖励获得者管理，落实享受待遇的相关政策。</w:t>
      </w:r>
    </w:p>
    <w:p>
      <w:pPr>
        <w:pStyle w:val="27"/>
      </w:pPr>
      <w:r>
        <w:t>（十）会同有关部门拟订全区事业单位人员工资收入分配政策。建立全区企事业单位人员工资决定、正常增长和支付保障机制。拟订全区企事业单位人员福利和离退休政策，并负责组织实施和监督检查。</w:t>
      </w:r>
    </w:p>
    <w:p>
      <w:pPr>
        <w:pStyle w:val="27"/>
      </w:pPr>
      <w:r>
        <w:t>（十一）拟订农民工工作综合性政策和规划，推动相关政策的落实，协调解决重点难点问题，维护农民工合法权益。</w:t>
      </w:r>
    </w:p>
    <w:p>
      <w:pPr>
        <w:pStyle w:val="27"/>
      </w:pPr>
      <w:r>
        <w:t>（十二）负责机关及所属单位国际交流与合作。</w:t>
      </w:r>
    </w:p>
    <w:p>
      <w:pPr>
        <w:pStyle w:val="27"/>
      </w:pPr>
      <w:r>
        <w:t>（十三）落实行业主管部门的安全生产监管职责，各股室落实各自分管领域的安全生产监管职责。</w:t>
      </w:r>
    </w:p>
    <w:p>
      <w:pPr>
        <w:pStyle w:val="17"/>
      </w:pPr>
      <w:r>
        <w:t>（十四）完成区委、区政府交办的其他事项。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p>
    <w:p>
      <w:pPr>
        <w:spacing w:before="10" w:after="10"/>
        <w:ind w:firstLine="640"/>
        <w:outlineLvl w:val="5"/>
      </w:pPr>
      <w:r>
        <w:rPr>
          <w:rFonts w:ascii="黑体" w:hAnsi="黑体" w:eastAsia="黑体" w:cs="黑体"/>
          <w:color w:val="000000"/>
          <w:sz w:val="32"/>
        </w:rPr>
        <w:t>三、机关运行经费安排情况</w:t>
      </w:r>
    </w:p>
    <w:p>
      <w:pPr>
        <w:pStyle w:val="19"/>
      </w:pPr>
      <w:r>
        <w:rPr>
          <w:rFonts w:hint="eastAsia"/>
        </w:rPr>
        <w:t>机关运行经费共计安排</w:t>
      </w:r>
      <w:r>
        <w:rPr>
          <w:rFonts w:hint="eastAsia" w:asciiTheme="minorEastAsia" w:hAnsiTheme="minorEastAsia" w:eastAsiaTheme="minorEastAsia"/>
          <w:lang w:eastAsia="zh-CN"/>
        </w:rPr>
        <w:t>76.18</w:t>
      </w:r>
      <w:r>
        <w:rPr>
          <w:rFonts w:hint="eastAsia"/>
        </w:rPr>
        <w:t>万元，主要用于单位日常办公运转所需支出。包括：办公费4.25万元、水费</w:t>
      </w:r>
      <w:r>
        <w:rPr>
          <w:rFonts w:hint="eastAsia" w:asciiTheme="minorEastAsia" w:hAnsiTheme="minorEastAsia" w:eastAsiaTheme="minorEastAsia"/>
          <w:lang w:eastAsia="zh-CN"/>
        </w:rPr>
        <w:t>9.60</w:t>
      </w:r>
      <w:r>
        <w:rPr>
          <w:rFonts w:hint="eastAsia"/>
        </w:rPr>
        <w:t>万元、电费</w:t>
      </w:r>
      <w:r>
        <w:rPr>
          <w:rFonts w:hint="eastAsia" w:asciiTheme="minorEastAsia" w:hAnsiTheme="minorEastAsia" w:eastAsiaTheme="minorEastAsia"/>
          <w:lang w:eastAsia="zh-CN"/>
        </w:rPr>
        <w:t>18.00</w:t>
      </w:r>
      <w:r>
        <w:rPr>
          <w:rFonts w:hint="eastAsia"/>
        </w:rPr>
        <w:t>万元、邮电费8.</w:t>
      </w:r>
      <w:r>
        <w:rPr>
          <w:rFonts w:hint="eastAsia" w:asciiTheme="minorEastAsia" w:hAnsiTheme="minorEastAsia" w:eastAsiaTheme="minorEastAsia"/>
          <w:lang w:eastAsia="zh-CN"/>
        </w:rPr>
        <w:t>70</w:t>
      </w:r>
      <w:r>
        <w:rPr>
          <w:rFonts w:hint="eastAsia"/>
        </w:rPr>
        <w:t>万元、取暖费12.61万元、公务接待费0.23万元、工会经费</w:t>
      </w:r>
      <w:r>
        <w:rPr>
          <w:rFonts w:hint="eastAsia" w:asciiTheme="minorEastAsia" w:hAnsiTheme="minorEastAsia" w:eastAsiaTheme="minorEastAsia"/>
          <w:lang w:eastAsia="zh-CN"/>
        </w:rPr>
        <w:t>2.66</w:t>
      </w:r>
      <w:r>
        <w:rPr>
          <w:rFonts w:hint="eastAsia"/>
        </w:rPr>
        <w:t>万元、福利费4.</w:t>
      </w:r>
      <w:r>
        <w:rPr>
          <w:rFonts w:hint="eastAsia" w:asciiTheme="minorEastAsia" w:hAnsiTheme="minorEastAsia" w:eastAsiaTheme="minorEastAsia"/>
          <w:lang w:eastAsia="zh-CN"/>
        </w:rPr>
        <w:t>21</w:t>
      </w:r>
      <w:r>
        <w:rPr>
          <w:rFonts w:hint="eastAsia"/>
        </w:rPr>
        <w:t>万元、公车运行维护费4.51万元、其他交通费用</w:t>
      </w:r>
      <w:r>
        <w:rPr>
          <w:rFonts w:hint="eastAsia" w:asciiTheme="minorEastAsia" w:hAnsiTheme="minorEastAsia" w:eastAsiaTheme="minorEastAsia"/>
          <w:lang w:eastAsia="zh-CN"/>
        </w:rPr>
        <w:t>10.08</w:t>
      </w:r>
      <w:r>
        <w:rPr>
          <w:rFonts w:hint="eastAsia"/>
        </w:rPr>
        <w:t>万元、其他商品和服务支出</w:t>
      </w:r>
      <w:r>
        <w:rPr>
          <w:rFonts w:hint="eastAsia" w:asciiTheme="minorEastAsia" w:hAnsiTheme="minorEastAsia" w:eastAsiaTheme="minorEastAsia"/>
          <w:lang w:eastAsia="zh-CN"/>
        </w:rPr>
        <w:t>1.33</w:t>
      </w:r>
      <w:r>
        <w:rPr>
          <w:rFonts w:hint="eastAsia"/>
        </w:rPr>
        <w:t>万元。</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rPr>
          <w:rFonts w:hint="eastAsia"/>
        </w:rPr>
        <w:t>202</w:t>
      </w:r>
      <w:r>
        <w:rPr>
          <w:rFonts w:eastAsiaTheme="minorEastAsia"/>
          <w:lang w:eastAsia="zh-CN"/>
        </w:rPr>
        <w:t>4</w:t>
      </w:r>
      <w:r>
        <w:rPr>
          <w:rFonts w:hint="eastAsia"/>
        </w:rPr>
        <w:t>年，我</w:t>
      </w:r>
      <w:r>
        <w:rPr>
          <w:rFonts w:hint="eastAsia"/>
          <w:lang w:eastAsia="zh-CN"/>
        </w:rPr>
        <w:t>单位</w:t>
      </w:r>
      <w:r>
        <w:rPr>
          <w:rFonts w:hint="eastAsia"/>
        </w:rPr>
        <w:t>财政拨款“三公”经费预算安排4.74万元，其中：因公出国（境）费0万元；公务用车购置及运维费4.51万元（其中：公务用车购置费为0万元，公务用车运行费4.51万元)；公务接待费0.23万元。与202</w:t>
      </w:r>
      <w:r>
        <w:rPr>
          <w:rFonts w:eastAsiaTheme="minorEastAsia"/>
          <w:lang w:eastAsia="zh-CN"/>
        </w:rPr>
        <w:t>3</w:t>
      </w:r>
      <w:r>
        <w:rPr>
          <w:rFonts w:hint="eastAsia"/>
        </w:rPr>
        <w:t>年相比持平。</w:t>
      </w:r>
    </w:p>
    <w:p>
      <w:pPr>
        <w:pStyle w:val="20"/>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10" w:after="10" w:line="360" w:lineRule="auto"/>
        <w:ind w:firstLine="640"/>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秦皇岛市海港区人力资源和社会保障局</w:t>
      </w:r>
      <w:r>
        <w:rPr>
          <w:rFonts w:hint="eastAsia" w:eastAsia="方正仿宋_GBK" w:cs="Times New Roman"/>
          <w:sz w:val="28"/>
          <w:szCs w:val="24"/>
          <w:lang w:val="en-US" w:eastAsia="zh-CN" w:bidi="ar-SA"/>
        </w:rPr>
        <w:t>本级</w:t>
      </w:r>
      <w:r>
        <w:rPr>
          <w:rFonts w:hint="eastAsia" w:ascii="Times New Roman" w:hAnsi="Times New Roman" w:eastAsia="方正仿宋_GBK" w:cs="Times New Roman"/>
          <w:sz w:val="28"/>
          <w:szCs w:val="24"/>
          <w:lang w:val="en-US" w:eastAsia="uk-UA" w:bidi="ar-SA"/>
        </w:rPr>
        <w:t>无专项资金绩效目标预算</w:t>
      </w:r>
      <w:r>
        <w:rPr>
          <w:rFonts w:hint="eastAsia" w:eastAsia="方正仿宋_GBK" w:cs="Times New Roman"/>
          <w:sz w:val="28"/>
          <w:szCs w:val="24"/>
          <w:lang w:val="en-US" w:eastAsia="zh-CN" w:bidi="ar-SA"/>
        </w:rPr>
        <w:t>。</w:t>
      </w:r>
    </w:p>
    <w:p>
      <w:pPr>
        <w:numPr>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1" w:name="_GoBack"/>
      <w:bookmarkEnd w:id="1"/>
    </w:p>
    <w:p>
      <w:pPr>
        <w:ind w:firstLine="560"/>
      </w:pPr>
      <w:r>
        <w:rPr>
          <w:rFonts w:ascii="方正仿宋_GBK" w:hAnsi="方正仿宋_GBK" w:eastAsia="方正仿宋_GBK" w:cs="方正仿宋_GBK"/>
          <w:b/>
          <w:color w:val="000000"/>
          <w:sz w:val="28"/>
        </w:rPr>
        <w:t>1、保障农民工工资支付工作专项经费绩效目标表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13030224P00308P12449R</w:t>
            </w:r>
          </w:p>
        </w:tc>
        <w:tc>
          <w:tcPr>
            <w:tcW w:w="2835" w:type="dxa"/>
            <w:vAlign w:val="center"/>
          </w:tcPr>
          <w:p>
            <w:pPr>
              <w:pStyle w:val="10"/>
            </w:pPr>
            <w:r>
              <w:t>项目名称</w:t>
            </w:r>
          </w:p>
        </w:tc>
        <w:tc>
          <w:tcPr>
            <w:tcW w:w="6094" w:type="dxa"/>
            <w:gridSpan w:val="3"/>
            <w:vAlign w:val="center"/>
          </w:tcPr>
          <w:p>
            <w:pPr>
              <w:pStyle w:val="12"/>
            </w:pPr>
            <w:r>
              <w:t>保障农民工工资支付工作专项经费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履行全区保障农民工工资支付领导小组办公室，组织召开全区保障农民工工资支付工作会议，协调各成员单位开展执法检查、法律宣传等工作；为全面治理拖欠农民工工资问题，紧紧围绕保护农民工劳动所得，坚持标本兼治、综合治理、着力规范农民工工资支付行为，优化市场环境强化监管责任，健全预防和解决拖欠农民工工资问题的长效机制，切实保障农民工劳动报酬权益，维护社会公平正义，促进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1.依法依规处理投诉举报案件</w:t>
            </w:r>
          </w:p>
          <w:p>
            <w:pPr>
              <w:pStyle w:val="12"/>
            </w:pPr>
            <w:r>
              <w:t>2.履行全区保障农民工工资支付工作领导小组办公室，组织召开全区保障农民工工资支付工作会议，协调各成员单位开展执法检查、法律宣传等工作。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拖欠工资案件立案率</w:t>
            </w:r>
          </w:p>
        </w:tc>
        <w:tc>
          <w:tcPr>
            <w:tcW w:w="5386" w:type="dxa"/>
            <w:vAlign w:val="center"/>
          </w:tcPr>
          <w:p>
            <w:pPr>
              <w:pStyle w:val="12"/>
            </w:pPr>
            <w:r>
              <w:t>拖欠农民工工资案件立案率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拖欠工资案件结案率</w:t>
            </w:r>
          </w:p>
        </w:tc>
        <w:tc>
          <w:tcPr>
            <w:tcW w:w="5386" w:type="dxa"/>
            <w:vAlign w:val="center"/>
          </w:tcPr>
          <w:p>
            <w:pPr>
              <w:pStyle w:val="12"/>
            </w:pPr>
            <w:r>
              <w:t>拖欠农民工工资案件结案率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投诉举报案件完成的及时率</w:t>
            </w:r>
          </w:p>
        </w:tc>
        <w:tc>
          <w:tcPr>
            <w:tcW w:w="5386" w:type="dxa"/>
            <w:vAlign w:val="center"/>
          </w:tcPr>
          <w:p>
            <w:pPr>
              <w:pStyle w:val="12"/>
            </w:pPr>
            <w:r>
              <w:t>拖欠农民工工资投诉举报案件法定时效结案率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办案费用控制数</w:t>
            </w:r>
          </w:p>
        </w:tc>
        <w:tc>
          <w:tcPr>
            <w:tcW w:w="5386" w:type="dxa"/>
            <w:vAlign w:val="center"/>
          </w:tcPr>
          <w:p>
            <w:pPr>
              <w:pStyle w:val="12"/>
            </w:pPr>
            <w:r>
              <w:t>保障农民工工资支付工作专项经费</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保障劳动者合法权益</w:t>
            </w:r>
          </w:p>
        </w:tc>
        <w:tc>
          <w:tcPr>
            <w:tcW w:w="5386" w:type="dxa"/>
            <w:vAlign w:val="center"/>
          </w:tcPr>
          <w:p>
            <w:pPr>
              <w:pStyle w:val="12"/>
            </w:pPr>
            <w:r>
              <w:t>保障劳动者合法权益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2、干部人事档案管理费绩效目标表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13030224P00308P12599E</w:t>
            </w:r>
          </w:p>
        </w:tc>
        <w:tc>
          <w:tcPr>
            <w:tcW w:w="2835" w:type="dxa"/>
            <w:vAlign w:val="center"/>
          </w:tcPr>
          <w:p>
            <w:pPr>
              <w:pStyle w:val="10"/>
            </w:pPr>
            <w:r>
              <w:t>项目名称</w:t>
            </w:r>
          </w:p>
        </w:tc>
        <w:tc>
          <w:tcPr>
            <w:tcW w:w="6094" w:type="dxa"/>
            <w:gridSpan w:val="3"/>
            <w:vAlign w:val="center"/>
          </w:tcPr>
          <w:p>
            <w:pPr>
              <w:pStyle w:val="12"/>
            </w:pPr>
            <w:r>
              <w:t>干部人事档案管理费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对区政府系统机关事业单位副科级以下干部人事档案进行管理。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1.1.保障干部人事档案管理工作的顺利进行。</w:t>
            </w:r>
          </w:p>
          <w:p>
            <w:pPr>
              <w:pStyle w:val="12"/>
            </w:pPr>
            <w:r>
              <w:t>2.2.对区政府系统机关事业单位副科级以下干部人事档案进行管理。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档案室购买所需用品的数量</w:t>
            </w:r>
          </w:p>
        </w:tc>
        <w:tc>
          <w:tcPr>
            <w:tcW w:w="5386" w:type="dxa"/>
            <w:vAlign w:val="center"/>
          </w:tcPr>
          <w:p>
            <w:pPr>
              <w:pStyle w:val="12"/>
            </w:pPr>
            <w:r>
              <w:t>档案室购买所需用品的数量</w:t>
            </w:r>
          </w:p>
        </w:tc>
        <w:tc>
          <w:tcPr>
            <w:tcW w:w="2268" w:type="dxa"/>
            <w:vAlign w:val="center"/>
          </w:tcPr>
          <w:p>
            <w:pPr>
              <w:pStyle w:val="12"/>
            </w:pPr>
            <w:r>
              <w:t>610套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干部档案管理质量达标率</w:t>
            </w:r>
          </w:p>
        </w:tc>
        <w:tc>
          <w:tcPr>
            <w:tcW w:w="5386" w:type="dxa"/>
            <w:vAlign w:val="center"/>
          </w:tcPr>
          <w:p>
            <w:pPr>
              <w:pStyle w:val="12"/>
            </w:pPr>
            <w:r>
              <w:t>干部档案管理质量达标率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档案管理工作完成及时率</w:t>
            </w:r>
          </w:p>
        </w:tc>
        <w:tc>
          <w:tcPr>
            <w:tcW w:w="5386" w:type="dxa"/>
            <w:vAlign w:val="center"/>
          </w:tcPr>
          <w:p>
            <w:pPr>
              <w:pStyle w:val="12"/>
            </w:pPr>
            <w:r>
              <w:t>档案管理工作完成及时率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干部人事档案管理经费</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保障干部人事档案管理工作的顺利进行</w:t>
            </w:r>
          </w:p>
        </w:tc>
        <w:tc>
          <w:tcPr>
            <w:tcW w:w="5386" w:type="dxa"/>
            <w:vAlign w:val="center"/>
          </w:tcPr>
          <w:p>
            <w:pPr>
              <w:pStyle w:val="12"/>
            </w:pPr>
            <w:r>
              <w:t>保障干部人事档案管理工作的顺利进行</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确保干部人事档案保管使用安全</w:t>
            </w:r>
          </w:p>
        </w:tc>
        <w:tc>
          <w:tcPr>
            <w:tcW w:w="5386" w:type="dxa"/>
            <w:vAlign w:val="center"/>
          </w:tcPr>
          <w:p>
            <w:pPr>
              <w:pStyle w:val="12"/>
            </w:pPr>
            <w:r>
              <w:t>确保干部人事档案保管使用安全</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副科级以下干部满意度</w:t>
            </w:r>
          </w:p>
        </w:tc>
        <w:tc>
          <w:tcPr>
            <w:tcW w:w="5386" w:type="dxa"/>
            <w:vAlign w:val="center"/>
          </w:tcPr>
          <w:p>
            <w:pPr>
              <w:pStyle w:val="12"/>
            </w:pPr>
            <w:r>
              <w:t>副科级以下干部对档案管理工作的满意程度</w:t>
            </w:r>
          </w:p>
        </w:tc>
        <w:tc>
          <w:tcPr>
            <w:tcW w:w="2268" w:type="dxa"/>
            <w:vAlign w:val="center"/>
          </w:tcPr>
          <w:p>
            <w:pPr>
              <w:pStyle w:val="12"/>
            </w:pPr>
            <w:r>
              <w:t>100%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3、工资系统软件技术运维服务费绩效目标表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13030224P00308P12452C</w:t>
            </w:r>
          </w:p>
        </w:tc>
        <w:tc>
          <w:tcPr>
            <w:tcW w:w="2835" w:type="dxa"/>
            <w:vAlign w:val="center"/>
          </w:tcPr>
          <w:p>
            <w:pPr>
              <w:pStyle w:val="10"/>
            </w:pPr>
            <w:r>
              <w:t>项目名称</w:t>
            </w:r>
          </w:p>
        </w:tc>
        <w:tc>
          <w:tcPr>
            <w:tcW w:w="6094" w:type="dxa"/>
            <w:gridSpan w:val="3"/>
            <w:vAlign w:val="center"/>
          </w:tcPr>
          <w:p>
            <w:pPr>
              <w:pStyle w:val="12"/>
            </w:pPr>
            <w:r>
              <w:t>工资系统软件技术运维服务费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深入推动全省机关事业单位工资管理信息化建设，进一步提高工资管理工作的制度化、规范化、信息化水平，在省市县三级全面部署应用工资管理信息系统并入大组工网运行，实现事业单位工资福利业务“不见面”申报审核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1.确保工资系统正常运行</w:t>
            </w:r>
          </w:p>
          <w:p>
            <w:pPr>
              <w:pStyle w:val="12"/>
            </w:pPr>
            <w:r>
              <w:t>2.网络安全符合中央和省、市、区关于网络安全的技术标准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专网线路连接率</w:t>
            </w:r>
          </w:p>
        </w:tc>
        <w:tc>
          <w:tcPr>
            <w:tcW w:w="5386" w:type="dxa"/>
            <w:vAlign w:val="center"/>
          </w:tcPr>
          <w:p>
            <w:pPr>
              <w:pStyle w:val="12"/>
            </w:pPr>
            <w:r>
              <w:t>专网线路连接率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专网线路正常运转比率</w:t>
            </w:r>
          </w:p>
        </w:tc>
        <w:tc>
          <w:tcPr>
            <w:tcW w:w="5386" w:type="dxa"/>
            <w:vAlign w:val="center"/>
          </w:tcPr>
          <w:p>
            <w:pPr>
              <w:pStyle w:val="12"/>
            </w:pPr>
            <w:r>
              <w:t>专网线路正常运转比率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设备正常运转时效</w:t>
            </w:r>
          </w:p>
        </w:tc>
        <w:tc>
          <w:tcPr>
            <w:tcW w:w="5386" w:type="dxa"/>
            <w:vAlign w:val="center"/>
          </w:tcPr>
          <w:p>
            <w:pPr>
              <w:pStyle w:val="12"/>
            </w:pPr>
            <w:r>
              <w:t>设备正常运转时效</w:t>
            </w:r>
          </w:p>
        </w:tc>
        <w:tc>
          <w:tcPr>
            <w:tcW w:w="2268" w:type="dxa"/>
            <w:vAlign w:val="center"/>
          </w:tcPr>
          <w:p>
            <w:pPr>
              <w:pStyle w:val="12"/>
            </w:pPr>
            <w:r>
              <w:t>24小时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专网维护费用</w:t>
            </w:r>
          </w:p>
        </w:tc>
        <w:tc>
          <w:tcPr>
            <w:tcW w:w="5386" w:type="dxa"/>
            <w:vAlign w:val="center"/>
          </w:tcPr>
          <w:p>
            <w:pPr>
              <w:pStyle w:val="12"/>
            </w:pPr>
            <w:r>
              <w:t>专网维护费用</w:t>
            </w:r>
          </w:p>
        </w:tc>
        <w:tc>
          <w:tcPr>
            <w:tcW w:w="2268" w:type="dxa"/>
            <w:vAlign w:val="center"/>
          </w:tcPr>
          <w:p>
            <w:pPr>
              <w:pStyle w:val="12"/>
            </w:pPr>
            <w:r>
              <w:t>≤3.5万元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提高办事效率及质量</w:t>
            </w:r>
          </w:p>
        </w:tc>
        <w:tc>
          <w:tcPr>
            <w:tcW w:w="5386" w:type="dxa"/>
            <w:vAlign w:val="center"/>
          </w:tcPr>
          <w:p>
            <w:pPr>
              <w:pStyle w:val="12"/>
            </w:pPr>
            <w:r>
              <w:t>提高办事效率及质量</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工作人员对使用软件满意度</w:t>
            </w:r>
          </w:p>
        </w:tc>
        <w:tc>
          <w:tcPr>
            <w:tcW w:w="2268" w:type="dxa"/>
            <w:vAlign w:val="center"/>
          </w:tcPr>
          <w:p>
            <w:pPr>
              <w:pStyle w:val="12"/>
            </w:pPr>
            <w:r>
              <w:t>≥98%</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4、基金审计经费绩效目标表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13030224P00308P124601</w:t>
            </w:r>
          </w:p>
        </w:tc>
        <w:tc>
          <w:tcPr>
            <w:tcW w:w="2835" w:type="dxa"/>
            <w:vAlign w:val="center"/>
          </w:tcPr>
          <w:p>
            <w:pPr>
              <w:pStyle w:val="10"/>
            </w:pPr>
            <w:r>
              <w:t>项目名称</w:t>
            </w:r>
          </w:p>
        </w:tc>
        <w:tc>
          <w:tcPr>
            <w:tcW w:w="6094" w:type="dxa"/>
            <w:gridSpan w:val="3"/>
            <w:vAlign w:val="center"/>
          </w:tcPr>
          <w:p>
            <w:pPr>
              <w:pStyle w:val="12"/>
            </w:pPr>
            <w:r>
              <w:t>基金审计经费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为了保证我区社会保险基金监督工作能够正常开展，确保社会保险基金安全完整，维护参保人员的合法权益，将聘请第三方机构（会计师事务所）开展社会保险基金委托内部审计。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1.对养老保险完成内部审计</w:t>
            </w:r>
          </w:p>
          <w:p>
            <w:pPr>
              <w:pStyle w:val="12"/>
            </w:pPr>
            <w:r>
              <w:t>2.对失业保险完成内部审计</w:t>
            </w:r>
          </w:p>
          <w:p>
            <w:pPr>
              <w:pStyle w:val="12"/>
            </w:pPr>
            <w:r>
              <w:t xml:space="preserve">3.对工伤保险完成内部审计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审计险种数量</w:t>
            </w:r>
          </w:p>
        </w:tc>
        <w:tc>
          <w:tcPr>
            <w:tcW w:w="5386" w:type="dxa"/>
            <w:vAlign w:val="center"/>
          </w:tcPr>
          <w:p>
            <w:pPr>
              <w:pStyle w:val="12"/>
            </w:pPr>
            <w:r>
              <w:t>审计险种数量</w:t>
            </w:r>
          </w:p>
        </w:tc>
        <w:tc>
          <w:tcPr>
            <w:tcW w:w="2268" w:type="dxa"/>
            <w:vAlign w:val="center"/>
          </w:tcPr>
          <w:p>
            <w:pPr>
              <w:pStyle w:val="12"/>
            </w:pPr>
            <w:r>
              <w:t>3种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审计工作完成达标率</w:t>
            </w:r>
          </w:p>
        </w:tc>
        <w:tc>
          <w:tcPr>
            <w:tcW w:w="5386" w:type="dxa"/>
            <w:vAlign w:val="center"/>
          </w:tcPr>
          <w:p>
            <w:pPr>
              <w:pStyle w:val="12"/>
            </w:pPr>
            <w:r>
              <w:t>审计工作完成达标率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基金审计覆盖率</w:t>
            </w:r>
          </w:p>
        </w:tc>
        <w:tc>
          <w:tcPr>
            <w:tcW w:w="5386" w:type="dxa"/>
            <w:vAlign w:val="center"/>
          </w:tcPr>
          <w:p>
            <w:pPr>
              <w:pStyle w:val="12"/>
            </w:pPr>
            <w:r>
              <w:t>基金审计覆盖全部参保单位的比例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审计工作及时率</w:t>
            </w:r>
          </w:p>
        </w:tc>
        <w:tc>
          <w:tcPr>
            <w:tcW w:w="5386" w:type="dxa"/>
            <w:vAlign w:val="center"/>
          </w:tcPr>
          <w:p>
            <w:pPr>
              <w:pStyle w:val="12"/>
            </w:pPr>
            <w:r>
              <w:t>养老、失业、工伤保险基金审计工作完成及时率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基金审计经费控制在预算范围内</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保证我区社会保险基金监督工作能够正常开展</w:t>
            </w:r>
          </w:p>
        </w:tc>
        <w:tc>
          <w:tcPr>
            <w:tcW w:w="5386" w:type="dxa"/>
            <w:vAlign w:val="center"/>
          </w:tcPr>
          <w:p>
            <w:pPr>
              <w:pStyle w:val="12"/>
            </w:pPr>
            <w:r>
              <w:t>保证我区社会保险基金监督工作能够正常开展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维护社保基金安全</w:t>
            </w:r>
          </w:p>
        </w:tc>
        <w:tc>
          <w:tcPr>
            <w:tcW w:w="5386" w:type="dxa"/>
            <w:vAlign w:val="center"/>
          </w:tcPr>
          <w:p>
            <w:pPr>
              <w:pStyle w:val="12"/>
            </w:pPr>
            <w:r>
              <w:t>维护社保基金安全</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w:t>
            </w:r>
          </w:p>
        </w:tc>
        <w:tc>
          <w:tcPr>
            <w:tcW w:w="5386" w:type="dxa"/>
            <w:vAlign w:val="center"/>
          </w:tcPr>
          <w:p>
            <w:pPr>
              <w:pStyle w:val="12"/>
            </w:pPr>
            <w:r>
              <w:t>参保人员对社保基金管理的满意度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5、劳动保障监察经费绩效目标表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13030224P00308P12456T</w:t>
            </w:r>
          </w:p>
        </w:tc>
        <w:tc>
          <w:tcPr>
            <w:tcW w:w="2835" w:type="dxa"/>
            <w:vAlign w:val="center"/>
          </w:tcPr>
          <w:p>
            <w:pPr>
              <w:pStyle w:val="10"/>
            </w:pPr>
            <w:r>
              <w:t>项目名称</w:t>
            </w:r>
          </w:p>
        </w:tc>
        <w:tc>
          <w:tcPr>
            <w:tcW w:w="6094" w:type="dxa"/>
            <w:gridSpan w:val="3"/>
            <w:vAlign w:val="center"/>
          </w:tcPr>
          <w:p>
            <w:pPr>
              <w:pStyle w:val="12"/>
            </w:pPr>
            <w:r>
              <w:t>劳动保障监察经费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一.办公、执法设备陈旧老化，需要更新。 二.学习培训费用。 三.普法宣传费用。 四.劳动保障监察书面审查公告费。 五.执法文书及档案袋费用。 六.按规定配备劳动保障监察执法专用车辆。七.配备执法服装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1.依法依规处理投诉举报案件</w:t>
            </w:r>
          </w:p>
          <w:p>
            <w:pPr>
              <w:pStyle w:val="12"/>
            </w:pPr>
            <w:r>
              <w:t>2.劳动保障法律法规宣传，对劳动保障监察书面审查，对执法人员进行培训</w:t>
            </w:r>
          </w:p>
          <w:p>
            <w:pPr>
              <w:pStyle w:val="12"/>
            </w:pPr>
            <w:r>
              <w:t>3.金保工程专网使用者信息化应用水平提升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投诉举报立案率</w:t>
            </w:r>
          </w:p>
        </w:tc>
        <w:tc>
          <w:tcPr>
            <w:tcW w:w="5386" w:type="dxa"/>
            <w:vAlign w:val="center"/>
          </w:tcPr>
          <w:p>
            <w:pPr>
              <w:pStyle w:val="12"/>
            </w:pPr>
            <w:r>
              <w:t>对投诉举报案件进行立案</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投诉举报结案率</w:t>
            </w:r>
          </w:p>
        </w:tc>
        <w:tc>
          <w:tcPr>
            <w:tcW w:w="5386" w:type="dxa"/>
            <w:vAlign w:val="center"/>
          </w:tcPr>
          <w:p>
            <w:pPr>
              <w:pStyle w:val="12"/>
            </w:pPr>
            <w:r>
              <w:t>对投诉举报案件进行结案</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投诉举报案件完成的及时率</w:t>
            </w:r>
          </w:p>
        </w:tc>
        <w:tc>
          <w:tcPr>
            <w:tcW w:w="5386" w:type="dxa"/>
            <w:vAlign w:val="center"/>
          </w:tcPr>
          <w:p>
            <w:pPr>
              <w:pStyle w:val="12"/>
            </w:pPr>
            <w:r>
              <w:t>对投诉举报案件在法定时效内进行结案</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费用支出控制在预算内</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保障劳动者合法权益</w:t>
            </w:r>
          </w:p>
        </w:tc>
        <w:tc>
          <w:tcPr>
            <w:tcW w:w="5386" w:type="dxa"/>
            <w:vAlign w:val="center"/>
          </w:tcPr>
          <w:p>
            <w:pPr>
              <w:pStyle w:val="12"/>
            </w:pPr>
            <w:r>
              <w:t>保障劳动者合法权益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投诉举报人满意度</w:t>
            </w:r>
          </w:p>
        </w:tc>
        <w:tc>
          <w:tcPr>
            <w:tcW w:w="5386" w:type="dxa"/>
            <w:vAlign w:val="center"/>
          </w:tcPr>
          <w:p>
            <w:pPr>
              <w:pStyle w:val="12"/>
            </w:pPr>
            <w:r>
              <w:t>投诉举报人对劳动监察满意程度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6、劳动纠纷人民调解工作经费绩效目标表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13030224P00308P12445B</w:t>
            </w:r>
          </w:p>
        </w:tc>
        <w:tc>
          <w:tcPr>
            <w:tcW w:w="2835" w:type="dxa"/>
            <w:vAlign w:val="center"/>
          </w:tcPr>
          <w:p>
            <w:pPr>
              <w:pStyle w:val="10"/>
            </w:pPr>
            <w:r>
              <w:t>项目名称</w:t>
            </w:r>
          </w:p>
        </w:tc>
        <w:tc>
          <w:tcPr>
            <w:tcW w:w="6094" w:type="dxa"/>
            <w:gridSpan w:val="3"/>
            <w:vAlign w:val="center"/>
          </w:tcPr>
          <w:p>
            <w:pPr>
              <w:pStyle w:val="12"/>
            </w:pPr>
            <w:r>
              <w:t>劳动纠纷人民调解工作经费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海港区综治办、海港区司法局关于建立、健全行业性、专业性人民调解组织的实施意见》的规定。2017年我局建立行业性专业性海港区劳动纠纷人民调解委员会,向社会招聘2名仲裁调解员，并为人民调解委员会，提供办公设施和必要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1.保障人民调解员工资及办公设施</w:t>
            </w:r>
          </w:p>
          <w:p>
            <w:pPr>
              <w:pStyle w:val="12"/>
            </w:pPr>
            <w:r>
              <w:t>2.保障工作的顺利开展</w:t>
            </w:r>
          </w:p>
          <w:p>
            <w:pPr>
              <w:pStyle w:val="12"/>
            </w:pPr>
            <w:r>
              <w:t>3.维护劳动关系和谐稳定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劳动纠纷案前调解率</w:t>
            </w:r>
          </w:p>
        </w:tc>
        <w:tc>
          <w:tcPr>
            <w:tcW w:w="5386" w:type="dxa"/>
            <w:vAlign w:val="center"/>
          </w:tcPr>
          <w:p>
            <w:pPr>
              <w:pStyle w:val="12"/>
            </w:pPr>
            <w:r>
              <w:t>劳动纠纷案前调解率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调解目标达成率</w:t>
            </w:r>
          </w:p>
        </w:tc>
        <w:tc>
          <w:tcPr>
            <w:tcW w:w="5386" w:type="dxa"/>
            <w:vAlign w:val="center"/>
          </w:tcPr>
          <w:p>
            <w:pPr>
              <w:pStyle w:val="12"/>
            </w:pPr>
            <w:r>
              <w:t>调解双方满意达成调解目标情况</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案前庭前调解时效性</w:t>
            </w:r>
          </w:p>
        </w:tc>
        <w:tc>
          <w:tcPr>
            <w:tcW w:w="5386" w:type="dxa"/>
            <w:vAlign w:val="center"/>
          </w:tcPr>
          <w:p>
            <w:pPr>
              <w:pStyle w:val="12"/>
            </w:pPr>
            <w:r>
              <w:t>案前及时调解、庭前再次调解</w:t>
            </w:r>
          </w:p>
        </w:tc>
        <w:tc>
          <w:tcPr>
            <w:tcW w:w="2268" w:type="dxa"/>
            <w:vAlign w:val="center"/>
          </w:tcPr>
          <w:p>
            <w:pPr>
              <w:pStyle w:val="12"/>
            </w:pPr>
            <w:r>
              <w:t>≤24小时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劳动纠纷人民调解工作经费控制在预算内</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维护劳动关系和谐稳定</w:t>
            </w:r>
          </w:p>
        </w:tc>
        <w:tc>
          <w:tcPr>
            <w:tcW w:w="5386" w:type="dxa"/>
            <w:vAlign w:val="center"/>
          </w:tcPr>
          <w:p>
            <w:pPr>
              <w:pStyle w:val="12"/>
            </w:pPr>
            <w:r>
              <w:t>维护劳动关系和谐稳定</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当事人满意度</w:t>
            </w:r>
          </w:p>
        </w:tc>
        <w:tc>
          <w:tcPr>
            <w:tcW w:w="5386" w:type="dxa"/>
            <w:vAlign w:val="center"/>
          </w:tcPr>
          <w:p>
            <w:pPr>
              <w:pStyle w:val="12"/>
            </w:pPr>
            <w:r>
              <w:t>当事人对人民调解工作的满意度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7、劳动争议仲裁办案费绩效目标表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13030224P00308P124505</w:t>
            </w:r>
          </w:p>
        </w:tc>
        <w:tc>
          <w:tcPr>
            <w:tcW w:w="2835" w:type="dxa"/>
            <w:vAlign w:val="center"/>
          </w:tcPr>
          <w:p>
            <w:pPr>
              <w:pStyle w:val="10"/>
            </w:pPr>
            <w:r>
              <w:t>项目名称</w:t>
            </w:r>
          </w:p>
        </w:tc>
        <w:tc>
          <w:tcPr>
            <w:tcW w:w="6094" w:type="dxa"/>
            <w:gridSpan w:val="3"/>
            <w:vAlign w:val="center"/>
          </w:tcPr>
          <w:p>
            <w:pPr>
              <w:pStyle w:val="12"/>
            </w:pPr>
            <w:r>
              <w:t>劳动争议仲裁办案费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中华人民共和国劳动争议调解仲裁法》的要求，调解仲裁股作为海港区劳动人事争议调解仲裁委员会的实体办案机构，主要负责我区劳动、人事争议的处理。劳动人事仲裁作为法院审理劳动人事争议案件的前置程序，也是必经程序，每年承担着大量的劳动矛盾纠纷的化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1.保障调解仲裁工作正常开展</w:t>
            </w:r>
          </w:p>
          <w:p>
            <w:pPr>
              <w:pStyle w:val="12"/>
            </w:pPr>
            <w:r>
              <w:t>2.确保法定时效内结案</w:t>
            </w:r>
          </w:p>
          <w:p>
            <w:pPr>
              <w:pStyle w:val="12"/>
            </w:pPr>
            <w:r>
              <w:t>3.维护劳动关系和谐稳定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可受理案件立案率</w:t>
            </w:r>
          </w:p>
        </w:tc>
        <w:tc>
          <w:tcPr>
            <w:tcW w:w="5386" w:type="dxa"/>
            <w:vAlign w:val="center"/>
          </w:tcPr>
          <w:p>
            <w:pPr>
              <w:pStyle w:val="12"/>
            </w:pPr>
            <w:r>
              <w:t>可受理案件立案率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可受理案件结案率</w:t>
            </w:r>
          </w:p>
        </w:tc>
        <w:tc>
          <w:tcPr>
            <w:tcW w:w="5386" w:type="dxa"/>
            <w:vAlign w:val="center"/>
          </w:tcPr>
          <w:p>
            <w:pPr>
              <w:pStyle w:val="12"/>
            </w:pPr>
            <w:r>
              <w:t>可受理案件结案率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办案时效性</w:t>
            </w:r>
          </w:p>
        </w:tc>
        <w:tc>
          <w:tcPr>
            <w:tcW w:w="5386" w:type="dxa"/>
            <w:vAlign w:val="center"/>
          </w:tcPr>
          <w:p>
            <w:pPr>
              <w:pStyle w:val="12"/>
            </w:pPr>
            <w:r>
              <w:t>及时送达、按期开庭、按期结案</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维持调解仲裁工作正常开展</w:t>
            </w:r>
          </w:p>
        </w:tc>
        <w:tc>
          <w:tcPr>
            <w:tcW w:w="2268" w:type="dxa"/>
            <w:vAlign w:val="center"/>
          </w:tcPr>
          <w:p>
            <w:pPr>
              <w:pStyle w:val="12"/>
            </w:pPr>
            <w:r>
              <w:t>≤25万元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维护劳动关系和谐稳定</w:t>
            </w:r>
          </w:p>
        </w:tc>
        <w:tc>
          <w:tcPr>
            <w:tcW w:w="5386" w:type="dxa"/>
            <w:vAlign w:val="center"/>
          </w:tcPr>
          <w:p>
            <w:pPr>
              <w:pStyle w:val="12"/>
            </w:pPr>
            <w:r>
              <w:t>维护劳动关系和谐稳定</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保障调解仲裁工作正常开展</w:t>
            </w:r>
          </w:p>
        </w:tc>
        <w:tc>
          <w:tcPr>
            <w:tcW w:w="5386" w:type="dxa"/>
            <w:vAlign w:val="center"/>
          </w:tcPr>
          <w:p>
            <w:pPr>
              <w:pStyle w:val="12"/>
            </w:pPr>
            <w:r>
              <w:t>保障调解仲裁工作正常开展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当事人满意度</w:t>
            </w:r>
          </w:p>
        </w:tc>
        <w:tc>
          <w:tcPr>
            <w:tcW w:w="5386" w:type="dxa"/>
            <w:vAlign w:val="center"/>
          </w:tcPr>
          <w:p>
            <w:pPr>
              <w:pStyle w:val="12"/>
            </w:pPr>
            <w:r>
              <w:t>当事人对调解仲裁工作满意度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8、事业单位人员年度考核绩效目标表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13030224P00308P12446Y</w:t>
            </w:r>
          </w:p>
        </w:tc>
        <w:tc>
          <w:tcPr>
            <w:tcW w:w="2835" w:type="dxa"/>
            <w:vAlign w:val="center"/>
          </w:tcPr>
          <w:p>
            <w:pPr>
              <w:pStyle w:val="10"/>
            </w:pPr>
            <w:r>
              <w:t>项目名称</w:t>
            </w:r>
          </w:p>
        </w:tc>
        <w:tc>
          <w:tcPr>
            <w:tcW w:w="6094" w:type="dxa"/>
            <w:gridSpan w:val="3"/>
            <w:vAlign w:val="center"/>
          </w:tcPr>
          <w:p>
            <w:pPr>
              <w:pStyle w:val="12"/>
            </w:pPr>
            <w:r>
              <w:t>事业单位人员年度考核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对政府系统事业单位工作人员的德、能勤、绩、廉五个方面进行考核。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1.1.保障事业单位人员年度考核工作的正常开展，激励事业单位人员工作积极性。</w:t>
            </w:r>
          </w:p>
          <w:p>
            <w:pPr>
              <w:pStyle w:val="12"/>
            </w:pPr>
            <w:r>
              <w:t>2.2.对政府系统事业单位工作人员的德、能勤、绩、廉五个方面进行考核。</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印刷考核所需材料份数</w:t>
            </w:r>
          </w:p>
        </w:tc>
        <w:tc>
          <w:tcPr>
            <w:tcW w:w="5386" w:type="dxa"/>
            <w:vAlign w:val="center"/>
          </w:tcPr>
          <w:p>
            <w:pPr>
              <w:pStyle w:val="12"/>
            </w:pPr>
            <w:r>
              <w:t>印刷考核所需材料份数</w:t>
            </w:r>
          </w:p>
        </w:tc>
        <w:tc>
          <w:tcPr>
            <w:tcW w:w="2268" w:type="dxa"/>
            <w:vAlign w:val="center"/>
          </w:tcPr>
          <w:p>
            <w:pPr>
              <w:pStyle w:val="12"/>
            </w:pPr>
            <w:r>
              <w:t xml:space="preserve">25000份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考核工作达标率</w:t>
            </w:r>
          </w:p>
        </w:tc>
        <w:tc>
          <w:tcPr>
            <w:tcW w:w="5386" w:type="dxa"/>
            <w:vAlign w:val="center"/>
          </w:tcPr>
          <w:p>
            <w:pPr>
              <w:pStyle w:val="12"/>
            </w:pPr>
            <w:r>
              <w:t>事业单位管理人员年度考核工作质量标达情况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考核工作完成及时性</w:t>
            </w:r>
          </w:p>
        </w:tc>
        <w:tc>
          <w:tcPr>
            <w:tcW w:w="5386" w:type="dxa"/>
            <w:vAlign w:val="center"/>
          </w:tcPr>
          <w:p>
            <w:pPr>
              <w:pStyle w:val="12"/>
            </w:pPr>
            <w:r>
              <w:t>按计划时限完成事业单位管理人员年度考核</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考核成本控制数</w:t>
            </w:r>
          </w:p>
        </w:tc>
        <w:tc>
          <w:tcPr>
            <w:tcW w:w="5386" w:type="dxa"/>
            <w:vAlign w:val="center"/>
          </w:tcPr>
          <w:p>
            <w:pPr>
              <w:pStyle w:val="12"/>
            </w:pPr>
            <w:r>
              <w:t>考核所需材料成本控制在预算内</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提高工作质量和工作效率</w:t>
            </w:r>
          </w:p>
        </w:tc>
        <w:tc>
          <w:tcPr>
            <w:tcW w:w="5386" w:type="dxa"/>
            <w:vAlign w:val="center"/>
          </w:tcPr>
          <w:p>
            <w:pPr>
              <w:pStyle w:val="12"/>
            </w:pPr>
            <w:r>
              <w:t>提高事业单位工作人员工作质量和工作效率</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100%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9、事业单位招聘工作人员经费绩效目标表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13030224P00308P12463U</w:t>
            </w:r>
          </w:p>
        </w:tc>
        <w:tc>
          <w:tcPr>
            <w:tcW w:w="2835" w:type="dxa"/>
            <w:vAlign w:val="center"/>
          </w:tcPr>
          <w:p>
            <w:pPr>
              <w:pStyle w:val="10"/>
            </w:pPr>
            <w:r>
              <w:t>项目名称</w:t>
            </w:r>
          </w:p>
        </w:tc>
        <w:tc>
          <w:tcPr>
            <w:tcW w:w="6094" w:type="dxa"/>
            <w:gridSpan w:val="3"/>
            <w:vAlign w:val="center"/>
          </w:tcPr>
          <w:p>
            <w:pPr>
              <w:pStyle w:val="12"/>
            </w:pPr>
            <w:r>
              <w:t>事业单位招聘工作人员经费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海港区事业单位招聘工作人员工作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1.完成招聘工作</w:t>
            </w:r>
          </w:p>
          <w:p>
            <w:pPr>
              <w:pStyle w:val="12"/>
            </w:pPr>
            <w:r>
              <w:t>2.保障招聘单位工作的正常开展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招聘覆盖率</w:t>
            </w:r>
          </w:p>
        </w:tc>
        <w:tc>
          <w:tcPr>
            <w:tcW w:w="5386" w:type="dxa"/>
            <w:vAlign w:val="center"/>
          </w:tcPr>
          <w:p>
            <w:pPr>
              <w:pStyle w:val="12"/>
            </w:pPr>
            <w:r>
              <w:t>招聘通过笔试进入面试人员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招聘工作达标率</w:t>
            </w:r>
          </w:p>
        </w:tc>
        <w:tc>
          <w:tcPr>
            <w:tcW w:w="5386" w:type="dxa"/>
            <w:vAlign w:val="center"/>
          </w:tcPr>
          <w:p>
            <w:pPr>
              <w:pStyle w:val="12"/>
            </w:pPr>
            <w:r>
              <w:t>事业单位公开招聘工作人员质量标达情况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招聘工作完成及时率</w:t>
            </w:r>
          </w:p>
        </w:tc>
        <w:tc>
          <w:tcPr>
            <w:tcW w:w="5386" w:type="dxa"/>
            <w:vAlign w:val="center"/>
          </w:tcPr>
          <w:p>
            <w:pPr>
              <w:pStyle w:val="12"/>
            </w:pPr>
            <w:r>
              <w:t>按计划时限完成事业单位公开招聘工作人员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招聘工作成本控制数</w:t>
            </w:r>
          </w:p>
        </w:tc>
        <w:tc>
          <w:tcPr>
            <w:tcW w:w="5386" w:type="dxa"/>
            <w:vAlign w:val="center"/>
          </w:tcPr>
          <w:p>
            <w:pPr>
              <w:pStyle w:val="12"/>
            </w:pPr>
            <w:r>
              <w:t>费用支出控制在预算内</w:t>
            </w:r>
          </w:p>
        </w:tc>
        <w:tc>
          <w:tcPr>
            <w:tcW w:w="2268" w:type="dxa"/>
            <w:vAlign w:val="center"/>
          </w:tcPr>
          <w:p>
            <w:pPr>
              <w:pStyle w:val="12"/>
            </w:pPr>
            <w:r>
              <w:t>≤30万元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保障工作的顺利开展</w:t>
            </w:r>
          </w:p>
        </w:tc>
        <w:tc>
          <w:tcPr>
            <w:tcW w:w="5386" w:type="dxa"/>
            <w:vAlign w:val="center"/>
          </w:tcPr>
          <w:p>
            <w:pPr>
              <w:pStyle w:val="12"/>
            </w:pPr>
            <w:r>
              <w:t>保障工作的顺利开展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提高工作质量和工作效率</w:t>
            </w:r>
          </w:p>
        </w:tc>
        <w:tc>
          <w:tcPr>
            <w:tcW w:w="5386" w:type="dxa"/>
            <w:vAlign w:val="center"/>
          </w:tcPr>
          <w:p>
            <w:pPr>
              <w:pStyle w:val="12"/>
            </w:pPr>
            <w:r>
              <w:t>提高工作质量和工作效率</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10、专网维护费绩效目标表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13030224P00308P12454K</w:t>
            </w:r>
          </w:p>
        </w:tc>
        <w:tc>
          <w:tcPr>
            <w:tcW w:w="2835" w:type="dxa"/>
            <w:vAlign w:val="center"/>
          </w:tcPr>
          <w:p>
            <w:pPr>
              <w:pStyle w:val="10"/>
            </w:pPr>
            <w:r>
              <w:t>项目名称</w:t>
            </w:r>
          </w:p>
        </w:tc>
        <w:tc>
          <w:tcPr>
            <w:tcW w:w="6094" w:type="dxa"/>
            <w:gridSpan w:val="3"/>
            <w:vAlign w:val="center"/>
          </w:tcPr>
          <w:p>
            <w:pPr>
              <w:pStyle w:val="12"/>
            </w:pPr>
            <w:r>
              <w:t>专网维护费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w:t>
            </w:r>
          </w:p>
        </w:tc>
        <w:tc>
          <w:tcPr>
            <w:tcW w:w="2835" w:type="dxa"/>
            <w:vAlign w:val="center"/>
          </w:tcPr>
          <w:p>
            <w:pPr>
              <w:pStyle w:val="10"/>
            </w:pPr>
            <w:r>
              <w:t>其中：财政    资金</w:t>
            </w:r>
          </w:p>
        </w:tc>
        <w:tc>
          <w:tcPr>
            <w:tcW w:w="2551" w:type="dxa"/>
            <w:vAlign w:val="center"/>
          </w:tcPr>
          <w:p>
            <w:pPr>
              <w:pStyle w:val="12"/>
            </w:pPr>
            <w:r>
              <w:t>16.50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负责区本级人社专网、镇、街、园区、社区人社专网（基层节点目前有145个，含拟新成立的社区1个）及网络设施设备的管理维护、维修保养、升级改造、更新更换、网费缴纳等工作，按照文件要求定期组织专网业务安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1.基层金保工程专网节点业务正常开展</w:t>
            </w:r>
          </w:p>
          <w:p>
            <w:pPr>
              <w:pStyle w:val="12"/>
            </w:pPr>
            <w:r>
              <w:t>2.区级金保工程专网核心机房运转正常</w:t>
            </w:r>
          </w:p>
          <w:p>
            <w:pPr>
              <w:pStyle w:val="12"/>
            </w:pPr>
            <w:r>
              <w:t>3.金保工程专网使用者信息化应用水平提升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专网线路连接率</w:t>
            </w:r>
          </w:p>
        </w:tc>
        <w:tc>
          <w:tcPr>
            <w:tcW w:w="5386" w:type="dxa"/>
            <w:vAlign w:val="center"/>
          </w:tcPr>
          <w:p>
            <w:pPr>
              <w:pStyle w:val="12"/>
            </w:pPr>
            <w:r>
              <w:t>专网线路连接率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专网线路正常运转比率</w:t>
            </w:r>
          </w:p>
        </w:tc>
        <w:tc>
          <w:tcPr>
            <w:tcW w:w="5386" w:type="dxa"/>
            <w:vAlign w:val="center"/>
          </w:tcPr>
          <w:p>
            <w:pPr>
              <w:pStyle w:val="12"/>
            </w:pPr>
            <w:r>
              <w:t>专网线路正常运转比率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专网运行维护的及时率</w:t>
            </w:r>
          </w:p>
        </w:tc>
        <w:tc>
          <w:tcPr>
            <w:tcW w:w="5386" w:type="dxa"/>
            <w:vAlign w:val="center"/>
          </w:tcPr>
          <w:p>
            <w:pPr>
              <w:pStyle w:val="12"/>
            </w:pPr>
            <w:r>
              <w:t>专网运行维护的及时率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专网维护费用控制数</w:t>
            </w:r>
          </w:p>
        </w:tc>
        <w:tc>
          <w:tcPr>
            <w:tcW w:w="5386" w:type="dxa"/>
            <w:vAlign w:val="center"/>
          </w:tcPr>
          <w:p>
            <w:pPr>
              <w:pStyle w:val="12"/>
            </w:pPr>
            <w:r>
              <w:t>专网维护费用控制在预算范围内</w:t>
            </w:r>
          </w:p>
        </w:tc>
        <w:tc>
          <w:tcPr>
            <w:tcW w:w="2268" w:type="dxa"/>
            <w:vAlign w:val="center"/>
          </w:tcPr>
          <w:p>
            <w:pPr>
              <w:pStyle w:val="12"/>
            </w:pPr>
            <w:r>
              <w:t>≤16.5万元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提升金保工程专网使用者信息化应用水平</w:t>
            </w:r>
          </w:p>
        </w:tc>
        <w:tc>
          <w:tcPr>
            <w:tcW w:w="5386" w:type="dxa"/>
            <w:vAlign w:val="center"/>
          </w:tcPr>
          <w:p>
            <w:pPr>
              <w:pStyle w:val="12"/>
            </w:pPr>
            <w:r>
              <w:t>提升金保工程专网使用者信息化应用水平</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保证工作的正常运转</w:t>
            </w:r>
          </w:p>
        </w:tc>
        <w:tc>
          <w:tcPr>
            <w:tcW w:w="5386" w:type="dxa"/>
            <w:vAlign w:val="center"/>
          </w:tcPr>
          <w:p>
            <w:pPr>
              <w:pStyle w:val="12"/>
            </w:pPr>
            <w:r>
              <w:t>保证工作的正常运转</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专网使用人员满意度</w:t>
            </w:r>
          </w:p>
        </w:tc>
        <w:tc>
          <w:tcPr>
            <w:tcW w:w="5386" w:type="dxa"/>
            <w:vAlign w:val="center"/>
          </w:tcPr>
          <w:p>
            <w:pPr>
              <w:pStyle w:val="12"/>
            </w:pPr>
            <w:r>
              <w:t>工作人员对专网使用满意度</w:t>
            </w:r>
          </w:p>
        </w:tc>
        <w:tc>
          <w:tcPr>
            <w:tcW w:w="2268" w:type="dxa"/>
            <w:vAlign w:val="center"/>
          </w:tcPr>
          <w:p>
            <w:pPr>
              <w:pStyle w:val="12"/>
            </w:pPr>
            <w:r>
              <w:t>≥98%</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0"/>
        <w:gridCol w:w="851"/>
        <w:gridCol w:w="978"/>
        <w:gridCol w:w="1290"/>
        <w:gridCol w:w="708"/>
        <w:gridCol w:w="695"/>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821" w:type="dxa"/>
            <w:gridSpan w:val="2"/>
            <w:vAlign w:val="center"/>
          </w:tcPr>
          <w:p>
            <w:pPr>
              <w:pStyle w:val="10"/>
            </w:pPr>
            <w:r>
              <w:t>政府采购项目来源</w:t>
            </w:r>
          </w:p>
        </w:tc>
        <w:tc>
          <w:tcPr>
            <w:tcW w:w="978" w:type="dxa"/>
            <w:vMerge w:val="restart"/>
            <w:vAlign w:val="center"/>
          </w:tcPr>
          <w:p>
            <w:pPr>
              <w:pStyle w:val="10"/>
            </w:pPr>
            <w:r>
              <w:t>采购物品名称</w:t>
            </w:r>
          </w:p>
        </w:tc>
        <w:tc>
          <w:tcPr>
            <w:tcW w:w="1290" w:type="dxa"/>
            <w:vMerge w:val="restart"/>
            <w:vAlign w:val="center"/>
          </w:tcPr>
          <w:p>
            <w:pPr>
              <w:pStyle w:val="10"/>
            </w:pPr>
            <w:r>
              <w:t>政府采购目录序号</w:t>
            </w:r>
          </w:p>
        </w:tc>
        <w:tc>
          <w:tcPr>
            <w:tcW w:w="708" w:type="dxa"/>
            <w:vMerge w:val="restart"/>
            <w:vAlign w:val="center"/>
          </w:tcPr>
          <w:p>
            <w:pPr>
              <w:pStyle w:val="10"/>
            </w:pPr>
            <w:r>
              <w:t>计量  单位</w:t>
            </w:r>
          </w:p>
        </w:tc>
        <w:tc>
          <w:tcPr>
            <w:tcW w:w="695"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0" w:type="dxa"/>
            <w:vAlign w:val="center"/>
          </w:tcPr>
          <w:p>
            <w:pPr>
              <w:pStyle w:val="10"/>
            </w:pPr>
            <w:r>
              <w:t>项目名称</w:t>
            </w:r>
          </w:p>
        </w:tc>
        <w:tc>
          <w:tcPr>
            <w:tcW w:w="851" w:type="dxa"/>
            <w:vAlign w:val="center"/>
          </w:tcPr>
          <w:p>
            <w:pPr>
              <w:pStyle w:val="10"/>
            </w:pPr>
            <w:r>
              <w:t>预算    资金</w:t>
            </w:r>
          </w:p>
        </w:tc>
        <w:tc>
          <w:tcPr>
            <w:tcW w:w="978" w:type="dxa"/>
            <w:vMerge w:val="continue"/>
          </w:tcPr>
          <w:p/>
        </w:tc>
        <w:tc>
          <w:tcPr>
            <w:tcW w:w="1290" w:type="dxa"/>
            <w:vMerge w:val="continue"/>
          </w:tcPr>
          <w:p/>
        </w:tc>
        <w:tc>
          <w:tcPr>
            <w:tcW w:w="708" w:type="dxa"/>
            <w:vMerge w:val="continue"/>
          </w:tcPr>
          <w:p/>
        </w:tc>
        <w:tc>
          <w:tcPr>
            <w:tcW w:w="695"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pPr>
              <w:pStyle w:val="14"/>
            </w:pPr>
            <w:r>
              <w:t>合  计</w:t>
            </w:r>
          </w:p>
        </w:tc>
        <w:tc>
          <w:tcPr>
            <w:tcW w:w="851" w:type="dxa"/>
            <w:vAlign w:val="center"/>
          </w:tcPr>
          <w:p>
            <w:pPr>
              <w:pStyle w:val="15"/>
            </w:pPr>
          </w:p>
        </w:tc>
        <w:tc>
          <w:tcPr>
            <w:tcW w:w="978" w:type="dxa"/>
            <w:vAlign w:val="center"/>
          </w:tcPr>
          <w:p>
            <w:pPr>
              <w:pStyle w:val="16"/>
            </w:pPr>
          </w:p>
        </w:tc>
        <w:tc>
          <w:tcPr>
            <w:tcW w:w="1290" w:type="dxa"/>
            <w:vAlign w:val="center"/>
          </w:tcPr>
          <w:p>
            <w:pPr>
              <w:pStyle w:val="16"/>
            </w:pPr>
          </w:p>
        </w:tc>
        <w:tc>
          <w:tcPr>
            <w:tcW w:w="708" w:type="dxa"/>
            <w:vAlign w:val="center"/>
          </w:tcPr>
          <w:p>
            <w:pPr>
              <w:pStyle w:val="14"/>
            </w:pPr>
          </w:p>
        </w:tc>
        <w:tc>
          <w:tcPr>
            <w:tcW w:w="695" w:type="dxa"/>
            <w:vAlign w:val="center"/>
          </w:tcPr>
          <w:p>
            <w:pPr>
              <w:pStyle w:val="15"/>
            </w:pPr>
          </w:p>
        </w:tc>
        <w:tc>
          <w:tcPr>
            <w:tcW w:w="850" w:type="dxa"/>
            <w:vAlign w:val="center"/>
          </w:tcPr>
          <w:p>
            <w:pPr>
              <w:pStyle w:val="15"/>
            </w:pPr>
          </w:p>
        </w:tc>
        <w:tc>
          <w:tcPr>
            <w:tcW w:w="964" w:type="dxa"/>
            <w:vAlign w:val="center"/>
          </w:tcPr>
          <w:p>
            <w:pPr>
              <w:pStyle w:val="15"/>
            </w:pPr>
            <w:r>
              <w:t>89.25</w:t>
            </w:r>
          </w:p>
        </w:tc>
        <w:tc>
          <w:tcPr>
            <w:tcW w:w="964" w:type="dxa"/>
            <w:vAlign w:val="center"/>
          </w:tcPr>
          <w:p>
            <w:pPr>
              <w:pStyle w:val="15"/>
            </w:pPr>
            <w:r>
              <w:t>89.25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pPr>
              <w:pStyle w:val="14"/>
            </w:pPr>
            <w:r>
              <w:t>秦皇岛市海港区人力资源和社会保障局本级小计</w:t>
            </w:r>
          </w:p>
        </w:tc>
        <w:tc>
          <w:tcPr>
            <w:tcW w:w="851" w:type="dxa"/>
            <w:vAlign w:val="center"/>
          </w:tcPr>
          <w:p>
            <w:pPr>
              <w:pStyle w:val="15"/>
            </w:pPr>
          </w:p>
        </w:tc>
        <w:tc>
          <w:tcPr>
            <w:tcW w:w="978" w:type="dxa"/>
            <w:vAlign w:val="center"/>
          </w:tcPr>
          <w:p>
            <w:pPr>
              <w:pStyle w:val="16"/>
            </w:pPr>
          </w:p>
        </w:tc>
        <w:tc>
          <w:tcPr>
            <w:tcW w:w="1290" w:type="dxa"/>
            <w:vAlign w:val="center"/>
          </w:tcPr>
          <w:p>
            <w:pPr>
              <w:pStyle w:val="16"/>
            </w:pPr>
          </w:p>
        </w:tc>
        <w:tc>
          <w:tcPr>
            <w:tcW w:w="708" w:type="dxa"/>
            <w:vAlign w:val="center"/>
          </w:tcPr>
          <w:p>
            <w:pPr>
              <w:pStyle w:val="14"/>
            </w:pPr>
          </w:p>
        </w:tc>
        <w:tc>
          <w:tcPr>
            <w:tcW w:w="695" w:type="dxa"/>
            <w:vAlign w:val="center"/>
          </w:tcPr>
          <w:p>
            <w:pPr>
              <w:pStyle w:val="15"/>
            </w:pPr>
          </w:p>
        </w:tc>
        <w:tc>
          <w:tcPr>
            <w:tcW w:w="850" w:type="dxa"/>
            <w:vAlign w:val="center"/>
          </w:tcPr>
          <w:p>
            <w:pPr>
              <w:pStyle w:val="15"/>
            </w:pPr>
          </w:p>
        </w:tc>
        <w:tc>
          <w:tcPr>
            <w:tcW w:w="964" w:type="dxa"/>
            <w:vAlign w:val="center"/>
          </w:tcPr>
          <w:p>
            <w:pPr>
              <w:pStyle w:val="15"/>
            </w:pPr>
            <w:r>
              <w:t>89.25</w:t>
            </w:r>
          </w:p>
        </w:tc>
        <w:tc>
          <w:tcPr>
            <w:tcW w:w="964" w:type="dxa"/>
            <w:vAlign w:val="center"/>
          </w:tcPr>
          <w:p>
            <w:pPr>
              <w:pStyle w:val="15"/>
            </w:pPr>
            <w:r>
              <w:t>89.25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pPr>
              <w:pStyle w:val="12"/>
            </w:pPr>
            <w:r>
              <w:t>2024年日常公用经费预算（三保）</w:t>
            </w:r>
          </w:p>
        </w:tc>
        <w:tc>
          <w:tcPr>
            <w:tcW w:w="851" w:type="dxa"/>
            <w:vAlign w:val="center"/>
          </w:tcPr>
          <w:p>
            <w:pPr>
              <w:pStyle w:val="11"/>
            </w:pPr>
            <w:r>
              <w:t>50.53</w:t>
            </w:r>
          </w:p>
        </w:tc>
        <w:tc>
          <w:tcPr>
            <w:tcW w:w="978" w:type="dxa"/>
            <w:vAlign w:val="center"/>
          </w:tcPr>
          <w:p>
            <w:pPr>
              <w:pStyle w:val="12"/>
            </w:pPr>
            <w:r>
              <w:t>其他办公用品</w:t>
            </w:r>
          </w:p>
        </w:tc>
        <w:tc>
          <w:tcPr>
            <w:tcW w:w="1290" w:type="dxa"/>
            <w:vAlign w:val="center"/>
          </w:tcPr>
          <w:p>
            <w:pPr>
              <w:pStyle w:val="12"/>
            </w:pPr>
            <w:r>
              <w:t>A05049900</w:t>
            </w:r>
          </w:p>
        </w:tc>
        <w:tc>
          <w:tcPr>
            <w:tcW w:w="708" w:type="dxa"/>
            <w:vAlign w:val="center"/>
          </w:tcPr>
          <w:p>
            <w:pPr>
              <w:pStyle w:val="13"/>
            </w:pPr>
            <w:r>
              <w:t>万元</w:t>
            </w:r>
          </w:p>
        </w:tc>
        <w:tc>
          <w:tcPr>
            <w:tcW w:w="695" w:type="dxa"/>
            <w:vAlign w:val="center"/>
          </w:tcPr>
          <w:p>
            <w:pPr>
              <w:pStyle w:val="11"/>
            </w:pPr>
            <w:r>
              <w:t>1</w:t>
            </w:r>
          </w:p>
        </w:tc>
        <w:tc>
          <w:tcPr>
            <w:tcW w:w="850" w:type="dxa"/>
            <w:vAlign w:val="center"/>
          </w:tcPr>
          <w:p>
            <w:pPr>
              <w:pStyle w:val="11"/>
            </w:pPr>
            <w:r>
              <w:t>4.25</w:t>
            </w:r>
          </w:p>
        </w:tc>
        <w:tc>
          <w:tcPr>
            <w:tcW w:w="964" w:type="dxa"/>
            <w:vAlign w:val="center"/>
          </w:tcPr>
          <w:p>
            <w:pPr>
              <w:pStyle w:val="11"/>
            </w:pPr>
            <w:r>
              <w:t>4.25</w:t>
            </w:r>
          </w:p>
        </w:tc>
        <w:tc>
          <w:tcPr>
            <w:tcW w:w="964" w:type="dxa"/>
            <w:vAlign w:val="center"/>
          </w:tcPr>
          <w:p>
            <w:pPr>
              <w:pStyle w:val="11"/>
            </w:pPr>
            <w:r>
              <w:t>4.25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pPr>
              <w:pStyle w:val="12"/>
            </w:pPr>
            <w:r>
              <w:t>保障农民工工资支付工作专项经费</w:t>
            </w:r>
          </w:p>
        </w:tc>
        <w:tc>
          <w:tcPr>
            <w:tcW w:w="851" w:type="dxa"/>
            <w:vAlign w:val="center"/>
          </w:tcPr>
          <w:p>
            <w:pPr>
              <w:pStyle w:val="11"/>
            </w:pPr>
            <w:r>
              <w:t>2.00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次</w:t>
            </w:r>
          </w:p>
        </w:tc>
        <w:tc>
          <w:tcPr>
            <w:tcW w:w="695"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pPr>
              <w:pStyle w:val="12"/>
            </w:pPr>
            <w:r>
              <w:t>干部人事档案管理费</w:t>
            </w:r>
          </w:p>
        </w:tc>
        <w:tc>
          <w:tcPr>
            <w:tcW w:w="851" w:type="dxa"/>
            <w:vAlign w:val="center"/>
          </w:tcPr>
          <w:p>
            <w:pPr>
              <w:pStyle w:val="11"/>
            </w:pPr>
            <w:r>
              <w:t>1.00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件</w:t>
            </w:r>
          </w:p>
        </w:tc>
        <w:tc>
          <w:tcPr>
            <w:tcW w:w="695"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pPr>
              <w:pStyle w:val="12"/>
            </w:pPr>
            <w:r>
              <w:t>工资系统软件技术运维服务费</w:t>
            </w:r>
          </w:p>
        </w:tc>
        <w:tc>
          <w:tcPr>
            <w:tcW w:w="851" w:type="dxa"/>
            <w:vAlign w:val="center"/>
          </w:tcPr>
          <w:p>
            <w:pPr>
              <w:pStyle w:val="11"/>
            </w:pPr>
            <w:r>
              <w:t>3.50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次</w:t>
            </w:r>
          </w:p>
        </w:tc>
        <w:tc>
          <w:tcPr>
            <w:tcW w:w="695"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pPr>
              <w:pStyle w:val="12"/>
            </w:pPr>
            <w:r>
              <w:t>基金审计经费</w:t>
            </w:r>
          </w:p>
        </w:tc>
        <w:tc>
          <w:tcPr>
            <w:tcW w:w="851" w:type="dxa"/>
            <w:vAlign w:val="center"/>
          </w:tcPr>
          <w:p>
            <w:pPr>
              <w:pStyle w:val="11"/>
            </w:pPr>
            <w:r>
              <w:t>3.00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次</w:t>
            </w:r>
          </w:p>
        </w:tc>
        <w:tc>
          <w:tcPr>
            <w:tcW w:w="695"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pPr>
              <w:pStyle w:val="12"/>
            </w:pPr>
            <w:r>
              <w:t>劳动保障监察经费</w:t>
            </w:r>
          </w:p>
        </w:tc>
        <w:tc>
          <w:tcPr>
            <w:tcW w:w="851" w:type="dxa"/>
            <w:vAlign w:val="center"/>
          </w:tcPr>
          <w:p>
            <w:pPr>
              <w:pStyle w:val="11"/>
            </w:pPr>
            <w:r>
              <w:t>1.00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件</w:t>
            </w:r>
          </w:p>
        </w:tc>
        <w:tc>
          <w:tcPr>
            <w:tcW w:w="695"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pPr>
              <w:pStyle w:val="12"/>
            </w:pPr>
            <w:r>
              <w:t>劳动纠纷人民调解工作经费</w:t>
            </w:r>
          </w:p>
        </w:tc>
        <w:tc>
          <w:tcPr>
            <w:tcW w:w="851" w:type="dxa"/>
            <w:vAlign w:val="center"/>
          </w:tcPr>
          <w:p>
            <w:pPr>
              <w:pStyle w:val="11"/>
            </w:pPr>
            <w:r>
              <w:t>2.00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件</w:t>
            </w:r>
          </w:p>
        </w:tc>
        <w:tc>
          <w:tcPr>
            <w:tcW w:w="695"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pPr>
              <w:pStyle w:val="12"/>
            </w:pPr>
            <w:r>
              <w:t>劳动争议仲裁办案费</w:t>
            </w:r>
          </w:p>
        </w:tc>
        <w:tc>
          <w:tcPr>
            <w:tcW w:w="851" w:type="dxa"/>
            <w:vAlign w:val="center"/>
          </w:tcPr>
          <w:p>
            <w:pPr>
              <w:pStyle w:val="11"/>
            </w:pPr>
            <w:r>
              <w:t>25.00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件</w:t>
            </w:r>
          </w:p>
        </w:tc>
        <w:tc>
          <w:tcPr>
            <w:tcW w:w="695" w:type="dxa"/>
            <w:vAlign w:val="center"/>
          </w:tcPr>
          <w:p>
            <w:pPr>
              <w:pStyle w:val="11"/>
            </w:pPr>
            <w:r>
              <w:t>25</w:t>
            </w:r>
          </w:p>
        </w:tc>
        <w:tc>
          <w:tcPr>
            <w:tcW w:w="850" w:type="dxa"/>
            <w:vAlign w:val="center"/>
          </w:tcPr>
          <w:p>
            <w:pPr>
              <w:pStyle w:val="11"/>
            </w:pPr>
            <w:r>
              <w:t>1.00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pPr>
              <w:pStyle w:val="12"/>
            </w:pPr>
            <w:r>
              <w:t>事业单位人员年度考核</w:t>
            </w:r>
          </w:p>
        </w:tc>
        <w:tc>
          <w:tcPr>
            <w:tcW w:w="851" w:type="dxa"/>
            <w:vAlign w:val="center"/>
          </w:tcPr>
          <w:p>
            <w:pPr>
              <w:pStyle w:val="11"/>
            </w:pPr>
            <w:r>
              <w:t>1.00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件</w:t>
            </w:r>
          </w:p>
        </w:tc>
        <w:tc>
          <w:tcPr>
            <w:tcW w:w="695"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0" w:type="dxa"/>
            <w:vAlign w:val="center"/>
          </w:tcPr>
          <w:p>
            <w:pPr>
              <w:pStyle w:val="12"/>
            </w:pPr>
            <w:r>
              <w:t>事业单位招聘工作人员经费</w:t>
            </w:r>
          </w:p>
        </w:tc>
        <w:tc>
          <w:tcPr>
            <w:tcW w:w="851" w:type="dxa"/>
            <w:vAlign w:val="center"/>
          </w:tcPr>
          <w:p>
            <w:pPr>
              <w:pStyle w:val="11"/>
            </w:pPr>
            <w:r>
              <w:t>30.00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次</w:t>
            </w:r>
          </w:p>
        </w:tc>
        <w:tc>
          <w:tcPr>
            <w:tcW w:w="695" w:type="dxa"/>
            <w:vAlign w:val="center"/>
          </w:tcPr>
          <w:p>
            <w:pPr>
              <w:pStyle w:val="11"/>
            </w:pPr>
            <w:r>
              <w:t>30</w:t>
            </w:r>
          </w:p>
        </w:tc>
        <w:tc>
          <w:tcPr>
            <w:tcW w:w="850" w:type="dxa"/>
            <w:vAlign w:val="center"/>
          </w:tcPr>
          <w:p>
            <w:pPr>
              <w:pStyle w:val="11"/>
            </w:pPr>
            <w:r>
              <w:t>1.00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0" w:type="dxa"/>
            <w:vAlign w:val="center"/>
          </w:tcPr>
          <w:p>
            <w:pPr>
              <w:pStyle w:val="12"/>
            </w:pPr>
            <w:r>
              <w:t>专网维护费</w:t>
            </w:r>
          </w:p>
        </w:tc>
        <w:tc>
          <w:tcPr>
            <w:tcW w:w="851" w:type="dxa"/>
            <w:vAlign w:val="center"/>
          </w:tcPr>
          <w:p>
            <w:pPr>
              <w:pStyle w:val="11"/>
            </w:pPr>
            <w:r>
              <w:t>16.50</w:t>
            </w:r>
          </w:p>
        </w:tc>
        <w:tc>
          <w:tcPr>
            <w:tcW w:w="978" w:type="dxa"/>
            <w:vAlign w:val="center"/>
          </w:tcPr>
          <w:p>
            <w:pPr>
              <w:pStyle w:val="12"/>
            </w:pPr>
            <w:r>
              <w:t>复印纸</w:t>
            </w:r>
          </w:p>
        </w:tc>
        <w:tc>
          <w:tcPr>
            <w:tcW w:w="1290" w:type="dxa"/>
            <w:vAlign w:val="center"/>
          </w:tcPr>
          <w:p>
            <w:pPr>
              <w:pStyle w:val="12"/>
            </w:pPr>
            <w:r>
              <w:t>A05040101</w:t>
            </w:r>
          </w:p>
        </w:tc>
        <w:tc>
          <w:tcPr>
            <w:tcW w:w="708" w:type="dxa"/>
            <w:vAlign w:val="center"/>
          </w:tcPr>
          <w:p>
            <w:pPr>
              <w:pStyle w:val="13"/>
            </w:pPr>
            <w:r>
              <w:t>件</w:t>
            </w:r>
          </w:p>
        </w:tc>
        <w:tc>
          <w:tcPr>
            <w:tcW w:w="695" w:type="dxa"/>
            <w:vAlign w:val="center"/>
          </w:tcPr>
          <w:p>
            <w:pPr>
              <w:pStyle w:val="11"/>
            </w:pPr>
            <w:r>
              <w:t>16.5</w:t>
            </w:r>
          </w:p>
        </w:tc>
        <w:tc>
          <w:tcPr>
            <w:tcW w:w="850" w:type="dxa"/>
            <w:vAlign w:val="center"/>
          </w:tcPr>
          <w:p>
            <w:pPr>
              <w:pStyle w:val="11"/>
            </w:pPr>
            <w:r>
              <w:t>1.00</w:t>
            </w:r>
          </w:p>
        </w:tc>
        <w:tc>
          <w:tcPr>
            <w:tcW w:w="964" w:type="dxa"/>
            <w:vAlign w:val="center"/>
          </w:tcPr>
          <w:p>
            <w:pPr>
              <w:pStyle w:val="11"/>
            </w:pPr>
            <w:r>
              <w:t>16.50</w:t>
            </w:r>
          </w:p>
        </w:tc>
        <w:tc>
          <w:tcPr>
            <w:tcW w:w="964" w:type="dxa"/>
            <w:vAlign w:val="center"/>
          </w:tcPr>
          <w:p>
            <w:pPr>
              <w:pStyle w:val="11"/>
            </w:pPr>
            <w:r>
              <w:t>16.50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秦皇岛市海港区人力资源和社会保障局本级上年末固定资产金额为</w:t>
      </w:r>
      <w:r>
        <w:rPr>
          <w:rFonts w:eastAsiaTheme="minorEastAsia"/>
          <w:color w:val="000000"/>
          <w:sz w:val="28"/>
          <w:lang w:eastAsia="zh-CN"/>
        </w:rPr>
        <w:t>168.31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323001秦皇岛市海港区人力资源和社会保障局本级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7370"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   目</w:t>
            </w:r>
          </w:p>
        </w:tc>
        <w:tc>
          <w:tcPr>
            <w:tcW w:w="2835"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w:t>
            </w:r>
          </w:p>
        </w:tc>
        <w:tc>
          <w:tcPr>
            <w:tcW w:w="2835" w:type="dxa"/>
            <w:vAlign w:val="center"/>
          </w:tcPr>
          <w:p>
            <w:pPr>
              <w:pStyle w:val="10"/>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7370" w:type="dxa"/>
            <w:vAlign w:val="center"/>
          </w:tcPr>
          <w:p>
            <w:pPr>
              <w:spacing w:line="500" w:lineRule="exact"/>
              <w:ind w:firstLine="560"/>
              <w:jc w:val="both"/>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资产总额</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kern w:val="2"/>
                <w:sz w:val="21"/>
                <w:szCs w:val="21"/>
                <w:lang w:eastAsia="zh-CN"/>
              </w:rPr>
              <w:t>168.31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7370" w:type="dxa"/>
            <w:vAlign w:val="center"/>
          </w:tcPr>
          <w:p>
            <w:pPr>
              <w:spacing w:line="500" w:lineRule="exact"/>
              <w:ind w:firstLine="560"/>
              <w:jc w:val="both"/>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1、房屋（平方米）</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0</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7370" w:type="dxa"/>
            <w:vAlign w:val="center"/>
          </w:tcPr>
          <w:p>
            <w:pPr>
              <w:spacing w:line="500" w:lineRule="exact"/>
              <w:ind w:firstLine="560"/>
              <w:jc w:val="both"/>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其中：办公用房（平方米）</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0</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7370" w:type="dxa"/>
            <w:vAlign w:val="center"/>
          </w:tcPr>
          <w:p>
            <w:pPr>
              <w:spacing w:line="500" w:lineRule="exact"/>
              <w:ind w:firstLine="560"/>
              <w:jc w:val="both"/>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2、车辆（台、辆）</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kern w:val="2"/>
                <w:sz w:val="21"/>
                <w:szCs w:val="21"/>
                <w:lang w:eastAsia="zh-CN"/>
              </w:rPr>
              <w:t>2</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kern w:val="2"/>
                <w:sz w:val="21"/>
                <w:szCs w:val="21"/>
                <w:lang w:eastAsia="zh-CN"/>
              </w:rPr>
              <w:t>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7370" w:type="dxa"/>
            <w:vAlign w:val="center"/>
          </w:tcPr>
          <w:p>
            <w:pPr>
              <w:spacing w:line="500" w:lineRule="exact"/>
              <w:ind w:firstLine="560"/>
              <w:jc w:val="both"/>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3、单价在</w:t>
            </w:r>
            <w:r>
              <w:rPr>
                <w:rFonts w:hint="eastAsia" w:ascii="方正书宋_GBK" w:hAnsi="方正书宋_GBK" w:eastAsia="方正书宋_GBK" w:cs="方正书宋_GBK"/>
                <w:color w:val="000000"/>
                <w:kern w:val="2"/>
                <w:sz w:val="21"/>
                <w:szCs w:val="21"/>
                <w:lang w:val="en-US" w:eastAsia="zh-CN"/>
              </w:rPr>
              <w:t>2</w:t>
            </w:r>
            <w:r>
              <w:rPr>
                <w:rFonts w:hint="eastAsia" w:ascii="方正书宋_GBK" w:hAnsi="方正书宋_GBK" w:eastAsia="方正书宋_GBK" w:cs="方正书宋_GBK"/>
                <w:color w:val="000000"/>
                <w:kern w:val="2"/>
                <w:sz w:val="21"/>
                <w:szCs w:val="21"/>
                <w:lang w:eastAsia="zh-CN"/>
              </w:rPr>
              <w:t>0万元以上的设备</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0</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7370" w:type="dxa"/>
            <w:vAlign w:val="center"/>
          </w:tcPr>
          <w:p>
            <w:pPr>
              <w:spacing w:line="500" w:lineRule="exact"/>
              <w:ind w:firstLine="560"/>
              <w:jc w:val="both"/>
              <w:rPr>
                <w:rFonts w:hint="eastAsia" w:ascii="方正书宋_GBK" w:hAnsi="方正书宋_GBK" w:eastAsia="方正书宋_GBK" w:cs="方正书宋_GBK"/>
                <w:color w:val="000000"/>
                <w:kern w:val="2"/>
                <w:sz w:val="21"/>
                <w:szCs w:val="21"/>
              </w:rPr>
            </w:pPr>
            <w:r>
              <w:rPr>
                <w:rFonts w:hint="eastAsia" w:ascii="方正书宋_GBK" w:hAnsi="方正书宋_GBK" w:eastAsia="方正书宋_GBK" w:cs="方正书宋_GBK"/>
                <w:color w:val="000000"/>
                <w:kern w:val="2"/>
                <w:sz w:val="21"/>
                <w:szCs w:val="21"/>
                <w:lang w:eastAsia="zh-CN"/>
              </w:rPr>
              <w:t>4、其他固定资产</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kern w:val="2"/>
                <w:sz w:val="21"/>
                <w:szCs w:val="21"/>
                <w:lang w:eastAsia="zh-CN"/>
              </w:rPr>
              <w:t>461</w:t>
            </w:r>
          </w:p>
        </w:tc>
        <w:tc>
          <w:tcPr>
            <w:tcW w:w="2835" w:type="dxa"/>
            <w:vAlign w:val="center"/>
          </w:tcPr>
          <w:p>
            <w:pPr>
              <w:spacing w:line="500" w:lineRule="exact"/>
              <w:ind w:firstLine="560"/>
              <w:jc w:val="right"/>
              <w:rPr>
                <w:rFonts w:hint="eastAsia"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kern w:val="2"/>
                <w:sz w:val="21"/>
                <w:szCs w:val="21"/>
                <w:lang w:eastAsia="zh-CN"/>
              </w:rPr>
              <w:t>135.55</w:t>
            </w:r>
          </w:p>
        </w:tc>
      </w:tr>
    </w:tbl>
    <w:p>
      <w:pPr>
        <w:ind w:firstLine="640"/>
        <w:rPr>
          <w:rFonts w:hint="eastAsia" w:eastAsiaTheme="minorEastAsia"/>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B3A71"/>
    <w:multiLevelType w:val="singleLevel"/>
    <w:tmpl w:val="BB0B3A7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AC7F2B"/>
    <w:rsid w:val="00034075"/>
    <w:rsid w:val="000C74CC"/>
    <w:rsid w:val="001F0BF6"/>
    <w:rsid w:val="002279D4"/>
    <w:rsid w:val="00247BEC"/>
    <w:rsid w:val="002E3C16"/>
    <w:rsid w:val="003B6CB4"/>
    <w:rsid w:val="00445316"/>
    <w:rsid w:val="004673BF"/>
    <w:rsid w:val="0049552C"/>
    <w:rsid w:val="004C75A4"/>
    <w:rsid w:val="00506281"/>
    <w:rsid w:val="005340D4"/>
    <w:rsid w:val="00542024"/>
    <w:rsid w:val="005F2298"/>
    <w:rsid w:val="00601361"/>
    <w:rsid w:val="00696206"/>
    <w:rsid w:val="006E3B0C"/>
    <w:rsid w:val="00713803"/>
    <w:rsid w:val="00746E51"/>
    <w:rsid w:val="008143BF"/>
    <w:rsid w:val="008D3D29"/>
    <w:rsid w:val="00937B21"/>
    <w:rsid w:val="00A64394"/>
    <w:rsid w:val="00AC7F2B"/>
    <w:rsid w:val="00B231DF"/>
    <w:rsid w:val="00BA4DEA"/>
    <w:rsid w:val="00C268AB"/>
    <w:rsid w:val="00C82268"/>
    <w:rsid w:val="00CF2699"/>
    <w:rsid w:val="00E31366"/>
    <w:rsid w:val="00E45656"/>
    <w:rsid w:val="00E623B2"/>
    <w:rsid w:val="00E7576D"/>
    <w:rsid w:val="00E8308B"/>
    <w:rsid w:val="00F628DE"/>
    <w:rsid w:val="00FB2345"/>
    <w:rsid w:val="014067C7"/>
    <w:rsid w:val="09BD6F3A"/>
    <w:rsid w:val="0AF7780B"/>
    <w:rsid w:val="149464A0"/>
    <w:rsid w:val="181E5F9F"/>
    <w:rsid w:val="1B80200F"/>
    <w:rsid w:val="1E85469F"/>
    <w:rsid w:val="2376568A"/>
    <w:rsid w:val="287B29F8"/>
    <w:rsid w:val="2E1135A2"/>
    <w:rsid w:val="30D675AD"/>
    <w:rsid w:val="3351443E"/>
    <w:rsid w:val="34BC5B05"/>
    <w:rsid w:val="3CC3026F"/>
    <w:rsid w:val="50256650"/>
    <w:rsid w:val="54B92D8D"/>
    <w:rsid w:val="7C4A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2024-02-21T16:54:05Z</dcterms:created>
  <dcterms:modified xsi:type="dcterms:W3CDTF">2024-02-21T08:54:05Z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2024-02-21T16:56:24Z</dcterms:created>
  <dcterms:modified xsi:type="dcterms:W3CDTF">2024-02-21T08:56:24Z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2024-02-21T16:53:18Z</dcterms:created>
  <dcterms:modified xsi:type="dcterms:W3CDTF">2024-02-21T08:53:18Z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2024-02-21T16:52:56Z</dcterms:created>
  <dcterms:modified xsi:type="dcterms:W3CDTF">2024-02-21T08:52:56Z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2024-02-21T16:54:31Z</dcterms:created>
  <dcterms:modified xsi:type="dcterms:W3CDTF">2024-02-21T08:54:28Z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2024-02-21T16:54:48Z</dcterms:created>
  <dcterms:modified xsi:type="dcterms:W3CDTF">2024-02-21T08:54:45Z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2024-02-21T16:57:39Z</dcterms:created>
  <dcterms:modified xsi:type="dcterms:W3CDTF">2024-02-21T08:57:39Z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2024-02-21T16:57:06Z</dcterms:created>
  <dcterms:modified xsi:type="dcterms:W3CDTF">2024-02-21T08:57:06Z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2024-02-21T16:51:36Z</dcterms:created>
  <dcterms:modified xsi:type="dcterms:W3CDTF">2024-02-21T08:51:24Z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2024-02-21T16:55:08Z</dcterms:created>
  <dcterms:modified xsi:type="dcterms:W3CDTF">2024-02-21T08:55:08Z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2024-02-21T16:57:08Z</dcterms:created>
  <dcterms:modified xsi:type="dcterms:W3CDTF">2024-02-21T08:57:08Z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2024-02-21T16:53:48Z</dcterms:created>
  <dcterms:modified xsi:type="dcterms:W3CDTF">2024-02-21T08:53:44Z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2024-02-21T16:56:09Z</dcterms:created>
  <dcterms:modified xsi:type="dcterms:W3CDTF">2024-02-21T08:56:09Z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2024-02-21T16:26:41Z</dcterms:created>
  <dcterms:modified xsi:type="dcterms:W3CDTF">2024-02-21T08:26:41Z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2024-02-21T16:57:07Z</dcterms:created>
  <dcterms:modified xsi:type="dcterms:W3CDTF">2024-02-21T08:57:07Z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2024-02-21T16:57:05Z</dcterms:created>
  <dcterms:modified xsi:type="dcterms:W3CDTF">2024-02-21T08:57:05Z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2024-02-21T16:57:00Z</dcterms:created>
  <dcterms:modified xsi:type="dcterms:W3CDTF">2024-02-21T08:57:00Z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2024-02-21T16:57:40Z</dcterms:created>
  <dcterms:modified xsi:type="dcterms:W3CDTF">2024-02-21T08:57:39Z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2024-02-21T16:57:41Z</dcterms:created>
  <dcterms:modified xsi:type="dcterms:W3CDTF">2024-02-21T08:57:41Z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2024-02-21T16:57:37Z</dcterms:created>
  <dcterms:modified xsi:type="dcterms:W3CDTF">2024-02-21T08:57:36Z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2024-02-21T16:55:49Z</dcterms:created>
  <dcterms:modified xsi:type="dcterms:W3CDTF">2024-02-21T08:55:45Z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2024-02-21T16:55:24Z</dcterms:created>
  <dcterms:modified xsi:type="dcterms:W3CDTF">2024-02-21T08:55:24Z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6B8361D-1E27-4D78-BCA3-B0A898711603}">
  <ds:schemaRefs/>
</ds:datastoreItem>
</file>

<file path=customXml/itemProps10.xml><?xml version="1.0" encoding="utf-8"?>
<ds:datastoreItem xmlns:ds="http://schemas.openxmlformats.org/officeDocument/2006/customXml" ds:itemID="{EB8C1D95-5D71-4F59-9F82-78B656BEDADE}">
  <ds:schemaRefs/>
</ds:datastoreItem>
</file>

<file path=customXml/itemProps11.xml><?xml version="1.0" encoding="utf-8"?>
<ds:datastoreItem xmlns:ds="http://schemas.openxmlformats.org/officeDocument/2006/customXml" ds:itemID="{8AC6E8BE-FB22-453F-AFCC-77CFFA652BD5}">
  <ds:schemaRefs/>
</ds:datastoreItem>
</file>

<file path=customXml/itemProps12.xml><?xml version="1.0" encoding="utf-8"?>
<ds:datastoreItem xmlns:ds="http://schemas.openxmlformats.org/officeDocument/2006/customXml" ds:itemID="{59984124-362B-4C5D-B9C1-4A3C1A4A5B2F}">
  <ds:schemaRefs/>
</ds:datastoreItem>
</file>

<file path=customXml/itemProps13.xml><?xml version="1.0" encoding="utf-8"?>
<ds:datastoreItem xmlns:ds="http://schemas.openxmlformats.org/officeDocument/2006/customXml" ds:itemID="{F61686B0-9FFB-45FC-85F1-56DD24C0E597}">
  <ds:schemaRefs/>
</ds:datastoreItem>
</file>

<file path=customXml/itemProps14.xml><?xml version="1.0" encoding="utf-8"?>
<ds:datastoreItem xmlns:ds="http://schemas.openxmlformats.org/officeDocument/2006/customXml" ds:itemID="{D7EB0294-93EC-4D3A-9820-009D653939BC}">
  <ds:schemaRefs/>
</ds:datastoreItem>
</file>

<file path=customXml/itemProps15.xml><?xml version="1.0" encoding="utf-8"?>
<ds:datastoreItem xmlns:ds="http://schemas.openxmlformats.org/officeDocument/2006/customXml" ds:itemID="{905732FB-8B24-46CA-9EFF-FECDD08CECD9}">
  <ds:schemaRefs/>
</ds:datastoreItem>
</file>

<file path=customXml/itemProps16.xml><?xml version="1.0" encoding="utf-8"?>
<ds:datastoreItem xmlns:ds="http://schemas.openxmlformats.org/officeDocument/2006/customXml" ds:itemID="{B59944E7-C034-43F8-94CA-1600E3649324}">
  <ds:schemaRefs/>
</ds:datastoreItem>
</file>

<file path=customXml/itemProps17.xml><?xml version="1.0" encoding="utf-8"?>
<ds:datastoreItem xmlns:ds="http://schemas.openxmlformats.org/officeDocument/2006/customXml" ds:itemID="{266B471F-8F50-4F7E-BFE8-CE8E1FEFD373}">
  <ds:schemaRefs/>
</ds:datastoreItem>
</file>

<file path=customXml/itemProps18.xml><?xml version="1.0" encoding="utf-8"?>
<ds:datastoreItem xmlns:ds="http://schemas.openxmlformats.org/officeDocument/2006/customXml" ds:itemID="{0C796C58-53C5-480C-BBB4-48F18B2E8AE1}">
  <ds:schemaRefs/>
</ds:datastoreItem>
</file>

<file path=customXml/itemProps19.xml><?xml version="1.0" encoding="utf-8"?>
<ds:datastoreItem xmlns:ds="http://schemas.openxmlformats.org/officeDocument/2006/customXml" ds:itemID="{39432F8A-AE3B-4AD9-9AD0-F6061ABBD8AF}">
  <ds:schemaRefs/>
</ds:datastoreItem>
</file>

<file path=customXml/itemProps2.xml><?xml version="1.0" encoding="utf-8"?>
<ds:datastoreItem xmlns:ds="http://schemas.openxmlformats.org/officeDocument/2006/customXml" ds:itemID="{E5F225FB-5F78-4E02-97E1-692125AD1D99}">
  <ds:schemaRefs/>
</ds:datastoreItem>
</file>

<file path=customXml/itemProps20.xml><?xml version="1.0" encoding="utf-8"?>
<ds:datastoreItem xmlns:ds="http://schemas.openxmlformats.org/officeDocument/2006/customXml" ds:itemID="{D977E174-8197-4AEC-86CB-0A6518992C30}">
  <ds:schemaRefs/>
</ds:datastoreItem>
</file>

<file path=customXml/itemProps21.xml><?xml version="1.0" encoding="utf-8"?>
<ds:datastoreItem xmlns:ds="http://schemas.openxmlformats.org/officeDocument/2006/customXml" ds:itemID="{3893BE79-0188-4DC0-870B-3136C2C8F1FD}">
  <ds:schemaRefs/>
</ds:datastoreItem>
</file>

<file path=customXml/itemProps22.xml><?xml version="1.0" encoding="utf-8"?>
<ds:datastoreItem xmlns:ds="http://schemas.openxmlformats.org/officeDocument/2006/customXml" ds:itemID="{D0F557D8-95D0-4A10-AC20-E0B189AAC0E4}">
  <ds:schemaRefs/>
</ds:datastoreItem>
</file>

<file path=customXml/itemProps23.xml><?xml version="1.0" encoding="utf-8"?>
<ds:datastoreItem xmlns:ds="http://schemas.openxmlformats.org/officeDocument/2006/customXml" ds:itemID="{83AA709B-3E12-44FC-996B-D280AB1C5491}">
  <ds:schemaRefs/>
</ds:datastoreItem>
</file>

<file path=customXml/itemProps24.xml><?xml version="1.0" encoding="utf-8"?>
<ds:datastoreItem xmlns:ds="http://schemas.openxmlformats.org/officeDocument/2006/customXml" ds:itemID="{F1ADFF5D-597D-49EB-81AA-25CBB7CED641}">
  <ds:schemaRefs/>
</ds:datastoreItem>
</file>

<file path=customXml/itemProps25.xml><?xml version="1.0" encoding="utf-8"?>
<ds:datastoreItem xmlns:ds="http://schemas.openxmlformats.org/officeDocument/2006/customXml" ds:itemID="{CB181F8A-D40C-44B0-B115-014C7B7BB911}">
  <ds:schemaRefs/>
</ds:datastoreItem>
</file>

<file path=customXml/itemProps26.xml><?xml version="1.0" encoding="utf-8"?>
<ds:datastoreItem xmlns:ds="http://schemas.openxmlformats.org/officeDocument/2006/customXml" ds:itemID="{CE433008-F015-4949-8139-A1CC4357F66B}">
  <ds:schemaRefs/>
</ds:datastoreItem>
</file>

<file path=customXml/itemProps27.xml><?xml version="1.0" encoding="utf-8"?>
<ds:datastoreItem xmlns:ds="http://schemas.openxmlformats.org/officeDocument/2006/customXml" ds:itemID="{CCAB4019-719B-445D-9046-A79FB068A794}">
  <ds:schemaRefs/>
</ds:datastoreItem>
</file>

<file path=customXml/itemProps28.xml><?xml version="1.0" encoding="utf-8"?>
<ds:datastoreItem xmlns:ds="http://schemas.openxmlformats.org/officeDocument/2006/customXml" ds:itemID="{CF92DD33-9814-4E4B-B01D-A9C52FDDDE8B}">
  <ds:schemaRefs/>
</ds:datastoreItem>
</file>

<file path=customXml/itemProps29.xml><?xml version="1.0" encoding="utf-8"?>
<ds:datastoreItem xmlns:ds="http://schemas.openxmlformats.org/officeDocument/2006/customXml" ds:itemID="{AC6F9B7C-704E-4C18-9CC1-2FC7BC21FD73}">
  <ds:schemaRefs/>
</ds:datastoreItem>
</file>

<file path=customXml/itemProps3.xml><?xml version="1.0" encoding="utf-8"?>
<ds:datastoreItem xmlns:ds="http://schemas.openxmlformats.org/officeDocument/2006/customXml" ds:itemID="{B83921EE-C836-49B5-A4DC-F7C686B1E7FE}">
  <ds:schemaRefs/>
</ds:datastoreItem>
</file>

<file path=customXml/itemProps30.xml><?xml version="1.0" encoding="utf-8"?>
<ds:datastoreItem xmlns:ds="http://schemas.openxmlformats.org/officeDocument/2006/customXml" ds:itemID="{5D39262E-3ABB-41BB-9430-C9F4A648210E}">
  <ds:schemaRefs/>
</ds:datastoreItem>
</file>

<file path=customXml/itemProps31.xml><?xml version="1.0" encoding="utf-8"?>
<ds:datastoreItem xmlns:ds="http://schemas.openxmlformats.org/officeDocument/2006/customXml" ds:itemID="{E312801C-1FCC-4D69-BCAD-94E9FD2FB47F}">
  <ds:schemaRefs/>
</ds:datastoreItem>
</file>

<file path=customXml/itemProps32.xml><?xml version="1.0" encoding="utf-8"?>
<ds:datastoreItem xmlns:ds="http://schemas.openxmlformats.org/officeDocument/2006/customXml" ds:itemID="{699300D1-05F5-404F-BF04-416FD09B0255}">
  <ds:schemaRefs/>
</ds:datastoreItem>
</file>

<file path=customXml/itemProps33.xml><?xml version="1.0" encoding="utf-8"?>
<ds:datastoreItem xmlns:ds="http://schemas.openxmlformats.org/officeDocument/2006/customXml" ds:itemID="{B9C1D12F-AFD3-4EF3-9FFE-C9C1678A89F2}">
  <ds:schemaRefs/>
</ds:datastoreItem>
</file>

<file path=customXml/itemProps34.xml><?xml version="1.0" encoding="utf-8"?>
<ds:datastoreItem xmlns:ds="http://schemas.openxmlformats.org/officeDocument/2006/customXml" ds:itemID="{1428D12C-A911-410B-8B72-9F7752519234}">
  <ds:schemaRefs/>
</ds:datastoreItem>
</file>

<file path=customXml/itemProps35.xml><?xml version="1.0" encoding="utf-8"?>
<ds:datastoreItem xmlns:ds="http://schemas.openxmlformats.org/officeDocument/2006/customXml" ds:itemID="{CAF38AE7-EE2A-4042-9F15-9B69EF557832}">
  <ds:schemaRefs/>
</ds:datastoreItem>
</file>

<file path=customXml/itemProps36.xml><?xml version="1.0" encoding="utf-8"?>
<ds:datastoreItem xmlns:ds="http://schemas.openxmlformats.org/officeDocument/2006/customXml" ds:itemID="{09418506-0E3A-4EFE-B6D3-A7E2721B2CEC}">
  <ds:schemaRefs/>
</ds:datastoreItem>
</file>

<file path=customXml/itemProps37.xml><?xml version="1.0" encoding="utf-8"?>
<ds:datastoreItem xmlns:ds="http://schemas.openxmlformats.org/officeDocument/2006/customXml" ds:itemID="{D64A78BE-85B9-46CC-A6E6-7EA579492DF7}">
  <ds:schemaRefs/>
</ds:datastoreItem>
</file>

<file path=customXml/itemProps38.xml><?xml version="1.0" encoding="utf-8"?>
<ds:datastoreItem xmlns:ds="http://schemas.openxmlformats.org/officeDocument/2006/customXml" ds:itemID="{264115FF-2661-4118-AC02-9BE209F6014E}">
  <ds:schemaRefs/>
</ds:datastoreItem>
</file>

<file path=customXml/itemProps39.xml><?xml version="1.0" encoding="utf-8"?>
<ds:datastoreItem xmlns:ds="http://schemas.openxmlformats.org/officeDocument/2006/customXml" ds:itemID="{5CCEF841-656E-4040-94C7-03D12C69E7C9}">
  <ds:schemaRefs/>
</ds:datastoreItem>
</file>

<file path=customXml/itemProps4.xml><?xml version="1.0" encoding="utf-8"?>
<ds:datastoreItem xmlns:ds="http://schemas.openxmlformats.org/officeDocument/2006/customXml" ds:itemID="{0A2F49FD-CDD3-4E96-8A4E-FBC43F88565E}">
  <ds:schemaRefs/>
</ds:datastoreItem>
</file>

<file path=customXml/itemProps40.xml><?xml version="1.0" encoding="utf-8"?>
<ds:datastoreItem xmlns:ds="http://schemas.openxmlformats.org/officeDocument/2006/customXml" ds:itemID="{32DA5A73-96BD-438E-93C3-8CEFF4A52BF0}">
  <ds:schemaRefs/>
</ds:datastoreItem>
</file>

<file path=customXml/itemProps41.xml><?xml version="1.0" encoding="utf-8"?>
<ds:datastoreItem xmlns:ds="http://schemas.openxmlformats.org/officeDocument/2006/customXml" ds:itemID="{033A123B-5D40-4C44-B411-19C085229D5F}">
  <ds:schemaRefs/>
</ds:datastoreItem>
</file>

<file path=customXml/itemProps42.xml><?xml version="1.0" encoding="utf-8"?>
<ds:datastoreItem xmlns:ds="http://schemas.openxmlformats.org/officeDocument/2006/customXml" ds:itemID="{C2BEAEE4-EA52-4B13-818A-9A3DA0A76338}">
  <ds:schemaRefs/>
</ds:datastoreItem>
</file>

<file path=customXml/itemProps43.xml><?xml version="1.0" encoding="utf-8"?>
<ds:datastoreItem xmlns:ds="http://schemas.openxmlformats.org/officeDocument/2006/customXml" ds:itemID="{906C9340-432B-40D6-8D2F-F1ECAF46C51D}">
  <ds:schemaRefs/>
</ds:datastoreItem>
</file>

<file path=customXml/itemProps44.xml><?xml version="1.0" encoding="utf-8"?>
<ds:datastoreItem xmlns:ds="http://schemas.openxmlformats.org/officeDocument/2006/customXml" ds:itemID="{04856ABD-8567-40F2-904F-5393B81FEB3F}">
  <ds:schemaRefs/>
</ds:datastoreItem>
</file>

<file path=customXml/itemProps45.xml><?xml version="1.0" encoding="utf-8"?>
<ds:datastoreItem xmlns:ds="http://schemas.openxmlformats.org/officeDocument/2006/customXml" ds:itemID="{90F1A134-2F69-4DE4-8CF5-7CA7266DC45F}">
  <ds:schemaRefs/>
</ds:datastoreItem>
</file>

<file path=customXml/itemProps46.xml><?xml version="1.0" encoding="utf-8"?>
<ds:datastoreItem xmlns:ds="http://schemas.openxmlformats.org/officeDocument/2006/customXml" ds:itemID="{7DC81E03-6D29-49E4-AB61-DE9062E58CD3}">
  <ds:schemaRefs/>
</ds:datastoreItem>
</file>

<file path=customXml/itemProps47.xml><?xml version="1.0" encoding="utf-8"?>
<ds:datastoreItem xmlns:ds="http://schemas.openxmlformats.org/officeDocument/2006/customXml" ds:itemID="{AE20134B-2F4B-4C37-8334-515395468B37}">
  <ds:schemaRefs/>
</ds:datastoreItem>
</file>

<file path=customXml/itemProps48.xml><?xml version="1.0" encoding="utf-8"?>
<ds:datastoreItem xmlns:ds="http://schemas.openxmlformats.org/officeDocument/2006/customXml" ds:itemID="{6AB1FEA3-7112-474D-8952-36AE0B03069A}">
  <ds:schemaRefs/>
</ds:datastoreItem>
</file>

<file path=customXml/itemProps49.xml><?xml version="1.0" encoding="utf-8"?>
<ds:datastoreItem xmlns:ds="http://schemas.openxmlformats.org/officeDocument/2006/customXml" ds:itemID="{21C2D542-E440-4837-AF9E-99C22911EA2F}">
  <ds:schemaRefs/>
</ds:datastoreItem>
</file>

<file path=customXml/itemProps5.xml><?xml version="1.0" encoding="utf-8"?>
<ds:datastoreItem xmlns:ds="http://schemas.openxmlformats.org/officeDocument/2006/customXml" ds:itemID="{576C75DB-695C-4435-9C09-FA4E0EFB6F8E}">
  <ds:schemaRefs/>
</ds:datastoreItem>
</file>

<file path=customXml/itemProps50.xml><?xml version="1.0" encoding="utf-8"?>
<ds:datastoreItem xmlns:ds="http://schemas.openxmlformats.org/officeDocument/2006/customXml" ds:itemID="{D7553658-5CB3-4DF2-93D4-077F846CA736}">
  <ds:schemaRefs/>
</ds:datastoreItem>
</file>

<file path=customXml/itemProps51.xml><?xml version="1.0" encoding="utf-8"?>
<ds:datastoreItem xmlns:ds="http://schemas.openxmlformats.org/officeDocument/2006/customXml" ds:itemID="{35ED3354-D13F-40AD-A593-249238DB8B08}">
  <ds:schemaRefs/>
</ds:datastoreItem>
</file>

<file path=customXml/itemProps52.xml><?xml version="1.0" encoding="utf-8"?>
<ds:datastoreItem xmlns:ds="http://schemas.openxmlformats.org/officeDocument/2006/customXml" ds:itemID="{AE08586C-F2F2-4990-BD23-CD113758374B}">
  <ds:schemaRefs/>
</ds:datastoreItem>
</file>

<file path=customXml/itemProps53.xml><?xml version="1.0" encoding="utf-8"?>
<ds:datastoreItem xmlns:ds="http://schemas.openxmlformats.org/officeDocument/2006/customXml" ds:itemID="{8E9627B2-E533-43A9-B2F8-E7B40B1A7246}">
  <ds:schemaRefs/>
</ds:datastoreItem>
</file>

<file path=customXml/itemProps54.xml><?xml version="1.0" encoding="utf-8"?>
<ds:datastoreItem xmlns:ds="http://schemas.openxmlformats.org/officeDocument/2006/customXml" ds:itemID="{6BDFB510-6F19-4134-96E7-C49D6F057983}">
  <ds:schemaRefs/>
</ds:datastoreItem>
</file>

<file path=customXml/itemProps55.xml><?xml version="1.0" encoding="utf-8"?>
<ds:datastoreItem xmlns:ds="http://schemas.openxmlformats.org/officeDocument/2006/customXml" ds:itemID="{FB8E1480-DA6B-4968-9D5F-7BCC80C2F996}">
  <ds:schemaRefs/>
</ds:datastoreItem>
</file>

<file path=customXml/itemProps56.xml><?xml version="1.0" encoding="utf-8"?>
<ds:datastoreItem xmlns:ds="http://schemas.openxmlformats.org/officeDocument/2006/customXml" ds:itemID="{E45C62CB-9327-456A-A05F-E30A9961DD45}">
  <ds:schemaRefs/>
</ds:datastoreItem>
</file>

<file path=customXml/itemProps57.xml><?xml version="1.0" encoding="utf-8"?>
<ds:datastoreItem xmlns:ds="http://schemas.openxmlformats.org/officeDocument/2006/customXml" ds:itemID="{E1910FB1-73A4-4368-9256-47C323D6F49A}">
  <ds:schemaRefs/>
</ds:datastoreItem>
</file>

<file path=customXml/itemProps58.xml><?xml version="1.0" encoding="utf-8"?>
<ds:datastoreItem xmlns:ds="http://schemas.openxmlformats.org/officeDocument/2006/customXml" ds:itemID="{540974F9-145A-4B3C-9597-4C682C97AED9}">
  <ds:schemaRefs/>
</ds:datastoreItem>
</file>

<file path=customXml/itemProps59.xml><?xml version="1.0" encoding="utf-8"?>
<ds:datastoreItem xmlns:ds="http://schemas.openxmlformats.org/officeDocument/2006/customXml" ds:itemID="{B6B1AA4B-0296-4C42-904C-0AE4AFB77879}">
  <ds:schemaRefs/>
</ds:datastoreItem>
</file>

<file path=customXml/itemProps6.xml><?xml version="1.0" encoding="utf-8"?>
<ds:datastoreItem xmlns:ds="http://schemas.openxmlformats.org/officeDocument/2006/customXml" ds:itemID="{A5234C5F-2E0E-480A-8578-0253CB61858D}">
  <ds:schemaRefs/>
</ds:datastoreItem>
</file>

<file path=customXml/itemProps60.xml><?xml version="1.0" encoding="utf-8"?>
<ds:datastoreItem xmlns:ds="http://schemas.openxmlformats.org/officeDocument/2006/customXml" ds:itemID="{2EF34F0A-06F1-4E81-9F4D-103366FE1153}">
  <ds:schemaRefs/>
</ds:datastoreItem>
</file>

<file path=customXml/itemProps61.xml><?xml version="1.0" encoding="utf-8"?>
<ds:datastoreItem xmlns:ds="http://schemas.openxmlformats.org/officeDocument/2006/customXml" ds:itemID="{17872680-BDA9-466A-8852-7DF6FF1D7DFF}">
  <ds:schemaRefs/>
</ds:datastoreItem>
</file>

<file path=customXml/itemProps62.xml><?xml version="1.0" encoding="utf-8"?>
<ds:datastoreItem xmlns:ds="http://schemas.openxmlformats.org/officeDocument/2006/customXml" ds:itemID="{980BBA7A-6A92-4073-90D0-C7DC03EDD35D}">
  <ds:schemaRefs/>
</ds:datastoreItem>
</file>

<file path=customXml/itemProps7.xml><?xml version="1.0" encoding="utf-8"?>
<ds:datastoreItem xmlns:ds="http://schemas.openxmlformats.org/officeDocument/2006/customXml" ds:itemID="{71DBF0F6-3586-468A-B993-844D717E1FED}">
  <ds:schemaRefs/>
</ds:datastoreItem>
</file>

<file path=customXml/itemProps8.xml><?xml version="1.0" encoding="utf-8"?>
<ds:datastoreItem xmlns:ds="http://schemas.openxmlformats.org/officeDocument/2006/customXml" ds:itemID="{C65948D9-03D4-4AD5-99E1-538F95AA4ACB}">
  <ds:schemaRefs/>
</ds:datastoreItem>
</file>

<file path=customXml/itemProps9.xml><?xml version="1.0" encoding="utf-8"?>
<ds:datastoreItem xmlns:ds="http://schemas.openxmlformats.org/officeDocument/2006/customXml" ds:itemID="{DFEB15E5-1297-400B-BD7F-E7BB4CAF76B2}">
  <ds:schemaRefs/>
</ds:datastoreItem>
</file>

<file path=docProps/app.xml><?xml version="1.0" encoding="utf-8"?>
<Properties xmlns="http://schemas.openxmlformats.org/officeDocument/2006/extended-properties" xmlns:vt="http://schemas.openxmlformats.org/officeDocument/2006/docPropsVTypes">
  <Template>Normal</Template>
  <Company>秦皇岛市海港区人力资源和社会保障局</Company>
  <Pages>33</Pages>
  <Words>2510</Words>
  <Characters>14312</Characters>
  <Lines>119</Lines>
  <Paragraphs>33</Paragraphs>
  <TotalTime>0</TotalTime>
  <ScaleCrop>false</ScaleCrop>
  <LinksUpToDate>false</LinksUpToDate>
  <CharactersWithSpaces>16789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2024-02-22T02:26:00Z</dcterms:created>
  <dc:creator>521A</dc:creator>
  <cp:lastModifiedBy>cw1</cp:lastModifiedBy>
  <dcterms:modified xsi:type="dcterms:W3CDTF">2024-02-22T08:28:16Z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06CDD46316974F769EA6ABEF84172D2A</vt:lpwstr>
  </property>
</Properties>
</file>