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一、秦皇岛市海港区北港镇人民政府本级收支预算</w:t>
      </w:r>
      <w:r>
        <w:tab/>
      </w:r>
      <w:r>
        <w:fldChar w:fldCharType="begin"/>
      </w:r>
      <w:r>
        <w:instrText xml:space="preserve">PAGEREF _Toc_4_4_0000000001 \h</w:instrText>
      </w:r>
      <w:r>
        <w:fldChar w:fldCharType="separate"/>
      </w:r>
      <w:r>
        <w:t>1</w:t>
      </w:r>
      <w:r>
        <w:fldChar w:fldCharType="end"/>
      </w:r>
      <w:r>
        <w:fldChar w:fldCharType="end"/>
      </w:r>
    </w:p>
    <w:p>
      <w:r>
        <w:fldChar w:fldCharType="end"/>
      </w:r>
    </w:p>
    <w:p/>
    <w:p/>
    <w:p/>
    <w:p/>
    <w:p/>
    <w:p/>
    <w:p/>
    <w:p/>
    <w:p/>
    <w:p/>
    <w:p/>
    <w:p/>
    <w:p>
      <w:bookmarkStart w:id="0" w:name="_GoBack"/>
      <w:bookmarkEnd w:id="0"/>
    </w:p>
    <w:p/>
    <w:p/>
    <w:p/>
    <w:p/>
    <w:p/>
    <w:p/>
    <w:p/>
    <w:p/>
    <w:p/>
    <w:p/>
    <w:p/>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b w:val="0"/>
          <w:color w:val="000000"/>
          <w:sz w:val="44"/>
        </w:rPr>
        <w:t>秦皇岛市海港区北港镇人民政府本级2023年单位预算信息公开情况说明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、《地方预决算公开操作规程》和《关于进一步推进预算公开工作的实施意见》规定，现将秦皇岛市海港区北港镇人民政府本级2023年单位预算公开如下：</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9"/>
      </w:pPr>
      <w:r>
        <w:rPr>
          <w:rFonts w:ascii="方正楷体_GBK" w:hAnsi="方正楷体_GBK" w:eastAsia="方正楷体_GBK" w:cs="方正楷体_GBK"/>
          <w:b/>
          <w:color w:val="000000"/>
          <w:sz w:val="32"/>
        </w:rPr>
        <w:t>单位职责：</w:t>
      </w:r>
    </w:p>
    <w:p>
      <w:pPr>
        <w:pStyle w:val="5"/>
        <w:keepNext w:val="0"/>
        <w:keepLines w:val="0"/>
        <w:pageBreakBefore w:val="0"/>
        <w:widowControl/>
        <w:kinsoku/>
        <w:wordWrap/>
        <w:overflowPunct/>
        <w:topLinePunct w:val="0"/>
        <w:autoSpaceDE/>
        <w:autoSpaceDN/>
        <w:bidi w:val="0"/>
        <w:adjustRightInd/>
        <w:snapToGrid/>
        <w:spacing w:before="0" w:after="0"/>
      </w:pPr>
      <w:r>
        <w:t>1.促进经济发展。一是紧紧围绕“三线富民、八业强县”的经济发展战略，科学制定本乡镇产业发展规划，谋划适应乡镇实际的经济发展模式；二是推进农业结构调整，努力提高农业产业化和农民进入市场的组织化水平，促进粮食生产稳定发展，农民持续增收；三是营造良好的发展环境，促进招商引资和项目建设；四是增强农村集体组织经济实力，大力发展民营经济，培育和发展农民专业合作组织和中介组织，壮大第二、第三产业，加快城镇化进程。</w:t>
      </w:r>
    </w:p>
    <w:p>
      <w:pPr>
        <w:pStyle w:val="5"/>
        <w:keepNext w:val="0"/>
        <w:keepLines w:val="0"/>
        <w:pageBreakBefore w:val="0"/>
        <w:widowControl/>
        <w:kinsoku/>
        <w:wordWrap/>
        <w:overflowPunct/>
        <w:topLinePunct w:val="0"/>
        <w:autoSpaceDE/>
        <w:autoSpaceDN/>
        <w:bidi w:val="0"/>
        <w:adjustRightInd/>
        <w:snapToGrid/>
        <w:spacing w:before="0" w:after="0"/>
      </w:pPr>
      <w:r>
        <w:t>2.加强社会管理。一是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二是保障法律法规赋予公民的经济、政治、文化权利，落实公民在选举、决策、管理和监督方面的民主权利，依法行政；三是加强农村党组织建设，依法推进村民组织自治，加强农村宣传文化工作，抓好农村的思想政治建设和精神文明建设；四是制定生态文明村建设和构建和谐社会的相关措施，抓好组织实施。</w:t>
      </w:r>
    </w:p>
    <w:p>
      <w:pPr>
        <w:pStyle w:val="5"/>
        <w:keepNext w:val="0"/>
        <w:keepLines w:val="0"/>
        <w:pageBreakBefore w:val="0"/>
        <w:widowControl/>
        <w:kinsoku/>
        <w:wordWrap/>
        <w:overflowPunct/>
        <w:topLinePunct w:val="0"/>
        <w:autoSpaceDE/>
        <w:autoSpaceDN/>
        <w:bidi w:val="0"/>
        <w:adjustRightInd/>
        <w:snapToGrid/>
        <w:spacing w:before="0" w:after="0"/>
      </w:pPr>
      <w:r>
        <w:t>3.提供公共服务。一是加强农村市场体系建设，增强市场服务能力；二是加强农田水利基本建设，增强农业抗御自然灾害的能力；三是加强基础设施建设，改善农民生产生活环境；四是搞好科技、信息服务，提高农民现代信息技术水平；五是加强对农村劳动力的职业培训，扩大农村富余劳动力就业；六是协助县直有关部门做好农村社会保障工作，建立健全农村合作医疗、低保、救济等制度，解除农民后顾之忧。</w:t>
      </w:r>
    </w:p>
    <w:p>
      <w:pPr>
        <w:pStyle w:val="6"/>
        <w:keepNext w:val="0"/>
        <w:keepLines w:val="0"/>
        <w:pageBreakBefore w:val="0"/>
        <w:widowControl/>
        <w:kinsoku/>
        <w:wordWrap/>
        <w:overflowPunct/>
        <w:topLinePunct w:val="0"/>
        <w:autoSpaceDE/>
        <w:autoSpaceDN/>
        <w:bidi w:val="0"/>
        <w:adjustRightInd/>
        <w:snapToGrid/>
        <w:spacing w:before="0" w:after="0"/>
      </w:pPr>
      <w:r>
        <w:t>4.维护农村稳定。一是贯彻执行国家法律法规和政策，增强农民法律意识，教育农民知法、懂法、守法；二是建立完善协调联动机制，搞好农村矛盾纠纷排查调处，加强社会治安综合治理，维护社会安全秩序；三是妥善处理突发性、群体性事件，协助司法机关打击各类刑事犯罪活动；四是抓好农村安全生产的监督管理。</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单位名称</w:t>
            </w:r>
          </w:p>
        </w:tc>
        <w:tc>
          <w:tcPr>
            <w:tcW w:w="246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单位性质</w:t>
            </w:r>
          </w:p>
        </w:tc>
        <w:tc>
          <w:tcPr>
            <w:tcW w:w="246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单位规格</w:t>
            </w:r>
          </w:p>
        </w:tc>
        <w:tc>
          <w:tcPr>
            <w:tcW w:w="246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秦皇岛市海港区北港镇人民政府本级</w:t>
            </w:r>
          </w:p>
        </w:tc>
        <w:tc>
          <w:tcPr>
            <w:tcW w:w="2464"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行政</w:t>
            </w:r>
          </w:p>
        </w:tc>
        <w:tc>
          <w:tcPr>
            <w:tcW w:w="2464"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正科级</w:t>
            </w:r>
          </w:p>
        </w:tc>
        <w:tc>
          <w:tcPr>
            <w:tcW w:w="2464"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财政拨款</w:t>
            </w:r>
          </w:p>
        </w:tc>
      </w:tr>
    </w:tbl>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pStyle w:val="10"/>
        <w:keepNext w:val="0"/>
        <w:keepLines w:val="0"/>
        <w:pageBreakBefore w:val="0"/>
        <w:widowControl/>
        <w:kinsoku/>
        <w:wordWrap/>
        <w:overflowPunct/>
        <w:topLinePunct w:val="0"/>
        <w:autoSpaceDE/>
        <w:autoSpaceDN/>
        <w:bidi w:val="0"/>
        <w:adjustRightInd/>
        <w:snapToGrid/>
        <w:spacing w:before="0" w:after="0"/>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271.82</w:t>
      </w:r>
      <w:r>
        <w:rPr>
          <w:rFonts w:hint="eastAsia" w:ascii="Times New Roman" w:hAnsi="Times New Roman" w:eastAsia="方正仿宋_GBK" w:cs="Times New Roman"/>
          <w:color w:val="000000"/>
          <w:sz w:val="28"/>
        </w:rPr>
        <w:t>万元，主要用于单位日常办公运转所需支出。包括：办公费14</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万元、水电费90万元、邮电费14.88万元、取暖费</w:t>
      </w:r>
      <w:r>
        <w:rPr>
          <w:rFonts w:hint="eastAsia" w:eastAsia="方正仿宋_GBK" w:cs="Times New Roman"/>
          <w:color w:val="000000"/>
          <w:sz w:val="28"/>
          <w:lang w:val="en-US" w:eastAsia="zh-CN"/>
        </w:rPr>
        <w:t>106</w:t>
      </w:r>
      <w:r>
        <w:rPr>
          <w:rFonts w:hint="eastAsia" w:ascii="Times New Roman" w:hAnsi="Times New Roman" w:eastAsia="方正仿宋_GBK" w:cs="Times New Roman"/>
          <w:color w:val="000000"/>
          <w:sz w:val="28"/>
        </w:rPr>
        <w:t>万元、公车运行维护费2.25万元、其他交通费用</w:t>
      </w:r>
      <w:r>
        <w:rPr>
          <w:rFonts w:hint="eastAsia" w:eastAsia="方正仿宋_GBK" w:cs="Times New Roman"/>
          <w:color w:val="000000"/>
          <w:sz w:val="28"/>
          <w:lang w:val="en-US" w:eastAsia="zh-CN"/>
        </w:rPr>
        <w:t>16.32</w:t>
      </w:r>
      <w:r>
        <w:rPr>
          <w:rFonts w:hint="eastAsia" w:ascii="Times New Roman" w:hAnsi="Times New Roman" w:eastAsia="方正仿宋_GBK" w:cs="Times New Roman"/>
          <w:color w:val="000000"/>
          <w:sz w:val="28"/>
        </w:rPr>
        <w:t>万元、公务接待费0</w:t>
      </w:r>
      <w:r>
        <w:rPr>
          <w:rFonts w:ascii="Times New Roman" w:hAnsi="Times New Roman" w:eastAsia="方正仿宋_GBK" w:cs="Times New Roman"/>
          <w:color w:val="000000"/>
          <w:sz w:val="28"/>
        </w:rPr>
        <w:t>.57</w:t>
      </w:r>
      <w:r>
        <w:rPr>
          <w:rFonts w:hint="eastAsia" w:ascii="Times New Roman" w:hAnsi="Times New Roman" w:eastAsia="方正仿宋_GBK" w:cs="Times New Roman"/>
          <w:color w:val="000000"/>
          <w:sz w:val="28"/>
        </w:rPr>
        <w:t>万元、工会经费</w:t>
      </w:r>
      <w:r>
        <w:rPr>
          <w:rFonts w:hint="eastAsia" w:eastAsia="方正仿宋_GBK" w:cs="Times New Roman"/>
          <w:color w:val="000000"/>
          <w:sz w:val="28"/>
          <w:lang w:val="en-US" w:eastAsia="zh-CN"/>
        </w:rPr>
        <w:t>10.49</w:t>
      </w:r>
      <w:r>
        <w:rPr>
          <w:rFonts w:hint="eastAsia" w:ascii="Times New Roman" w:hAnsi="Times New Roman" w:eastAsia="方正仿宋_GBK" w:cs="Times New Roman"/>
          <w:color w:val="000000"/>
          <w:sz w:val="28"/>
        </w:rPr>
        <w:t>万元、福利费</w:t>
      </w:r>
      <w:r>
        <w:rPr>
          <w:rFonts w:hint="eastAsia" w:eastAsia="方正仿宋_GBK" w:cs="Times New Roman"/>
          <w:color w:val="000000"/>
          <w:sz w:val="28"/>
          <w:lang w:val="en-US" w:eastAsia="zh-CN"/>
        </w:rPr>
        <w:t>13.01</w:t>
      </w:r>
      <w:r>
        <w:rPr>
          <w:rFonts w:hint="eastAsia" w:ascii="Times New Roman" w:hAnsi="Times New Roman" w:eastAsia="方正仿宋_GBK" w:cs="Times New Roman"/>
          <w:color w:val="000000"/>
          <w:sz w:val="28"/>
        </w:rPr>
        <w:t>万元、其他商品和服务支出3.</w:t>
      </w: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rPr>
        <w:t>万元。</w:t>
      </w:r>
    </w:p>
    <w:p>
      <w:pPr>
        <w:pStyle w:val="11"/>
        <w:keepNext w:val="0"/>
        <w:keepLines w:val="0"/>
        <w:pageBreakBefore w:val="0"/>
        <w:widowControl/>
        <w:kinsoku/>
        <w:wordWrap/>
        <w:overflowPunct/>
        <w:topLinePunct w:val="0"/>
        <w:autoSpaceDE/>
        <w:autoSpaceDN/>
        <w:bidi w:val="0"/>
        <w:adjustRightInd/>
        <w:snapToGrid/>
        <w:spacing w:before="0" w:after="0"/>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四、财政拨款“三公”经费预算情况及增减变化原因</w:t>
      </w:r>
    </w:p>
    <w:p>
      <w:pPr>
        <w:pStyle w:val="12"/>
        <w:keepNext w:val="0"/>
        <w:keepLines w:val="0"/>
        <w:pageBreakBefore w:val="0"/>
        <w:widowControl/>
        <w:kinsoku/>
        <w:wordWrap/>
        <w:overflowPunct/>
        <w:topLinePunct w:val="0"/>
        <w:autoSpaceDE/>
        <w:autoSpaceDN/>
        <w:bidi w:val="0"/>
        <w:adjustRightInd/>
        <w:snapToGrid/>
        <w:spacing w:before="0" w:after="0"/>
        <w:rPr>
          <w:rFonts w:hint="eastAsia" w:ascii="Times New Roman" w:hAnsi="Times New Roman" w:eastAsia="方正仿宋_GBK" w:cs="Times New Roman"/>
          <w:color w:val="000000"/>
          <w:sz w:val="28"/>
          <w:szCs w:val="24"/>
          <w:lang w:val="uk-UA"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年，我部门财政拨款“三公”经费预算安排2.82万元，其中因公出国（境）费0万元；公务用车购置及运维费2.25万元（其中：公务用车购置费为0万元，公务用车运行费2.25万元)；公务接待费0.57万元。与2021年相比</w:t>
      </w:r>
      <w:r>
        <w:rPr>
          <w:rFonts w:hint="eastAsia" w:cs="Times New Roman"/>
          <w:color w:val="000000"/>
          <w:sz w:val="28"/>
          <w:szCs w:val="24"/>
          <w:lang w:val="en-US" w:eastAsia="zh-CN" w:bidi="ar-SA"/>
        </w:rPr>
        <w:t>无变化</w:t>
      </w:r>
      <w:r>
        <w:rPr>
          <w:rFonts w:hint="eastAsia" w:ascii="Times New Roman" w:hAnsi="Times New Roman" w:eastAsia="方正仿宋_GBK" w:cs="Times New Roman"/>
          <w:color w:val="000000"/>
          <w:sz w:val="28"/>
          <w:szCs w:val="24"/>
          <w:lang w:val="uk-UA" w:eastAsia="uk-UA" w:bidi="ar-SA"/>
        </w:rPr>
        <w:t>。</w:t>
      </w:r>
    </w:p>
    <w:p>
      <w:pPr>
        <w:pStyle w:val="13"/>
        <w:keepNext w:val="0"/>
        <w:keepLines w:val="0"/>
        <w:pageBreakBefore w:val="0"/>
        <w:widowControl/>
        <w:kinsoku/>
        <w:wordWrap/>
        <w:overflowPunct/>
        <w:topLinePunct w:val="0"/>
        <w:autoSpaceDE/>
        <w:autoSpaceDN/>
        <w:bidi w:val="0"/>
        <w:adjustRightInd/>
        <w:snapToGrid/>
        <w:spacing w:before="0" w:after="0"/>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1.发放2022年城乡养老保险就业公共服务村级代办员省级补助资金</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补助人数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城乡居民养老保险代办员补助人数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4740人</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补助发放率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补助发放率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补助发放及时率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补助发放及时率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补助发放总额</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补助发放总额</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6945元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加强养老保险社会管理</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加强养老保险社会管理</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提高效率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提高代办员工作积极性</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提高代办员工作积极性</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适当提高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上级专款文件</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2、村（社区）综合服务站提升项目绩效目标表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1.按照标准化、规范化、便利化要求，提高为民办事效率</w:t>
            </w:r>
          </w:p>
          <w:p>
            <w:pPr>
              <w:pStyle w:val="8"/>
              <w:keepNext w:val="0"/>
              <w:keepLines w:val="0"/>
              <w:pageBreakBefore w:val="0"/>
              <w:widowControl/>
              <w:kinsoku/>
              <w:wordWrap/>
              <w:overflowPunct/>
              <w:topLinePunct w:val="0"/>
              <w:autoSpaceDE/>
              <w:autoSpaceDN/>
              <w:bidi w:val="0"/>
              <w:adjustRightInd/>
              <w:snapToGrid/>
              <w:spacing w:before="0" w:after="0"/>
            </w:pPr>
            <w:r>
              <w:t>2.提高政府社会影响力及公信力，持续做好各村基层工作</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综合服务站服务乡村范围</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综合服务站服务乡村范围</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≥16个</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办公物品购置数量</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办公物品购置数量</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≥20项</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服务事项办结率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服务事项办结率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服务站工作时间</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服务站工作时间</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办公物品采购成本</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办公物品采购成本</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4.5万元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服务站运行成本</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服务站运行成本</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5.36万元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提高政府社会影响力及公信力</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提高政府社会影响力及公信力</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促进基层行政服务水平提升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促进基层行政服务水平提升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办事人员的满意度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3、村党组织活动经费绩效目标表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1.用于支持村内开展党组织活动</w:t>
            </w:r>
          </w:p>
          <w:p>
            <w:pPr>
              <w:pStyle w:val="8"/>
              <w:keepNext w:val="0"/>
              <w:keepLines w:val="0"/>
              <w:pageBreakBefore w:val="0"/>
              <w:widowControl/>
              <w:kinsoku/>
              <w:wordWrap/>
              <w:overflowPunct/>
              <w:topLinePunct w:val="0"/>
              <w:autoSpaceDE/>
              <w:autoSpaceDN/>
              <w:bidi w:val="0"/>
              <w:adjustRightInd/>
              <w:snapToGrid/>
              <w:spacing w:before="0" w:after="0"/>
            </w:pPr>
            <w:r>
              <w:t>2.提升村党内活动水平，促进农村党员素质提升</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90"/>
        <w:gridCol w:w="3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1790"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3142"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保障经费村数</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保障全镇32个行政村党组织经费支出</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32村</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经费保障覆盖率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全面保障全镇所有行政村党组织经费支出</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经费标准达标率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按文件标准足额保障全年经费</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经费保障落实率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按上级文件要求落实村级党组织经费保障政策</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资金拨付及时性</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按工作计划及村级需求及时拨付资金</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工作完成及时性</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村级党组织各项党员活动开展及时程度</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费用支出控制数</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≤19.8万元</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提升党员获得感</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通过组织开展农村党员教育活动，提升农村党员获得感</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效果明显</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农村党员素质提升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促进农村党员队伍能力素质提升</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效果明显</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党员满意度</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保障村党组织活动需要</w:t>
            </w:r>
          </w:p>
        </w:tc>
        <w:tc>
          <w:tcPr>
            <w:tcW w:w="17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314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248"/>
        <w:gridCol w:w="855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248"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8550"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1.用于支付2023年度在职村干部基础职务“底薪”补贴，更好关心关爱基层干部</w:t>
            </w:r>
          </w:p>
          <w:p>
            <w:pPr>
              <w:pStyle w:val="8"/>
              <w:keepNext w:val="0"/>
              <w:keepLines w:val="0"/>
              <w:pageBreakBefore w:val="0"/>
              <w:widowControl/>
              <w:kinsoku/>
              <w:wordWrap/>
              <w:overflowPunct/>
              <w:topLinePunct w:val="0"/>
              <w:autoSpaceDE/>
              <w:autoSpaceDN/>
              <w:bidi w:val="0"/>
              <w:adjustRightInd/>
              <w:snapToGrid/>
              <w:spacing w:before="0" w:after="0"/>
            </w:pPr>
            <w:r>
              <w:t>2.用于支付2022年度在职村干部基础职务“绩效”补贴，保障基层村干部安心工作并提升积极性</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4"/>
        <w:gridCol w:w="2259"/>
        <w:gridCol w:w="2364"/>
        <w:gridCol w:w="2630"/>
        <w:gridCol w:w="2053"/>
        <w:gridCol w:w="3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2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59"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36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630"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053"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38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5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364"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职务补贴保障人数</w:t>
            </w:r>
          </w:p>
        </w:tc>
        <w:tc>
          <w:tcPr>
            <w:tcW w:w="263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保障全镇32个行政村的168名村“两委”干部以及41名非“两委”兼任的村会计、妇联主席的基本报酬</w:t>
            </w:r>
          </w:p>
        </w:tc>
        <w:tc>
          <w:tcPr>
            <w:tcW w:w="205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209人</w:t>
            </w:r>
          </w:p>
        </w:tc>
        <w:tc>
          <w:tcPr>
            <w:tcW w:w="38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364"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补贴发放准确率</w:t>
            </w:r>
          </w:p>
        </w:tc>
        <w:tc>
          <w:tcPr>
            <w:tcW w:w="263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按规定标准足额保障全年补贴发放到村干部手中</w:t>
            </w:r>
          </w:p>
        </w:tc>
        <w:tc>
          <w:tcPr>
            <w:tcW w:w="205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8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364"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补贴发放及时性</w:t>
            </w:r>
          </w:p>
        </w:tc>
        <w:tc>
          <w:tcPr>
            <w:tcW w:w="263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按规定时间发放村干部职务补贴</w:t>
            </w:r>
          </w:p>
        </w:tc>
        <w:tc>
          <w:tcPr>
            <w:tcW w:w="205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8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364"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“两委”干部人均补贴标准</w:t>
            </w:r>
          </w:p>
        </w:tc>
        <w:tc>
          <w:tcPr>
            <w:tcW w:w="263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按上级文件规定对村“两委”干部进行补贴的标准</w:t>
            </w:r>
          </w:p>
        </w:tc>
        <w:tc>
          <w:tcPr>
            <w:tcW w:w="205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≤21332元/人.年</w:t>
            </w:r>
          </w:p>
        </w:tc>
        <w:tc>
          <w:tcPr>
            <w:tcW w:w="38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364"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非“两委”干部人均补贴标准</w:t>
            </w:r>
          </w:p>
        </w:tc>
        <w:tc>
          <w:tcPr>
            <w:tcW w:w="263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按上级文件规定对非村“两委”干部进行补贴的标准</w:t>
            </w:r>
          </w:p>
        </w:tc>
        <w:tc>
          <w:tcPr>
            <w:tcW w:w="205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≤21332元/人.年</w:t>
            </w:r>
          </w:p>
        </w:tc>
        <w:tc>
          <w:tcPr>
            <w:tcW w:w="38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5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364"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农村基层组织运行良好</w:t>
            </w:r>
          </w:p>
        </w:tc>
        <w:tc>
          <w:tcPr>
            <w:tcW w:w="263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切实保障在职村干部待遇，保障基层组织有效运行</w:t>
            </w:r>
          </w:p>
        </w:tc>
        <w:tc>
          <w:tcPr>
            <w:tcW w:w="205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较上年有所提升</w:t>
            </w:r>
          </w:p>
        </w:tc>
        <w:tc>
          <w:tcPr>
            <w:tcW w:w="38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364"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基层村干部工作积极性提升</w:t>
            </w:r>
          </w:p>
        </w:tc>
        <w:tc>
          <w:tcPr>
            <w:tcW w:w="263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持续保障并促进基层村干部工作积极性提升</w:t>
            </w:r>
          </w:p>
        </w:tc>
        <w:tc>
          <w:tcPr>
            <w:tcW w:w="205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较上年有所提升</w:t>
            </w:r>
          </w:p>
        </w:tc>
        <w:tc>
          <w:tcPr>
            <w:tcW w:w="38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5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364"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在职村干部对职务补贴发放工作的满意程度</w:t>
            </w:r>
          </w:p>
        </w:tc>
        <w:tc>
          <w:tcPr>
            <w:tcW w:w="263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05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38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5、村级组织办公经费绩效目标表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1.用于支持村党组织正常运转</w:t>
            </w:r>
          </w:p>
          <w:p>
            <w:pPr>
              <w:pStyle w:val="8"/>
              <w:keepNext w:val="0"/>
              <w:keepLines w:val="0"/>
              <w:pageBreakBefore w:val="0"/>
              <w:widowControl/>
              <w:kinsoku/>
              <w:wordWrap/>
              <w:overflowPunct/>
              <w:topLinePunct w:val="0"/>
              <w:autoSpaceDE/>
              <w:autoSpaceDN/>
              <w:bidi w:val="0"/>
              <w:adjustRightInd/>
              <w:snapToGrid/>
              <w:spacing w:before="0" w:after="0"/>
            </w:pPr>
            <w:r>
              <w:t>2.提升村党组织运转水平</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913"/>
        <w:gridCol w:w="3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1913"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3019"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经费保障村数</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保障镇32个行政村办公经费支出</w:t>
            </w:r>
          </w:p>
        </w:tc>
        <w:tc>
          <w:tcPr>
            <w:tcW w:w="191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32村</w:t>
            </w:r>
          </w:p>
        </w:tc>
        <w:tc>
          <w:tcPr>
            <w:tcW w:w="301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村级组织运行保障率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足额保障全镇各行政村全年经费</w:t>
            </w:r>
          </w:p>
        </w:tc>
        <w:tc>
          <w:tcPr>
            <w:tcW w:w="191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01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办公经费发放及时性</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按工作计划及实际需要及时拨付办公经费</w:t>
            </w:r>
          </w:p>
        </w:tc>
        <w:tc>
          <w:tcPr>
            <w:tcW w:w="191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01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村经费支出标准</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按标准合理支出费用</w:t>
            </w:r>
          </w:p>
        </w:tc>
        <w:tc>
          <w:tcPr>
            <w:tcW w:w="191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≤0.5万元/村</w:t>
            </w:r>
          </w:p>
        </w:tc>
        <w:tc>
          <w:tcPr>
            <w:tcW w:w="301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经费支出控制数</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91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≤16万元</w:t>
            </w:r>
          </w:p>
        </w:tc>
        <w:tc>
          <w:tcPr>
            <w:tcW w:w="301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村级办公条件持续改善</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村级办公条件持续改善，保障工作开展</w:t>
            </w:r>
          </w:p>
        </w:tc>
        <w:tc>
          <w:tcPr>
            <w:tcW w:w="191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较上年明显提升</w:t>
            </w:r>
          </w:p>
        </w:tc>
        <w:tc>
          <w:tcPr>
            <w:tcW w:w="301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提升村级组织运转水平</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切实保障村级组织办公需要</w:t>
            </w:r>
          </w:p>
        </w:tc>
        <w:tc>
          <w:tcPr>
            <w:tcW w:w="191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01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各行政村满意度</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村级组织对办公经费保障工作满意程度</w:t>
            </w:r>
          </w:p>
        </w:tc>
        <w:tc>
          <w:tcPr>
            <w:tcW w:w="1913"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≥90%</w:t>
            </w:r>
          </w:p>
        </w:tc>
        <w:tc>
          <w:tcPr>
            <w:tcW w:w="3019"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6、服务群众专项经费绩效目标表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1.用于支持村级组织正常运转，确保农村各项工作有效开展</w:t>
            </w:r>
          </w:p>
          <w:p>
            <w:pPr>
              <w:pStyle w:val="8"/>
              <w:keepNext w:val="0"/>
              <w:keepLines w:val="0"/>
              <w:pageBreakBefore w:val="0"/>
              <w:widowControl/>
              <w:kinsoku/>
              <w:wordWrap/>
              <w:overflowPunct/>
              <w:topLinePunct w:val="0"/>
              <w:autoSpaceDE/>
              <w:autoSpaceDN/>
              <w:bidi w:val="0"/>
              <w:adjustRightInd/>
              <w:snapToGrid/>
              <w:spacing w:before="0" w:after="0"/>
            </w:pPr>
            <w:r>
              <w:t>2.解决村内综合服务站日常运转、公共设施维护、公共卫生防疫、村内治安维护等支出</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560"/>
        <w:gridCol w:w="3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1560"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3372"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经费保障覆盖率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全面保障全镇所有行政村服务群众必要经费支出</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保障经费村数</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保障全镇32个行政村服务群众经费支出</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32村</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经费保障落实率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按上级文件要求落实村级服务群众经费保障政策</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经费标准达标率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按文件标准足额保障全年经费</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资金拨付及时性</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按工作计划及村级需求及时拨付资金</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工作完成及时性</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村内综合服务站运转、公共设施维护、公共卫生防疫、村内治安维护等工作开展及时程度</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费用支出控制数</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≤160万元</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村经费支出标准</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5000元/村</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提升群众获得感</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解决村内综合服务站日常运转、公共设施维护、公共卫生防疫、村内治安维护等，提升群众获得感</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效果明显</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村级群众服务保障率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切实保障村服务群众需要</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群众满意度</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群众对各项服务工作的满意程度</w:t>
            </w:r>
          </w:p>
        </w:tc>
        <w:tc>
          <w:tcPr>
            <w:tcW w:w="156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≥90%</w:t>
            </w:r>
          </w:p>
        </w:tc>
        <w:tc>
          <w:tcPr>
            <w:tcW w:w="3372"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7、共青团基层组织建设、妇联工作经费绩效目标表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1.推进乡镇实体化“大团委”建设，充分发挥乡镇团委“桥头堡”作用，扎实推进全团重点工作</w:t>
            </w:r>
          </w:p>
          <w:p>
            <w:pPr>
              <w:pStyle w:val="8"/>
              <w:keepNext w:val="0"/>
              <w:keepLines w:val="0"/>
              <w:pageBreakBefore w:val="0"/>
              <w:widowControl/>
              <w:kinsoku/>
              <w:wordWrap/>
              <w:overflowPunct/>
              <w:topLinePunct w:val="0"/>
              <w:autoSpaceDE/>
              <w:autoSpaceDN/>
              <w:bidi w:val="0"/>
              <w:adjustRightInd/>
              <w:snapToGrid/>
              <w:spacing w:before="0" w:after="0"/>
            </w:pPr>
            <w:r>
              <w:t>2.加强全镇妇女权益保护，树立妇女当家做主思想，推进妇联管理工作</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处理妇女权益纠纷次数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处理妇女权益纠纷次数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≥5次</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团委活动组织次数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团委活动组织次数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≥3次</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妇女权益纠纷处理率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妇女权益纠纷处理率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团委活动完成率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团委活动完成率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工作实施及时率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工作实施及时率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工作所需资金</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工作所需资金</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强化共青团组织在农村的</w:t>
            </w:r>
          </w:p>
          <w:p>
            <w:pPr>
              <w:pStyle w:val="8"/>
              <w:keepNext w:val="0"/>
              <w:keepLines w:val="0"/>
              <w:pageBreakBefore w:val="0"/>
              <w:widowControl/>
              <w:kinsoku/>
              <w:wordWrap/>
              <w:overflowPunct/>
              <w:topLinePunct w:val="0"/>
              <w:autoSpaceDE/>
              <w:autoSpaceDN/>
              <w:bidi w:val="0"/>
              <w:adjustRightInd/>
              <w:snapToGrid/>
              <w:spacing w:before="0" w:after="0"/>
            </w:pPr>
            <w:r>
              <w:t>影响力</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强化共青团组织在农村的</w:t>
            </w:r>
          </w:p>
          <w:p>
            <w:pPr>
              <w:pStyle w:val="8"/>
              <w:keepNext w:val="0"/>
              <w:keepLines w:val="0"/>
              <w:pageBreakBefore w:val="0"/>
              <w:widowControl/>
              <w:kinsoku/>
              <w:wordWrap/>
              <w:overflowPunct/>
              <w:topLinePunct w:val="0"/>
              <w:autoSpaceDE/>
              <w:autoSpaceDN/>
              <w:bidi w:val="0"/>
              <w:adjustRightInd/>
              <w:snapToGrid/>
              <w:spacing w:before="0" w:after="0"/>
            </w:pPr>
            <w:r>
              <w:t>影响力</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青年群众爱党敬业积</w:t>
            </w:r>
          </w:p>
          <w:p>
            <w:pPr>
              <w:pStyle w:val="8"/>
              <w:keepNext w:val="0"/>
              <w:keepLines w:val="0"/>
              <w:pageBreakBefore w:val="0"/>
              <w:widowControl/>
              <w:kinsoku/>
              <w:wordWrap/>
              <w:overflowPunct/>
              <w:topLinePunct w:val="0"/>
              <w:autoSpaceDE/>
              <w:autoSpaceDN/>
              <w:bidi w:val="0"/>
              <w:adjustRightInd/>
              <w:snapToGrid/>
              <w:spacing w:before="0" w:after="0"/>
            </w:pPr>
            <w:r>
              <w:t>极性</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提高青年群众爱党敬业积</w:t>
            </w:r>
          </w:p>
          <w:p>
            <w:pPr>
              <w:pStyle w:val="8"/>
              <w:keepNext w:val="0"/>
              <w:keepLines w:val="0"/>
              <w:pageBreakBefore w:val="0"/>
              <w:widowControl/>
              <w:kinsoku/>
              <w:wordWrap/>
              <w:overflowPunct/>
              <w:topLinePunct w:val="0"/>
              <w:autoSpaceDE/>
              <w:autoSpaceDN/>
              <w:bidi w:val="0"/>
              <w:adjustRightInd/>
              <w:snapToGrid/>
              <w:spacing w:before="0" w:after="0"/>
            </w:pPr>
            <w:r>
              <w:t>极性</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扎实推进共青团建设工作</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扎实推进共青团建设工作</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妇女群众满意度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团员的满意度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8、基层武装工作经费绩效目标表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1.提高村民兵连部正规化建设，坚持“巩固、规范、上档”的要求，争创一流工作水平。</w:t>
            </w:r>
          </w:p>
          <w:p>
            <w:pPr>
              <w:pStyle w:val="8"/>
              <w:keepNext w:val="0"/>
              <w:keepLines w:val="0"/>
              <w:pageBreakBefore w:val="0"/>
              <w:widowControl/>
              <w:kinsoku/>
              <w:wordWrap/>
              <w:overflowPunct/>
              <w:topLinePunct w:val="0"/>
              <w:autoSpaceDE/>
              <w:autoSpaceDN/>
              <w:bidi w:val="0"/>
              <w:adjustRightInd/>
              <w:snapToGrid/>
              <w:spacing w:before="0" w:after="0"/>
            </w:pPr>
            <w:r>
              <w:t>2.提升我镇征兵质量，一年两征。</w:t>
            </w:r>
          </w:p>
          <w:p>
            <w:pPr>
              <w:pStyle w:val="8"/>
              <w:keepNext w:val="0"/>
              <w:keepLines w:val="0"/>
              <w:pageBreakBefore w:val="0"/>
              <w:widowControl/>
              <w:kinsoku/>
              <w:wordWrap/>
              <w:overflowPunct/>
              <w:topLinePunct w:val="0"/>
              <w:autoSpaceDE/>
              <w:autoSpaceDN/>
              <w:bidi w:val="0"/>
              <w:adjustRightInd/>
              <w:snapToGrid/>
              <w:spacing w:before="0" w:after="0"/>
            </w:pPr>
            <w:r>
              <w:t>3.提高民兵应急力量的装备物质器材、训练演练和参检防疫救灾。</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民兵训练工作完成率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日常民兵训练保障工作完成率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补充、补足预备役人员的数量</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补充、补足预备役人员的数量</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≥20人</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民兵训练工作合格率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日常民兵训练保障工作完成合格率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100 %</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民兵训练工作完成及时率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日常民兵训练保障工作完成及时率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人均预算支出成本</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实际支出小于预算数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≤1250元/人</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培养民兵后备力量</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培养民兵后备力量</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保障战时后备民兵作战能力</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保障战时后备民兵作战能力</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有效保障</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民兵的满意度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≥95 %</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9、计划生育事业费绩效目标表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1.计划生育日常工作及活动日宣传工作正常开展。</w:t>
            </w:r>
          </w:p>
          <w:p>
            <w:pPr>
              <w:pStyle w:val="8"/>
              <w:keepNext w:val="0"/>
              <w:keepLines w:val="0"/>
              <w:pageBreakBefore w:val="0"/>
              <w:widowControl/>
              <w:kinsoku/>
              <w:wordWrap/>
              <w:overflowPunct/>
              <w:topLinePunct w:val="0"/>
              <w:autoSpaceDE/>
              <w:autoSpaceDN/>
              <w:bidi w:val="0"/>
              <w:adjustRightInd/>
              <w:snapToGrid/>
              <w:spacing w:before="0" w:after="0"/>
            </w:pPr>
            <w:r>
              <w:t>2.对计生家庭及贫困子女救助。</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计生专干、村级宣传员培训宣传的次数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计生专干、村级宣传员培训宣传的次数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≥1次</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流动人口动态监测及清理清查工作的次数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流动人口动态监测及清理清查工作的次数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≥1次</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计生人口宣传覆盖率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计生人口宣传覆盖率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日常各项工作完成合格率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日常各项工作完成合格率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日常各项工作完成及时率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日常各项工作完成及时率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计生工作经费支出</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计生工作经费支出</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≤5万元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维护村民计划生育健康</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维护村民计划生育健康</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经济效益指标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倡导全新的婚育观念</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提高优生优育、倡导全新的婚育</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计生人员对满意度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1.妥善处置非正常上访，维护社会大局和谐稳定</w:t>
            </w:r>
          </w:p>
          <w:p>
            <w:pPr>
              <w:pStyle w:val="8"/>
              <w:keepNext w:val="0"/>
              <w:keepLines w:val="0"/>
              <w:pageBreakBefore w:val="0"/>
              <w:widowControl/>
              <w:kinsoku/>
              <w:wordWrap/>
              <w:overflowPunct/>
              <w:topLinePunct w:val="0"/>
              <w:autoSpaceDE/>
              <w:autoSpaceDN/>
              <w:bidi w:val="0"/>
              <w:adjustRightInd/>
              <w:snapToGrid/>
              <w:spacing w:before="0" w:after="0"/>
            </w:pPr>
            <w:r>
              <w:t>2.妥善处理突发性、群体性事件</w:t>
            </w:r>
          </w:p>
          <w:p>
            <w:pPr>
              <w:pStyle w:val="8"/>
              <w:keepNext w:val="0"/>
              <w:keepLines w:val="0"/>
              <w:pageBreakBefore w:val="0"/>
              <w:widowControl/>
              <w:kinsoku/>
              <w:wordWrap/>
              <w:overflowPunct/>
              <w:topLinePunct w:val="0"/>
              <w:autoSpaceDE/>
              <w:autoSpaceDN/>
              <w:bidi w:val="0"/>
              <w:adjustRightInd/>
              <w:snapToGrid/>
              <w:spacing w:before="0" w:after="0"/>
            </w:pPr>
            <w:r>
              <w:t>3. 长期维护辖区稳定，化解矛盾纠纷</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处理信访事件完成率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处理信访事件完成率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纠纷调解成功率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纠纷调解成功率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信访事件受理及时率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信访事件受理及时率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信访维稳费用支出</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信访维稳费用支出</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≤30万元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解决群众矛盾纠纷，提升群众安全感</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解决群众矛盾纠纷，提升群众安全感</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维护社会秩序持续稳定</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维护社会秩序持续稳定</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信访人员的满意度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11、民族路北延伸公路两侧绿化租地资金绩效目标表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1.及时支付民族路北延伸小旺庄、太平寨公路两侧绿化走廊租地费用</w:t>
            </w:r>
          </w:p>
          <w:p>
            <w:pPr>
              <w:pStyle w:val="8"/>
              <w:keepNext w:val="0"/>
              <w:keepLines w:val="0"/>
              <w:pageBreakBefore w:val="0"/>
              <w:widowControl/>
              <w:kinsoku/>
              <w:wordWrap/>
              <w:overflowPunct/>
              <w:topLinePunct w:val="0"/>
              <w:autoSpaceDE/>
              <w:autoSpaceDN/>
              <w:bidi w:val="0"/>
              <w:adjustRightInd/>
              <w:snapToGrid/>
              <w:spacing w:before="0" w:after="0"/>
            </w:pPr>
            <w:r>
              <w:t>2.进一步提升圆明山旅游度假区整体现象和全区生态绿化水平</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太平寨村租地面积</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太平寨村租地面积</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56.6亩</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小旺庄村租地面积</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小旺庄村租地面积</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473.4亩</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租金支付合格率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租金支付合格率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租金支付及时率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租金支付及时率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租金费用支出金额</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实际支出小于预算数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≤318万元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加强辖区环境配套管理</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加强辖区环境配套管理</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提升生态绿化水平</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提升生态绿化水平</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群众满意度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现场调研</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12、人大代表之家经费绩效目标表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1.为代表开展活动提供平台，给代表提供学习培训场所，成为联系选民、议政督政的窗口。</w:t>
            </w:r>
          </w:p>
          <w:p>
            <w:pPr>
              <w:pStyle w:val="8"/>
              <w:keepNext w:val="0"/>
              <w:keepLines w:val="0"/>
              <w:pageBreakBefore w:val="0"/>
              <w:widowControl/>
              <w:kinsoku/>
              <w:wordWrap/>
              <w:overflowPunct/>
              <w:topLinePunct w:val="0"/>
              <w:autoSpaceDE/>
              <w:autoSpaceDN/>
              <w:bidi w:val="0"/>
              <w:adjustRightInd/>
              <w:snapToGrid/>
              <w:spacing w:before="0" w:after="0"/>
            </w:pPr>
            <w:r>
              <w:t>2.组织镇级人大会议。</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人大调研视察次数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人大调研视察次数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≥3次</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人代会召开的次数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人代会召开的次数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≥1次</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人大综合事务完成率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人大综合事务完成率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人大调研活动覆盖率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人大调研活动覆盖率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100 %</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人大具体工作完成率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人大具体工作完成率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人代会召开天数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人代会召开天数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2天</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人代会召开时间</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人代会召开时间</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3月份</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预算支出控制数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总体控制在年度预算额度内</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≤4万元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提升人大监督力度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提升人大监督力度</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人大代表对代表之家满意度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1.组织各项文化活动。</w:t>
            </w:r>
          </w:p>
          <w:p>
            <w:pPr>
              <w:pStyle w:val="8"/>
              <w:keepNext w:val="0"/>
              <w:keepLines w:val="0"/>
              <w:pageBreakBefore w:val="0"/>
              <w:widowControl/>
              <w:kinsoku/>
              <w:wordWrap/>
              <w:overflowPunct/>
              <w:topLinePunct w:val="0"/>
              <w:autoSpaceDE/>
              <w:autoSpaceDN/>
              <w:bidi w:val="0"/>
              <w:adjustRightInd/>
              <w:snapToGrid/>
              <w:spacing w:before="0" w:after="0"/>
            </w:pPr>
            <w:r>
              <w:t>2.丰富群众文化生活。</w:t>
            </w:r>
          </w:p>
          <w:p>
            <w:pPr>
              <w:pStyle w:val="8"/>
              <w:keepNext w:val="0"/>
              <w:keepLines w:val="0"/>
              <w:pageBreakBefore w:val="0"/>
              <w:widowControl/>
              <w:kinsoku/>
              <w:wordWrap/>
              <w:overflowPunct/>
              <w:topLinePunct w:val="0"/>
              <w:autoSpaceDE/>
              <w:autoSpaceDN/>
              <w:bidi w:val="0"/>
              <w:adjustRightInd/>
              <w:snapToGrid/>
              <w:spacing w:before="0" w:after="0"/>
            </w:pPr>
            <w:r>
              <w:t>3.健全公共文化服务体系。</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文化宣传活动覆盖的村数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文化宣传活动覆盖的村数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≥12个村</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开展文化活动次数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开展文化活动次数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≥6次</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活动组织完成合格率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活动组织完成合格率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活动组织完成及时率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活动组织完成及时率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预算支出金额</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预算支出金额</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加强群众文化生活参与感</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加强群众文化生活参与感</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提升群众文明素养</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提升群众文明素养</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群众满意程度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群众对开展各项文化活动满意程度</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14、乡镇纪检经费绩效目标表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1.抓好党风廉政建设，做好党规党纪宣传教育</w:t>
            </w:r>
          </w:p>
          <w:p>
            <w:pPr>
              <w:pStyle w:val="8"/>
              <w:keepNext w:val="0"/>
              <w:keepLines w:val="0"/>
              <w:pageBreakBefore w:val="0"/>
              <w:widowControl/>
              <w:kinsoku/>
              <w:wordWrap/>
              <w:overflowPunct/>
              <w:topLinePunct w:val="0"/>
              <w:autoSpaceDE/>
              <w:autoSpaceDN/>
              <w:bidi w:val="0"/>
              <w:adjustRightInd/>
              <w:snapToGrid/>
              <w:spacing w:before="0" w:after="0"/>
            </w:pPr>
            <w:r>
              <w:t>2.做好对各上级和本级收到的举报件进行调查处理</w:t>
            </w:r>
          </w:p>
          <w:p>
            <w:pPr>
              <w:pStyle w:val="8"/>
              <w:keepNext w:val="0"/>
              <w:keepLines w:val="0"/>
              <w:pageBreakBefore w:val="0"/>
              <w:widowControl/>
              <w:kinsoku/>
              <w:wordWrap/>
              <w:overflowPunct/>
              <w:topLinePunct w:val="0"/>
              <w:autoSpaceDE/>
              <w:autoSpaceDN/>
              <w:bidi w:val="0"/>
              <w:adjustRightInd/>
              <w:snapToGrid/>
              <w:spacing w:before="0" w:after="0"/>
            </w:pPr>
            <w:r>
              <w:t>3.保障乡镇社会稳定</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巡问涉及村级的数量</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巡问涉及村级的数量</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≥32个</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补审查、询征的人数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补审查、询征的人数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≥10人</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查办案件的覆盖率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查办案件的覆盖率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发现问题调查处理率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发现问题调查处理率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案件查办及时率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案件查办及时率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人均预算支出金额</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人均预算支出金额</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≤1000元/人</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抓好党风廉政建设，做好党规党纪宣传教育</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抓好党风廉政建设，做好党规党纪宣传教育</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保障乡镇社会稳定</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保障乡镇社会稳定</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纪检人员的满意度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15、行政综合服务中心运行费绩效目标表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1.开展乡镇行政审批事项和公共服务事项的集中统一办理。</w:t>
            </w:r>
          </w:p>
          <w:p>
            <w:pPr>
              <w:pStyle w:val="8"/>
              <w:keepNext w:val="0"/>
              <w:keepLines w:val="0"/>
              <w:pageBreakBefore w:val="0"/>
              <w:widowControl/>
              <w:kinsoku/>
              <w:wordWrap/>
              <w:overflowPunct/>
              <w:topLinePunct w:val="0"/>
              <w:autoSpaceDE/>
              <w:autoSpaceDN/>
              <w:bidi w:val="0"/>
              <w:adjustRightInd/>
              <w:snapToGrid/>
              <w:spacing w:before="0" w:after="0"/>
            </w:pPr>
            <w:r>
              <w:t>2.为服务群众、提升业务速度为目标，实现专业化、智能化、运维模式，建立高质量行政服务平台。</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服务受益人数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服务受益人数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≥10000人次</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服务中心正常运行率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服务中心正常运行率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服务中心运行天数</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服务中心运行天数</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365天</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服务中心运行成本</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服务中心运行成本</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≤6万元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专网及运营维护支出</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专网及运营维护支出</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≤15万元</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提升行政审批效率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提升行政审批效率</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规范政府行政管理流程</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规范政府行政管理流程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办事人员对行政中心满意度</w:t>
            </w:r>
          </w:p>
        </w:tc>
        <w:tc>
          <w:tcPr>
            <w:tcW w:w="283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16、正常离任村“两委”正职生活补贴绩效目标表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pPr>
            <w:r>
              <w:t>1.用于支持村级组织正常运转，确保农村各项工作有效开展</w:t>
            </w:r>
          </w:p>
          <w:p>
            <w:pPr>
              <w:pStyle w:val="8"/>
              <w:keepNext w:val="0"/>
              <w:keepLines w:val="0"/>
              <w:pageBreakBefore w:val="0"/>
              <w:widowControl/>
              <w:kinsoku/>
              <w:wordWrap/>
              <w:overflowPunct/>
              <w:topLinePunct w:val="0"/>
              <w:autoSpaceDE/>
              <w:autoSpaceDN/>
              <w:bidi w:val="0"/>
              <w:adjustRightInd/>
              <w:snapToGrid/>
              <w:spacing w:before="0" w:after="0"/>
            </w:pPr>
            <w:r>
              <w:t>2.解决村内综合服务站日常运转、公共设施维护、公共卫生防疫、村内治安维护等支出</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55"/>
        <w:gridCol w:w="3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绩效指标描述</w:t>
            </w:r>
          </w:p>
        </w:tc>
        <w:tc>
          <w:tcPr>
            <w:tcW w:w="1755"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w:t>
            </w:r>
          </w:p>
        </w:tc>
        <w:tc>
          <w:tcPr>
            <w:tcW w:w="3177"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补贴发放人数</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保障全镇符合发放条件的离任村干部补贴</w:t>
            </w:r>
          </w:p>
        </w:tc>
        <w:tc>
          <w:tcPr>
            <w:tcW w:w="175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83人</w:t>
            </w:r>
          </w:p>
        </w:tc>
        <w:tc>
          <w:tcPr>
            <w:tcW w:w="3177"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补贴发放准确率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足额保障正常离任村干部全年补贴准确发放</w:t>
            </w:r>
          </w:p>
        </w:tc>
        <w:tc>
          <w:tcPr>
            <w:tcW w:w="175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177"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补贴发放及时性</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按上级文件要求时间发放村干部补贴</w:t>
            </w:r>
          </w:p>
        </w:tc>
        <w:tc>
          <w:tcPr>
            <w:tcW w:w="175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177"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补贴发放控制数</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75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≤31万元</w:t>
            </w:r>
          </w:p>
        </w:tc>
        <w:tc>
          <w:tcPr>
            <w:tcW w:w="3177"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村干部待遇政策落实情况</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保障村干部待遇政策持续落实</w:t>
            </w:r>
          </w:p>
        </w:tc>
        <w:tc>
          <w:tcPr>
            <w:tcW w:w="175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177"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调动现任村干部工作动能</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切实保障离任村干部待遇，激发村干部工作热情</w:t>
            </w:r>
          </w:p>
        </w:tc>
        <w:tc>
          <w:tcPr>
            <w:tcW w:w="175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100%</w:t>
            </w:r>
          </w:p>
        </w:tc>
        <w:tc>
          <w:tcPr>
            <w:tcW w:w="3177"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离任村干部满意度</w:t>
            </w:r>
          </w:p>
        </w:tc>
        <w:tc>
          <w:tcPr>
            <w:tcW w:w="2466"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离任村干部对待遇落实的满意程度</w:t>
            </w:r>
          </w:p>
        </w:tc>
        <w:tc>
          <w:tcPr>
            <w:tcW w:w="175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≥90%</w:t>
            </w:r>
          </w:p>
        </w:tc>
        <w:tc>
          <w:tcPr>
            <w:tcW w:w="3177"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2023年，秦皇岛市海港区北港镇人民政府本级安排政府采购预算4.90万元。具体内容见下表。</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780"/>
        <w:gridCol w:w="855"/>
        <w:gridCol w:w="810"/>
        <w:gridCol w:w="780"/>
        <w:gridCol w:w="829"/>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8316" w:type="dxa"/>
            <w:gridSpan w:val="9"/>
            <w:tcBorders>
              <w:top w:val="single" w:color="FFFFFF" w:sz="6" w:space="0"/>
              <w:left w:val="single" w:color="FFFFFF" w:sz="6" w:space="0"/>
              <w:right w:val="single" w:color="FFFFFF"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70" w:type="dxa"/>
            <w:gridSpan w:val="2"/>
            <w:vAlign w:val="center"/>
          </w:tcPr>
          <w:p>
            <w:pPr>
              <w:pStyle w:val="7"/>
              <w:keepNext w:val="0"/>
              <w:keepLines w:val="0"/>
              <w:pageBreakBefore w:val="0"/>
              <w:widowControl/>
              <w:kinsoku/>
              <w:wordWrap/>
              <w:overflowPunct/>
              <w:topLinePunct w:val="0"/>
              <w:autoSpaceDE/>
              <w:autoSpaceDN/>
              <w:bidi w:val="0"/>
              <w:adjustRightInd/>
              <w:snapToGrid/>
              <w:spacing w:before="0" w:after="0"/>
            </w:pPr>
            <w:r>
              <w:t>政府采购项目来源</w:t>
            </w:r>
          </w:p>
        </w:tc>
        <w:tc>
          <w:tcPr>
            <w:tcW w:w="855"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pPr>
            <w:r>
              <w:t>采购物品名称</w:t>
            </w:r>
          </w:p>
        </w:tc>
        <w:tc>
          <w:tcPr>
            <w:tcW w:w="810"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pPr>
            <w:r>
              <w:t>政府采购目录序号</w:t>
            </w:r>
          </w:p>
        </w:tc>
        <w:tc>
          <w:tcPr>
            <w:tcW w:w="780"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pPr>
            <w:r>
              <w:t>计量  单位</w:t>
            </w:r>
          </w:p>
        </w:tc>
        <w:tc>
          <w:tcPr>
            <w:tcW w:w="829"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pPr>
            <w:r>
              <w:t>数量</w:t>
            </w:r>
          </w:p>
        </w:tc>
        <w:tc>
          <w:tcPr>
            <w:tcW w:w="924"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pPr>
            <w:r>
              <w:t>单价</w:t>
            </w:r>
          </w:p>
        </w:tc>
        <w:tc>
          <w:tcPr>
            <w:tcW w:w="7392" w:type="dxa"/>
            <w:gridSpan w:val="8"/>
            <w:vAlign w:val="center"/>
          </w:tcPr>
          <w:p>
            <w:pPr>
              <w:pStyle w:val="7"/>
              <w:keepNext w:val="0"/>
              <w:keepLines w:val="0"/>
              <w:pageBreakBefore w:val="0"/>
              <w:widowControl/>
              <w:kinsoku/>
              <w:wordWrap/>
              <w:overflowPunct/>
              <w:topLinePunct w:val="0"/>
              <w:autoSpaceDE/>
              <w:autoSpaceDN/>
              <w:bidi w:val="0"/>
              <w:adjustRightInd/>
              <w:snapToGrid/>
              <w:spacing w:before="0" w:after="0"/>
            </w:pPr>
            <w:r>
              <w:t>政府采购金额（当年部门预算安排资金）</w:t>
            </w:r>
          </w:p>
        </w:tc>
        <w:tc>
          <w:tcPr>
            <w:tcW w:w="924"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90"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项目名称</w:t>
            </w:r>
          </w:p>
        </w:tc>
        <w:tc>
          <w:tcPr>
            <w:tcW w:w="780"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预算    资金</w:t>
            </w:r>
          </w:p>
        </w:tc>
        <w:tc>
          <w:tcPr>
            <w:tcW w:w="855" w:type="dxa"/>
            <w:vMerge w:val="continue"/>
          </w:tcPr>
          <w:p>
            <w:pPr>
              <w:keepNext w:val="0"/>
              <w:keepLines w:val="0"/>
              <w:pageBreakBefore w:val="0"/>
              <w:widowControl/>
              <w:kinsoku/>
              <w:wordWrap/>
              <w:overflowPunct/>
              <w:topLinePunct w:val="0"/>
              <w:autoSpaceDE/>
              <w:autoSpaceDN/>
              <w:bidi w:val="0"/>
              <w:adjustRightInd/>
              <w:snapToGrid/>
            </w:pPr>
          </w:p>
        </w:tc>
        <w:tc>
          <w:tcPr>
            <w:tcW w:w="810" w:type="dxa"/>
            <w:vMerge w:val="continue"/>
          </w:tcPr>
          <w:p>
            <w:pPr>
              <w:keepNext w:val="0"/>
              <w:keepLines w:val="0"/>
              <w:pageBreakBefore w:val="0"/>
              <w:widowControl/>
              <w:kinsoku/>
              <w:wordWrap/>
              <w:overflowPunct/>
              <w:topLinePunct w:val="0"/>
              <w:autoSpaceDE/>
              <w:autoSpaceDN/>
              <w:bidi w:val="0"/>
              <w:adjustRightInd/>
              <w:snapToGrid/>
            </w:pPr>
          </w:p>
        </w:tc>
        <w:tc>
          <w:tcPr>
            <w:tcW w:w="780" w:type="dxa"/>
            <w:vMerge w:val="continue"/>
          </w:tcPr>
          <w:p>
            <w:pPr>
              <w:keepNext w:val="0"/>
              <w:keepLines w:val="0"/>
              <w:pageBreakBefore w:val="0"/>
              <w:widowControl/>
              <w:kinsoku/>
              <w:wordWrap/>
              <w:overflowPunct/>
              <w:topLinePunct w:val="0"/>
              <w:autoSpaceDE/>
              <w:autoSpaceDN/>
              <w:bidi w:val="0"/>
              <w:adjustRightInd/>
              <w:snapToGrid/>
            </w:pPr>
          </w:p>
        </w:tc>
        <w:tc>
          <w:tcPr>
            <w:tcW w:w="829" w:type="dxa"/>
            <w:vMerge w:val="continue"/>
          </w:tcPr>
          <w:p>
            <w:pPr>
              <w:keepNext w:val="0"/>
              <w:keepLines w:val="0"/>
              <w:pageBreakBefore w:val="0"/>
              <w:widowControl/>
              <w:kinsoku/>
              <w:wordWrap/>
              <w:overflowPunct/>
              <w:topLinePunct w:val="0"/>
              <w:autoSpaceDE/>
              <w:autoSpaceDN/>
              <w:bidi w:val="0"/>
              <w:adjustRightInd/>
              <w:snapToGrid/>
            </w:pPr>
          </w:p>
        </w:tc>
        <w:tc>
          <w:tcPr>
            <w:tcW w:w="924" w:type="dxa"/>
            <w:vMerge w:val="continue"/>
          </w:tcPr>
          <w:p>
            <w:pPr>
              <w:keepNext w:val="0"/>
              <w:keepLines w:val="0"/>
              <w:pageBreakBefore w:val="0"/>
              <w:widowControl/>
              <w:kinsoku/>
              <w:wordWrap/>
              <w:overflowPunct/>
              <w:topLinePunct w:val="0"/>
              <w:autoSpaceDE/>
              <w:autoSpaceDN/>
              <w:bidi w:val="0"/>
              <w:adjustRightInd/>
              <w:snapToGrid/>
            </w:pPr>
          </w:p>
        </w:tc>
        <w:tc>
          <w:tcPr>
            <w:tcW w:w="92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合计</w:t>
            </w:r>
          </w:p>
        </w:tc>
        <w:tc>
          <w:tcPr>
            <w:tcW w:w="92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一般公共预算拨款</w:t>
            </w:r>
          </w:p>
        </w:tc>
        <w:tc>
          <w:tcPr>
            <w:tcW w:w="92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基金预算拨款</w:t>
            </w:r>
          </w:p>
        </w:tc>
        <w:tc>
          <w:tcPr>
            <w:tcW w:w="92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国有资本经营预算拨款</w:t>
            </w:r>
          </w:p>
        </w:tc>
        <w:tc>
          <w:tcPr>
            <w:tcW w:w="92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财政专户核拨</w:t>
            </w:r>
          </w:p>
        </w:tc>
        <w:tc>
          <w:tcPr>
            <w:tcW w:w="92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单位    资金</w:t>
            </w:r>
          </w:p>
        </w:tc>
        <w:tc>
          <w:tcPr>
            <w:tcW w:w="92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财政拨    款结转</w:t>
            </w:r>
          </w:p>
        </w:tc>
        <w:tc>
          <w:tcPr>
            <w:tcW w:w="924" w:type="dxa"/>
            <w:vAlign w:val="center"/>
          </w:tcPr>
          <w:p>
            <w:pPr>
              <w:pStyle w:val="7"/>
              <w:keepNext w:val="0"/>
              <w:keepLines w:val="0"/>
              <w:pageBreakBefore w:val="0"/>
              <w:widowControl/>
              <w:kinsoku/>
              <w:wordWrap/>
              <w:overflowPunct/>
              <w:topLinePunct w:val="0"/>
              <w:autoSpaceDE/>
              <w:autoSpaceDN/>
              <w:bidi w:val="0"/>
              <w:adjustRightInd/>
              <w:snapToGrid/>
              <w:spacing w:before="0" w:after="0"/>
            </w:pPr>
            <w:r>
              <w:t>非财政    拨款结    转结余</w:t>
            </w:r>
          </w:p>
        </w:tc>
        <w:tc>
          <w:tcPr>
            <w:tcW w:w="924"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9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  计</w:t>
            </w:r>
          </w:p>
        </w:tc>
        <w:tc>
          <w:tcPr>
            <w:tcW w:w="78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55"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810"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78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p>
        </w:tc>
        <w:tc>
          <w:tcPr>
            <w:tcW w:w="829"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9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秦皇岛市海港区北港镇人民政府本级小计</w:t>
            </w:r>
          </w:p>
        </w:tc>
        <w:tc>
          <w:tcPr>
            <w:tcW w:w="78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55"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810"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78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p>
        </w:tc>
        <w:tc>
          <w:tcPr>
            <w:tcW w:w="829"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9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2023年日常公用经费预算（三保）</w:t>
            </w:r>
          </w:p>
        </w:tc>
        <w:tc>
          <w:tcPr>
            <w:tcW w:w="780"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r>
              <w:rPr>
                <w:sz w:val="16"/>
                <w:szCs w:val="20"/>
              </w:rPr>
              <w:t>271.82</w:t>
            </w:r>
          </w:p>
        </w:tc>
        <w:tc>
          <w:tcPr>
            <w:tcW w:w="855"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其他办公用品</w:t>
            </w:r>
          </w:p>
        </w:tc>
        <w:tc>
          <w:tcPr>
            <w:tcW w:w="810" w:type="dxa"/>
            <w:vAlign w:val="center"/>
          </w:tcPr>
          <w:p>
            <w:pPr>
              <w:pStyle w:val="8"/>
              <w:keepNext w:val="0"/>
              <w:keepLines w:val="0"/>
              <w:pageBreakBefore w:val="0"/>
              <w:widowControl/>
              <w:kinsoku/>
              <w:wordWrap/>
              <w:overflowPunct/>
              <w:topLinePunct w:val="0"/>
              <w:autoSpaceDE/>
              <w:autoSpaceDN/>
              <w:bidi w:val="0"/>
              <w:adjustRightInd/>
              <w:snapToGrid/>
              <w:spacing w:before="0" w:after="0"/>
            </w:pPr>
            <w:r>
              <w:t>A05049900</w:t>
            </w:r>
          </w:p>
        </w:tc>
        <w:tc>
          <w:tcPr>
            <w:tcW w:w="780" w:type="dxa"/>
            <w:vAlign w:val="center"/>
          </w:tcPr>
          <w:p>
            <w:pPr>
              <w:pStyle w:val="9"/>
              <w:keepNext w:val="0"/>
              <w:keepLines w:val="0"/>
              <w:pageBreakBefore w:val="0"/>
              <w:widowControl/>
              <w:kinsoku/>
              <w:wordWrap/>
              <w:overflowPunct/>
              <w:topLinePunct w:val="0"/>
              <w:autoSpaceDE/>
              <w:autoSpaceDN/>
              <w:bidi w:val="0"/>
              <w:adjustRightInd/>
              <w:snapToGrid/>
              <w:spacing w:before="0" w:after="0"/>
            </w:pPr>
            <w:r>
              <w:t>万元</w:t>
            </w:r>
          </w:p>
        </w:tc>
        <w:tc>
          <w:tcPr>
            <w:tcW w:w="829"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r>
              <w:t>1</w:t>
            </w: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9"/>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pacing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秦皇岛市海港区北港镇人民政府本级上年末固定资产金额为</w:t>
      </w:r>
      <w:r>
        <w:rPr>
          <w:rFonts w:hint="eastAsia" w:eastAsia="方正仿宋_GBK" w:cs="Times New Roman"/>
          <w:b w:val="0"/>
          <w:color w:val="000000"/>
          <w:sz w:val="28"/>
          <w:lang w:val="en-US" w:eastAsia="zh-CN"/>
        </w:rPr>
        <w:t>2095.07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503001秦皇岛市海港区北港镇人民政府本级</w:t>
      </w:r>
      <w:r>
        <w:rPr>
          <w:rFonts w:hint="eastAsia" w:ascii="Times New Roman" w:hAnsi="Times New Roman" w:eastAsia="方正仿宋_GBK" w:cs="Times New Roman"/>
          <w:b w:val="0"/>
          <w:color w:val="000000"/>
          <w:sz w:val="28"/>
          <w:lang w:eastAsia="zh-CN"/>
        </w:rPr>
        <w:t xml:space="preserve">                                                                                </w:t>
      </w:r>
      <w:r>
        <w:rPr>
          <w:rFonts w:ascii="Times New Roman" w:hAnsi="Times New Roman" w:eastAsia="方正仿宋_GBK" w:cs="Times New Roman"/>
          <w:b w:val="0"/>
          <w:color w:val="000000"/>
          <w:sz w:val="28"/>
        </w:rPr>
        <w:t>截止时间：202</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-12-31</w:t>
      </w:r>
    </w:p>
    <w:tbl>
      <w:tblPr>
        <w:tblStyle w:val="20"/>
        <w:tblW w:w="10816" w:type="dxa"/>
        <w:jc w:val="center"/>
        <w:tblLayout w:type="autofit"/>
        <w:tblCellMar>
          <w:top w:w="0" w:type="dxa"/>
          <w:left w:w="108" w:type="dxa"/>
          <w:bottom w:w="0" w:type="dxa"/>
          <w:right w:w="115" w:type="dxa"/>
        </w:tblCellMar>
      </w:tblPr>
      <w:tblGrid>
        <w:gridCol w:w="5084"/>
        <w:gridCol w:w="2517"/>
        <w:gridCol w:w="3215"/>
      </w:tblGrid>
      <w:tr>
        <w:tblPrEx>
          <w:tblCellMar>
            <w:top w:w="0" w:type="dxa"/>
            <w:left w:w="108" w:type="dxa"/>
            <w:bottom w:w="0" w:type="dxa"/>
            <w:right w:w="115" w:type="dxa"/>
          </w:tblCellMar>
        </w:tblPrEx>
        <w:trPr>
          <w:trHeight w:val="99"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项目</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数量</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价值（金额单位：万元）</w:t>
            </w:r>
          </w:p>
        </w:tc>
      </w:tr>
      <w:tr>
        <w:tblPrEx>
          <w:tblCellMar>
            <w:top w:w="0" w:type="dxa"/>
            <w:left w:w="108" w:type="dxa"/>
            <w:bottom w:w="0" w:type="dxa"/>
            <w:right w:w="115" w:type="dxa"/>
          </w:tblCellMar>
        </w:tblPrEx>
        <w:trPr>
          <w:trHeight w:val="331"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资产总额</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eastAsia="方正仿宋_GBK" w:cs="Times New Roman"/>
                <w:b w:val="0"/>
                <w:color w:val="000000"/>
                <w:sz w:val="24"/>
                <w:szCs w:val="22"/>
                <w:lang w:val="en-US" w:eastAsia="zh-CN"/>
              </w:rPr>
              <w:t>14052</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lang w:eastAsia="zh-CN"/>
              </w:rPr>
            </w:pPr>
            <w:r>
              <w:rPr>
                <w:rFonts w:hint="eastAsia" w:eastAsia="方正仿宋_GBK" w:cs="Times New Roman"/>
                <w:b w:val="0"/>
                <w:color w:val="000000"/>
                <w:sz w:val="24"/>
                <w:szCs w:val="22"/>
                <w:lang w:val="en-US" w:eastAsia="zh-CN"/>
              </w:rPr>
              <w:t>2095.07</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1、房屋（平方米）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6000</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1546.4</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1036" w:firstLineChars="432"/>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其中：办公用房（平方米）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eastAsia="方正仿宋_GBK" w:cs="Times New Roman"/>
                <w:b w:val="0"/>
                <w:color w:val="000000"/>
                <w:sz w:val="24"/>
                <w:szCs w:val="22"/>
                <w:lang w:val="en-US" w:eastAsia="zh-CN"/>
              </w:rPr>
              <w:t>5500</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1546.4</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2、车辆（台、辆）</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lang w:eastAsia="zh-CN"/>
              </w:rPr>
            </w:pPr>
            <w:r>
              <w:rPr>
                <w:rFonts w:hint="eastAsia" w:ascii="Times New Roman" w:hAnsi="Times New Roman" w:eastAsia="方正仿宋_GBK" w:cs="Times New Roman"/>
                <w:b w:val="0"/>
                <w:color w:val="000000"/>
                <w:sz w:val="24"/>
                <w:szCs w:val="22"/>
                <w:lang w:eastAsia="zh-CN"/>
              </w:rPr>
              <w:t>1</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eastAsia="方正仿宋_GBK" w:cs="Times New Roman"/>
                <w:b w:val="0"/>
                <w:color w:val="000000"/>
                <w:sz w:val="24"/>
                <w:szCs w:val="22"/>
                <w:lang w:val="en-US" w:eastAsia="zh-CN"/>
              </w:rPr>
              <w:t>24.98</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3、单价在50万元以上的设备</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0</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0</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4、其他固定资产</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lang w:eastAsia="zh-CN"/>
              </w:rPr>
            </w:pPr>
            <w:r>
              <w:rPr>
                <w:rFonts w:hint="eastAsia" w:eastAsia="方正仿宋_GBK" w:cs="Times New Roman"/>
                <w:b w:val="0"/>
                <w:color w:val="000000"/>
                <w:sz w:val="24"/>
                <w:szCs w:val="22"/>
                <w:lang w:val="en-US" w:eastAsia="zh-CN"/>
              </w:rPr>
              <w:t>8051</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lang w:eastAsia="zh-CN"/>
              </w:rPr>
            </w:pPr>
            <w:r>
              <w:rPr>
                <w:rFonts w:hint="eastAsia" w:ascii="Times New Roman" w:hAnsi="Times New Roman" w:eastAsia="方正仿宋_GBK" w:cs="Times New Roman"/>
                <w:b w:val="0"/>
                <w:color w:val="000000"/>
                <w:sz w:val="24"/>
                <w:szCs w:val="22"/>
                <w:lang w:eastAsia="zh-CN"/>
              </w:rPr>
              <w:t>518.</w:t>
            </w:r>
            <w:r>
              <w:rPr>
                <w:rFonts w:hint="eastAsia" w:eastAsia="方正仿宋_GBK" w:cs="Times New Roman"/>
                <w:b w:val="0"/>
                <w:color w:val="000000"/>
                <w:sz w:val="24"/>
                <w:szCs w:val="22"/>
                <w:lang w:val="en-US" w:eastAsia="zh-CN"/>
              </w:rPr>
              <w:t>93</w:t>
            </w:r>
          </w:p>
        </w:tc>
      </w:tr>
    </w:tbl>
    <w:p>
      <w:pPr>
        <w:keepNext w:val="0"/>
        <w:keepLines w:val="0"/>
        <w:pageBreakBefore w:val="0"/>
        <w:widowControl/>
        <w:kinsoku/>
        <w:wordWrap/>
        <w:overflowPunct/>
        <w:topLinePunct w:val="0"/>
        <w:autoSpaceDE/>
        <w:autoSpaceDN/>
        <w:bidi w:val="0"/>
        <w:adjustRightInd/>
        <w:snapToGrid/>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3C4D83"/>
    <w:rsid w:val="B73C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table" w:customStyle="1" w:styleId="20">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2024-08-15T13:30:00Z</dcterms:created>
  <dc:creator>追逐太阳前行</dc:creator>
  <cp:lastModifiedBy>追逐太阳前行</cp:lastModifiedBy>
  <dcterms:modified xsi:type="dcterms:W3CDTF">2024-08-15T13:33:27Z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126EEFB2C706A1837392BD667875FBBB_41</vt:lpwstr>
  </property>
</Properties>
</file>