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Hei" w:hAnsi="SimHei" w:eastAsia="SimHei" w:cs="SimHei"/>
          <w:b/>
          <w:color w:val="000000"/>
          <w:sz w:val="40"/>
          <w:szCs w:val="36"/>
        </w:rPr>
      </w:pPr>
      <w:r>
        <w:rPr>
          <w:rFonts w:ascii="SimHei" w:hAnsi="SimHei" w:eastAsia="SimHei" w:cs="SimHei"/>
          <w:b/>
          <w:color w:val="000000"/>
          <w:sz w:val="40"/>
          <w:szCs w:val="36"/>
        </w:rPr>
        <w:t>第二部分  部门所属单位预算</w:t>
      </w:r>
    </w:p>
    <w:p>
      <w:pPr>
        <w:jc w:val="center"/>
        <w:rPr>
          <w:rFonts w:ascii="SimHei" w:hAnsi="SimHei" w:eastAsia="SimHei" w:cs="SimHei"/>
          <w:b/>
          <w:color w:val="000000"/>
          <w:sz w:val="40"/>
          <w:szCs w:val="36"/>
        </w:rPr>
      </w:pP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一、秦皇岛市海港区圆明山文化旅游产业聚集区管理委员会本级收支预算</w:t>
      </w:r>
      <w:r>
        <w:tab/>
      </w:r>
      <w:r>
        <w:rPr>
          <w:rFonts w:hint="eastAsia"/>
          <w:lang w:val="en-US" w:eastAsia="zh-CN"/>
        </w:rPr>
        <w:t>1</w:t>
      </w:r>
      <w:r>
        <w:fldChar w:fldCharType="end"/>
      </w:r>
    </w:p>
    <w:p>
      <w:pPr>
        <w:jc w:val="center"/>
      </w:pPr>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一、秦皇岛市海港区圆明山文化旅游产业聚集区管理委员会本级收支预算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143.34</w:t>
            </w:r>
          </w:p>
        </w:tc>
        <w:tc>
          <w:tcPr>
            <w:tcW w:w="4535" w:type="dxa"/>
            <w:vAlign w:val="center"/>
          </w:tcPr>
          <w:p>
            <w:pPr>
              <w:pStyle w:val="9"/>
            </w:pPr>
            <w:r>
              <w:t>一、一般公共服务支出</w:t>
            </w:r>
          </w:p>
        </w:tc>
        <w:tc>
          <w:tcPr>
            <w:tcW w:w="2126" w:type="dxa"/>
            <w:vAlign w:val="center"/>
          </w:tcPr>
          <w:p>
            <w:pPr>
              <w:pStyle w:val="10"/>
            </w:pPr>
            <w:r>
              <w:t>90.21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143.34</w:t>
            </w:r>
          </w:p>
        </w:tc>
        <w:tc>
          <w:tcPr>
            <w:tcW w:w="4535" w:type="dxa"/>
            <w:vAlign w:val="center"/>
          </w:tcPr>
          <w:p>
            <w:pPr>
              <w:pStyle w:val="11"/>
            </w:pPr>
            <w:r>
              <w:t>本年支出合计</w:t>
            </w:r>
          </w:p>
        </w:tc>
        <w:tc>
          <w:tcPr>
            <w:tcW w:w="2126" w:type="dxa"/>
            <w:vAlign w:val="center"/>
          </w:tcPr>
          <w:p>
            <w:pPr>
              <w:pStyle w:val="12"/>
            </w:pPr>
            <w:r>
              <w:t>5143.34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5000.00</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5143.34</w:t>
            </w:r>
          </w:p>
        </w:tc>
        <w:tc>
          <w:tcPr>
            <w:tcW w:w="4535" w:type="dxa"/>
            <w:vAlign w:val="center"/>
          </w:tcPr>
          <w:p>
            <w:pPr>
              <w:pStyle w:val="11"/>
            </w:pPr>
            <w:r>
              <w:t>支出总计</w:t>
            </w:r>
          </w:p>
        </w:tc>
        <w:tc>
          <w:tcPr>
            <w:tcW w:w="2126" w:type="dxa"/>
            <w:vAlign w:val="center"/>
          </w:tcPr>
          <w:p>
            <w:pPr>
              <w:pStyle w:val="12"/>
            </w:pPr>
            <w:r>
              <w:t>5143.34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86"/>
        <w:gridCol w:w="841"/>
        <w:gridCol w:w="150"/>
        <w:gridCol w:w="991"/>
        <w:gridCol w:w="991"/>
        <w:gridCol w:w="991"/>
        <w:gridCol w:w="279"/>
        <w:gridCol w:w="712"/>
        <w:gridCol w:w="991"/>
        <w:gridCol w:w="991"/>
        <w:gridCol w:w="991"/>
        <w:gridCol w:w="991"/>
        <w:gridCol w:w="2"/>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3402" w:type="dxa"/>
            <w:gridSpan w:val="5"/>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7"/>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3978" w:type="dxa"/>
            <w:gridSpan w:val="2"/>
            <w:vAlign w:val="center"/>
          </w:tcPr>
          <w:p>
            <w:pPr>
              <w:pStyle w:val="7"/>
            </w:pPr>
            <w:r>
              <w:t>功能分类科目</w:t>
            </w:r>
          </w:p>
        </w:tc>
        <w:tc>
          <w:tcPr>
            <w:tcW w:w="991" w:type="dxa"/>
            <w:gridSpan w:val="2"/>
            <w:vMerge w:val="restart"/>
            <w:vAlign w:val="center"/>
          </w:tcPr>
          <w:p>
            <w:pPr>
              <w:pStyle w:val="7"/>
            </w:pPr>
            <w:r>
              <w:t>合计</w:t>
            </w:r>
          </w:p>
        </w:tc>
        <w:tc>
          <w:tcPr>
            <w:tcW w:w="7930" w:type="dxa"/>
            <w:gridSpan w:val="10"/>
            <w:vAlign w:val="center"/>
          </w:tcPr>
          <w:p>
            <w:pPr>
              <w:pStyle w:val="7"/>
            </w:pPr>
            <w:r>
              <w:t>本年收入</w:t>
            </w:r>
          </w:p>
        </w:tc>
        <w:tc>
          <w:tcPr>
            <w:tcW w:w="992" w:type="dxa"/>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2986" w:type="dxa"/>
            <w:vAlign w:val="center"/>
          </w:tcPr>
          <w:p>
            <w:pPr>
              <w:pStyle w:val="7"/>
            </w:pPr>
            <w:r>
              <w:t>科目名称</w:t>
            </w:r>
          </w:p>
        </w:tc>
        <w:tc>
          <w:tcPr>
            <w:tcW w:w="991" w:type="dxa"/>
            <w:gridSpan w:val="2"/>
            <w:vMerge w:val="continue"/>
          </w:tcPr>
          <w:p/>
        </w:tc>
        <w:tc>
          <w:tcPr>
            <w:tcW w:w="991" w:type="dxa"/>
            <w:vAlign w:val="center"/>
          </w:tcPr>
          <w:p>
            <w:pPr>
              <w:pStyle w:val="7"/>
            </w:pPr>
            <w:r>
              <w:t>小计</w:t>
            </w:r>
          </w:p>
        </w:tc>
        <w:tc>
          <w:tcPr>
            <w:tcW w:w="991" w:type="dxa"/>
            <w:vAlign w:val="center"/>
          </w:tcPr>
          <w:p>
            <w:pPr>
              <w:pStyle w:val="7"/>
            </w:pPr>
            <w:r>
              <w:t>财政拨款 收入</w:t>
            </w:r>
          </w:p>
        </w:tc>
        <w:tc>
          <w:tcPr>
            <w:tcW w:w="991" w:type="dxa"/>
            <w:vAlign w:val="center"/>
          </w:tcPr>
          <w:p>
            <w:pPr>
              <w:pStyle w:val="7"/>
            </w:pPr>
            <w:r>
              <w:t>财政专户 收入</w:t>
            </w:r>
          </w:p>
        </w:tc>
        <w:tc>
          <w:tcPr>
            <w:tcW w:w="991" w:type="dxa"/>
            <w:gridSpan w:val="2"/>
            <w:vAlign w:val="center"/>
          </w:tcPr>
          <w:p>
            <w:pPr>
              <w:pStyle w:val="7"/>
            </w:pPr>
            <w:r>
              <w:t>事业收入</w:t>
            </w:r>
          </w:p>
        </w:tc>
        <w:tc>
          <w:tcPr>
            <w:tcW w:w="991" w:type="dxa"/>
            <w:vAlign w:val="center"/>
          </w:tcPr>
          <w:p>
            <w:pPr>
              <w:pStyle w:val="7"/>
            </w:pPr>
            <w:r>
              <w:t>经营收入</w:t>
            </w:r>
          </w:p>
        </w:tc>
        <w:tc>
          <w:tcPr>
            <w:tcW w:w="991" w:type="dxa"/>
            <w:vAlign w:val="center"/>
          </w:tcPr>
          <w:p>
            <w:pPr>
              <w:pStyle w:val="7"/>
            </w:pPr>
            <w:r>
              <w:t>上级补助收入</w:t>
            </w:r>
          </w:p>
        </w:tc>
        <w:tc>
          <w:tcPr>
            <w:tcW w:w="991" w:type="dxa"/>
            <w:vAlign w:val="center"/>
          </w:tcPr>
          <w:p>
            <w:pPr>
              <w:pStyle w:val="7"/>
            </w:pPr>
            <w:r>
              <w:t>附属单位上缴收入</w:t>
            </w:r>
          </w:p>
        </w:tc>
        <w:tc>
          <w:tcPr>
            <w:tcW w:w="991" w:type="dxa"/>
            <w:vAlign w:val="center"/>
          </w:tcPr>
          <w:p>
            <w:pPr>
              <w:pStyle w:val="7"/>
            </w:pPr>
            <w:r>
              <w:t>其他收入</w:t>
            </w:r>
          </w:p>
        </w:tc>
        <w:tc>
          <w:tcPr>
            <w:tcW w:w="994"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2986" w:type="dxa"/>
            <w:vAlign w:val="center"/>
          </w:tcPr>
          <w:p>
            <w:pPr>
              <w:pStyle w:val="7"/>
            </w:pPr>
            <w:r>
              <w:t>2</w:t>
            </w:r>
          </w:p>
        </w:tc>
        <w:tc>
          <w:tcPr>
            <w:tcW w:w="991" w:type="dxa"/>
            <w:gridSpan w:val="2"/>
            <w:vAlign w:val="center"/>
          </w:tcPr>
          <w:p>
            <w:pPr>
              <w:pStyle w:val="7"/>
            </w:pPr>
            <w:r>
              <w:t>3</w:t>
            </w:r>
          </w:p>
        </w:tc>
        <w:tc>
          <w:tcPr>
            <w:tcW w:w="991" w:type="dxa"/>
            <w:vAlign w:val="center"/>
          </w:tcPr>
          <w:p>
            <w:pPr>
              <w:pStyle w:val="7"/>
            </w:pPr>
            <w:r>
              <w:t>4</w:t>
            </w:r>
          </w:p>
        </w:tc>
        <w:tc>
          <w:tcPr>
            <w:tcW w:w="991" w:type="dxa"/>
            <w:vAlign w:val="center"/>
          </w:tcPr>
          <w:p>
            <w:pPr>
              <w:pStyle w:val="7"/>
            </w:pPr>
            <w:r>
              <w:t>5</w:t>
            </w:r>
          </w:p>
        </w:tc>
        <w:tc>
          <w:tcPr>
            <w:tcW w:w="991" w:type="dxa"/>
            <w:vAlign w:val="center"/>
          </w:tcPr>
          <w:p>
            <w:pPr>
              <w:pStyle w:val="7"/>
            </w:pPr>
            <w:r>
              <w:t>6</w:t>
            </w:r>
          </w:p>
        </w:tc>
        <w:tc>
          <w:tcPr>
            <w:tcW w:w="991" w:type="dxa"/>
            <w:gridSpan w:val="2"/>
            <w:vAlign w:val="center"/>
          </w:tcPr>
          <w:p>
            <w:pPr>
              <w:pStyle w:val="7"/>
            </w:pPr>
            <w:r>
              <w:t>7</w:t>
            </w:r>
          </w:p>
        </w:tc>
        <w:tc>
          <w:tcPr>
            <w:tcW w:w="991" w:type="dxa"/>
            <w:vAlign w:val="center"/>
          </w:tcPr>
          <w:p>
            <w:pPr>
              <w:pStyle w:val="7"/>
            </w:pPr>
            <w:r>
              <w:t>8</w:t>
            </w:r>
          </w:p>
        </w:tc>
        <w:tc>
          <w:tcPr>
            <w:tcW w:w="991" w:type="dxa"/>
            <w:vAlign w:val="center"/>
          </w:tcPr>
          <w:p>
            <w:pPr>
              <w:pStyle w:val="7"/>
            </w:pPr>
            <w:r>
              <w:t>9</w:t>
            </w:r>
          </w:p>
        </w:tc>
        <w:tc>
          <w:tcPr>
            <w:tcW w:w="991" w:type="dxa"/>
            <w:vAlign w:val="center"/>
          </w:tcPr>
          <w:p>
            <w:pPr>
              <w:pStyle w:val="7"/>
            </w:pPr>
            <w:r>
              <w:t>10</w:t>
            </w:r>
          </w:p>
        </w:tc>
        <w:tc>
          <w:tcPr>
            <w:tcW w:w="991" w:type="dxa"/>
            <w:vAlign w:val="center"/>
          </w:tcPr>
          <w:p>
            <w:pPr>
              <w:pStyle w:val="7"/>
            </w:pPr>
            <w:r>
              <w:t>11</w:t>
            </w:r>
          </w:p>
        </w:tc>
        <w:tc>
          <w:tcPr>
            <w:tcW w:w="994" w:type="dxa"/>
            <w:gridSpan w:val="2"/>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2986" w:type="dxa"/>
            <w:vAlign w:val="center"/>
          </w:tcPr>
          <w:p>
            <w:pPr>
              <w:pStyle w:val="11"/>
            </w:pPr>
            <w:r>
              <w:t>合计</w:t>
            </w:r>
          </w:p>
        </w:tc>
        <w:tc>
          <w:tcPr>
            <w:tcW w:w="991" w:type="dxa"/>
            <w:gridSpan w:val="2"/>
            <w:vAlign w:val="center"/>
          </w:tcPr>
          <w:p>
            <w:pPr>
              <w:pStyle w:val="12"/>
            </w:pPr>
            <w:r>
              <w:t>5143.34</w:t>
            </w:r>
          </w:p>
        </w:tc>
        <w:tc>
          <w:tcPr>
            <w:tcW w:w="991" w:type="dxa"/>
            <w:vAlign w:val="center"/>
          </w:tcPr>
          <w:p>
            <w:pPr>
              <w:pStyle w:val="12"/>
            </w:pPr>
            <w:r>
              <w:t>143.34</w:t>
            </w:r>
          </w:p>
        </w:tc>
        <w:tc>
          <w:tcPr>
            <w:tcW w:w="991" w:type="dxa"/>
            <w:vAlign w:val="center"/>
          </w:tcPr>
          <w:p>
            <w:pPr>
              <w:pStyle w:val="12"/>
            </w:pPr>
            <w:r>
              <w:t>143.34</w:t>
            </w:r>
          </w:p>
        </w:tc>
        <w:tc>
          <w:tcPr>
            <w:tcW w:w="991" w:type="dxa"/>
            <w:vAlign w:val="center"/>
          </w:tcPr>
          <w:p>
            <w:pPr>
              <w:pStyle w:val="12"/>
            </w:pPr>
          </w:p>
        </w:tc>
        <w:tc>
          <w:tcPr>
            <w:tcW w:w="991" w:type="dxa"/>
            <w:gridSpan w:val="2"/>
            <w:vAlign w:val="center"/>
          </w:tcPr>
          <w:p>
            <w:pPr>
              <w:pStyle w:val="12"/>
            </w:pPr>
          </w:p>
        </w:tc>
        <w:tc>
          <w:tcPr>
            <w:tcW w:w="991" w:type="dxa"/>
            <w:vAlign w:val="center"/>
          </w:tcPr>
          <w:p>
            <w:pPr>
              <w:pStyle w:val="12"/>
            </w:pPr>
          </w:p>
        </w:tc>
        <w:tc>
          <w:tcPr>
            <w:tcW w:w="991" w:type="dxa"/>
            <w:vAlign w:val="center"/>
          </w:tcPr>
          <w:p>
            <w:pPr>
              <w:pStyle w:val="12"/>
            </w:pPr>
          </w:p>
        </w:tc>
        <w:tc>
          <w:tcPr>
            <w:tcW w:w="991" w:type="dxa"/>
            <w:vAlign w:val="center"/>
          </w:tcPr>
          <w:p>
            <w:pPr>
              <w:pStyle w:val="12"/>
            </w:pPr>
          </w:p>
        </w:tc>
        <w:tc>
          <w:tcPr>
            <w:tcW w:w="991" w:type="dxa"/>
            <w:vAlign w:val="center"/>
          </w:tcPr>
          <w:p>
            <w:pPr>
              <w:pStyle w:val="12"/>
            </w:pPr>
          </w:p>
        </w:tc>
        <w:tc>
          <w:tcPr>
            <w:tcW w:w="994" w:type="dxa"/>
            <w:gridSpan w:val="2"/>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2986" w:type="dxa"/>
            <w:vAlign w:val="center"/>
          </w:tcPr>
          <w:p>
            <w:pPr>
              <w:pStyle w:val="9"/>
            </w:pPr>
            <w:r>
              <w:t>一般公共服务支出</w:t>
            </w:r>
          </w:p>
        </w:tc>
        <w:tc>
          <w:tcPr>
            <w:tcW w:w="991" w:type="dxa"/>
            <w:gridSpan w:val="2"/>
            <w:vAlign w:val="center"/>
          </w:tcPr>
          <w:p>
            <w:pPr>
              <w:pStyle w:val="10"/>
            </w:pPr>
            <w:r>
              <w:t>90.21</w:t>
            </w:r>
          </w:p>
        </w:tc>
        <w:tc>
          <w:tcPr>
            <w:tcW w:w="991" w:type="dxa"/>
            <w:vAlign w:val="center"/>
          </w:tcPr>
          <w:p>
            <w:pPr>
              <w:pStyle w:val="10"/>
            </w:pPr>
            <w:r>
              <w:t>90.21</w:t>
            </w:r>
          </w:p>
        </w:tc>
        <w:tc>
          <w:tcPr>
            <w:tcW w:w="991" w:type="dxa"/>
            <w:vAlign w:val="center"/>
          </w:tcPr>
          <w:p>
            <w:pPr>
              <w:pStyle w:val="10"/>
            </w:pPr>
            <w:r>
              <w:t>90.21</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20103</w:t>
            </w:r>
          </w:p>
        </w:tc>
        <w:tc>
          <w:tcPr>
            <w:tcW w:w="2986" w:type="dxa"/>
            <w:vAlign w:val="center"/>
          </w:tcPr>
          <w:p>
            <w:pPr>
              <w:pStyle w:val="9"/>
            </w:pPr>
            <w:r>
              <w:t>政府办公厅（室）及相关机构事务</w:t>
            </w:r>
          </w:p>
        </w:tc>
        <w:tc>
          <w:tcPr>
            <w:tcW w:w="991" w:type="dxa"/>
            <w:gridSpan w:val="2"/>
            <w:vAlign w:val="center"/>
          </w:tcPr>
          <w:p>
            <w:pPr>
              <w:pStyle w:val="10"/>
            </w:pPr>
            <w:r>
              <w:t>90.21</w:t>
            </w:r>
          </w:p>
        </w:tc>
        <w:tc>
          <w:tcPr>
            <w:tcW w:w="991" w:type="dxa"/>
            <w:vAlign w:val="center"/>
          </w:tcPr>
          <w:p>
            <w:pPr>
              <w:pStyle w:val="10"/>
            </w:pPr>
            <w:r>
              <w:t>90.21</w:t>
            </w:r>
          </w:p>
        </w:tc>
        <w:tc>
          <w:tcPr>
            <w:tcW w:w="991" w:type="dxa"/>
            <w:vAlign w:val="center"/>
          </w:tcPr>
          <w:p>
            <w:pPr>
              <w:pStyle w:val="10"/>
            </w:pPr>
            <w:r>
              <w:t>90.21</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2010301</w:t>
            </w:r>
          </w:p>
        </w:tc>
        <w:tc>
          <w:tcPr>
            <w:tcW w:w="2986" w:type="dxa"/>
            <w:vAlign w:val="center"/>
          </w:tcPr>
          <w:p>
            <w:pPr>
              <w:pStyle w:val="9"/>
            </w:pPr>
            <w:r>
              <w:t>行政运行</w:t>
            </w:r>
          </w:p>
        </w:tc>
        <w:tc>
          <w:tcPr>
            <w:tcW w:w="991" w:type="dxa"/>
            <w:gridSpan w:val="2"/>
            <w:vAlign w:val="center"/>
          </w:tcPr>
          <w:p>
            <w:pPr>
              <w:pStyle w:val="10"/>
            </w:pPr>
            <w:r>
              <w:t>90.21</w:t>
            </w:r>
          </w:p>
        </w:tc>
        <w:tc>
          <w:tcPr>
            <w:tcW w:w="991" w:type="dxa"/>
            <w:vAlign w:val="center"/>
          </w:tcPr>
          <w:p>
            <w:pPr>
              <w:pStyle w:val="10"/>
            </w:pPr>
            <w:r>
              <w:t>90.21</w:t>
            </w:r>
          </w:p>
        </w:tc>
        <w:tc>
          <w:tcPr>
            <w:tcW w:w="991" w:type="dxa"/>
            <w:vAlign w:val="center"/>
          </w:tcPr>
          <w:p>
            <w:pPr>
              <w:pStyle w:val="10"/>
            </w:pPr>
            <w:r>
              <w:t>90.21</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w:t>
            </w:r>
          </w:p>
        </w:tc>
        <w:tc>
          <w:tcPr>
            <w:tcW w:w="2986" w:type="dxa"/>
            <w:vAlign w:val="center"/>
          </w:tcPr>
          <w:p>
            <w:pPr>
              <w:pStyle w:val="9"/>
            </w:pPr>
            <w:r>
              <w:t>社会保障和就业支出</w:t>
            </w:r>
          </w:p>
        </w:tc>
        <w:tc>
          <w:tcPr>
            <w:tcW w:w="991" w:type="dxa"/>
            <w:gridSpan w:val="2"/>
            <w:vAlign w:val="center"/>
          </w:tcPr>
          <w:p>
            <w:pPr>
              <w:pStyle w:val="10"/>
            </w:pPr>
            <w:r>
              <w:t>13.54</w:t>
            </w:r>
          </w:p>
        </w:tc>
        <w:tc>
          <w:tcPr>
            <w:tcW w:w="991" w:type="dxa"/>
            <w:vAlign w:val="center"/>
          </w:tcPr>
          <w:p>
            <w:pPr>
              <w:pStyle w:val="10"/>
            </w:pPr>
            <w:r>
              <w:t>13.54</w:t>
            </w:r>
          </w:p>
        </w:tc>
        <w:tc>
          <w:tcPr>
            <w:tcW w:w="991" w:type="dxa"/>
            <w:vAlign w:val="center"/>
          </w:tcPr>
          <w:p>
            <w:pPr>
              <w:pStyle w:val="10"/>
            </w:pPr>
            <w:r>
              <w:t>13.54</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20805</w:t>
            </w:r>
          </w:p>
        </w:tc>
        <w:tc>
          <w:tcPr>
            <w:tcW w:w="2986" w:type="dxa"/>
            <w:vAlign w:val="center"/>
          </w:tcPr>
          <w:p>
            <w:pPr>
              <w:pStyle w:val="9"/>
            </w:pPr>
            <w:r>
              <w:t>行政事业单位养老支出</w:t>
            </w:r>
          </w:p>
        </w:tc>
        <w:tc>
          <w:tcPr>
            <w:tcW w:w="991" w:type="dxa"/>
            <w:gridSpan w:val="2"/>
            <w:vAlign w:val="center"/>
          </w:tcPr>
          <w:p>
            <w:pPr>
              <w:pStyle w:val="10"/>
            </w:pPr>
            <w:r>
              <w:t>13.54</w:t>
            </w:r>
          </w:p>
        </w:tc>
        <w:tc>
          <w:tcPr>
            <w:tcW w:w="991" w:type="dxa"/>
            <w:vAlign w:val="center"/>
          </w:tcPr>
          <w:p>
            <w:pPr>
              <w:pStyle w:val="10"/>
            </w:pPr>
            <w:r>
              <w:t>13.54</w:t>
            </w:r>
          </w:p>
        </w:tc>
        <w:tc>
          <w:tcPr>
            <w:tcW w:w="991" w:type="dxa"/>
            <w:vAlign w:val="center"/>
          </w:tcPr>
          <w:p>
            <w:pPr>
              <w:pStyle w:val="10"/>
            </w:pPr>
            <w:r>
              <w:t>13.54</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2080505</w:t>
            </w:r>
          </w:p>
        </w:tc>
        <w:tc>
          <w:tcPr>
            <w:tcW w:w="2986" w:type="dxa"/>
            <w:vAlign w:val="center"/>
          </w:tcPr>
          <w:p>
            <w:pPr>
              <w:pStyle w:val="9"/>
            </w:pPr>
            <w:r>
              <w:t>机关事业单位基本养老保险缴费支出</w:t>
            </w:r>
          </w:p>
        </w:tc>
        <w:tc>
          <w:tcPr>
            <w:tcW w:w="991" w:type="dxa"/>
            <w:gridSpan w:val="2"/>
            <w:vAlign w:val="center"/>
          </w:tcPr>
          <w:p>
            <w:pPr>
              <w:pStyle w:val="10"/>
            </w:pPr>
            <w:r>
              <w:t>13.54</w:t>
            </w:r>
          </w:p>
        </w:tc>
        <w:tc>
          <w:tcPr>
            <w:tcW w:w="991" w:type="dxa"/>
            <w:vAlign w:val="center"/>
          </w:tcPr>
          <w:p>
            <w:pPr>
              <w:pStyle w:val="10"/>
            </w:pPr>
            <w:r>
              <w:t>13.54</w:t>
            </w:r>
          </w:p>
        </w:tc>
        <w:tc>
          <w:tcPr>
            <w:tcW w:w="991" w:type="dxa"/>
            <w:vAlign w:val="center"/>
          </w:tcPr>
          <w:p>
            <w:pPr>
              <w:pStyle w:val="10"/>
            </w:pPr>
            <w:r>
              <w:t>13.54</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w:t>
            </w:r>
          </w:p>
        </w:tc>
        <w:tc>
          <w:tcPr>
            <w:tcW w:w="2986" w:type="dxa"/>
            <w:vAlign w:val="center"/>
          </w:tcPr>
          <w:p>
            <w:pPr>
              <w:pStyle w:val="9"/>
            </w:pPr>
            <w:r>
              <w:t>卫生健康支出</w:t>
            </w:r>
          </w:p>
        </w:tc>
        <w:tc>
          <w:tcPr>
            <w:tcW w:w="991" w:type="dxa"/>
            <w:gridSpan w:val="2"/>
            <w:vAlign w:val="center"/>
          </w:tcPr>
          <w:p>
            <w:pPr>
              <w:pStyle w:val="10"/>
            </w:pPr>
            <w:r>
              <w:t>10.14</w:t>
            </w:r>
          </w:p>
        </w:tc>
        <w:tc>
          <w:tcPr>
            <w:tcW w:w="991" w:type="dxa"/>
            <w:vAlign w:val="center"/>
          </w:tcPr>
          <w:p>
            <w:pPr>
              <w:pStyle w:val="10"/>
            </w:pPr>
            <w:r>
              <w:t>10.14</w:t>
            </w:r>
          </w:p>
        </w:tc>
        <w:tc>
          <w:tcPr>
            <w:tcW w:w="991" w:type="dxa"/>
            <w:vAlign w:val="center"/>
          </w:tcPr>
          <w:p>
            <w:pPr>
              <w:pStyle w:val="10"/>
            </w:pPr>
            <w:r>
              <w:t>10.14</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21011</w:t>
            </w:r>
          </w:p>
        </w:tc>
        <w:tc>
          <w:tcPr>
            <w:tcW w:w="2986" w:type="dxa"/>
            <w:vAlign w:val="center"/>
          </w:tcPr>
          <w:p>
            <w:pPr>
              <w:pStyle w:val="9"/>
            </w:pPr>
            <w:r>
              <w:t>行政事业单位医疗</w:t>
            </w:r>
          </w:p>
        </w:tc>
        <w:tc>
          <w:tcPr>
            <w:tcW w:w="991" w:type="dxa"/>
            <w:gridSpan w:val="2"/>
            <w:vAlign w:val="center"/>
          </w:tcPr>
          <w:p>
            <w:pPr>
              <w:pStyle w:val="10"/>
            </w:pPr>
            <w:r>
              <w:t>10.14</w:t>
            </w:r>
          </w:p>
        </w:tc>
        <w:tc>
          <w:tcPr>
            <w:tcW w:w="991" w:type="dxa"/>
            <w:vAlign w:val="center"/>
          </w:tcPr>
          <w:p>
            <w:pPr>
              <w:pStyle w:val="10"/>
            </w:pPr>
            <w:r>
              <w:t>10.14</w:t>
            </w:r>
          </w:p>
        </w:tc>
        <w:tc>
          <w:tcPr>
            <w:tcW w:w="991" w:type="dxa"/>
            <w:vAlign w:val="center"/>
          </w:tcPr>
          <w:p>
            <w:pPr>
              <w:pStyle w:val="10"/>
            </w:pPr>
            <w:r>
              <w:t>10.14</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2101101</w:t>
            </w:r>
          </w:p>
        </w:tc>
        <w:tc>
          <w:tcPr>
            <w:tcW w:w="2986" w:type="dxa"/>
            <w:vAlign w:val="center"/>
          </w:tcPr>
          <w:p>
            <w:pPr>
              <w:pStyle w:val="9"/>
            </w:pPr>
            <w:r>
              <w:t>行政单位医疗</w:t>
            </w:r>
          </w:p>
        </w:tc>
        <w:tc>
          <w:tcPr>
            <w:tcW w:w="991" w:type="dxa"/>
            <w:gridSpan w:val="2"/>
            <w:vAlign w:val="center"/>
          </w:tcPr>
          <w:p>
            <w:pPr>
              <w:pStyle w:val="10"/>
            </w:pPr>
            <w:r>
              <w:t>4.89</w:t>
            </w:r>
          </w:p>
        </w:tc>
        <w:tc>
          <w:tcPr>
            <w:tcW w:w="991" w:type="dxa"/>
            <w:vAlign w:val="center"/>
          </w:tcPr>
          <w:p>
            <w:pPr>
              <w:pStyle w:val="10"/>
            </w:pPr>
            <w:r>
              <w:t>4.89</w:t>
            </w:r>
          </w:p>
        </w:tc>
        <w:tc>
          <w:tcPr>
            <w:tcW w:w="991" w:type="dxa"/>
            <w:vAlign w:val="center"/>
          </w:tcPr>
          <w:p>
            <w:pPr>
              <w:pStyle w:val="10"/>
            </w:pPr>
            <w:r>
              <w:t>4.89</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2101103</w:t>
            </w:r>
          </w:p>
        </w:tc>
        <w:tc>
          <w:tcPr>
            <w:tcW w:w="2986" w:type="dxa"/>
            <w:vAlign w:val="center"/>
          </w:tcPr>
          <w:p>
            <w:pPr>
              <w:pStyle w:val="9"/>
            </w:pPr>
            <w:r>
              <w:t>公务员医疗补助</w:t>
            </w:r>
          </w:p>
        </w:tc>
        <w:tc>
          <w:tcPr>
            <w:tcW w:w="991" w:type="dxa"/>
            <w:gridSpan w:val="2"/>
            <w:vAlign w:val="center"/>
          </w:tcPr>
          <w:p>
            <w:pPr>
              <w:pStyle w:val="10"/>
            </w:pPr>
            <w:r>
              <w:t>5.25</w:t>
            </w:r>
          </w:p>
        </w:tc>
        <w:tc>
          <w:tcPr>
            <w:tcW w:w="991" w:type="dxa"/>
            <w:vAlign w:val="center"/>
          </w:tcPr>
          <w:p>
            <w:pPr>
              <w:pStyle w:val="10"/>
            </w:pPr>
            <w:r>
              <w:t>5.25</w:t>
            </w:r>
          </w:p>
        </w:tc>
        <w:tc>
          <w:tcPr>
            <w:tcW w:w="991" w:type="dxa"/>
            <w:vAlign w:val="center"/>
          </w:tcPr>
          <w:p>
            <w:pPr>
              <w:pStyle w:val="10"/>
            </w:pPr>
            <w:r>
              <w:t>5.25</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212</w:t>
            </w:r>
          </w:p>
        </w:tc>
        <w:tc>
          <w:tcPr>
            <w:tcW w:w="2986" w:type="dxa"/>
            <w:vAlign w:val="center"/>
          </w:tcPr>
          <w:p>
            <w:pPr>
              <w:pStyle w:val="9"/>
            </w:pPr>
            <w:r>
              <w:t>城乡社区支出</w:t>
            </w:r>
          </w:p>
        </w:tc>
        <w:tc>
          <w:tcPr>
            <w:tcW w:w="991" w:type="dxa"/>
            <w:gridSpan w:val="2"/>
            <w:vAlign w:val="center"/>
          </w:tcPr>
          <w:p>
            <w:pPr>
              <w:pStyle w:val="10"/>
            </w:pPr>
            <w:r>
              <w:t>23.32</w:t>
            </w:r>
          </w:p>
        </w:tc>
        <w:tc>
          <w:tcPr>
            <w:tcW w:w="991" w:type="dxa"/>
            <w:vAlign w:val="center"/>
          </w:tcPr>
          <w:p>
            <w:pPr>
              <w:pStyle w:val="10"/>
            </w:pPr>
            <w:r>
              <w:t>23.32</w:t>
            </w:r>
          </w:p>
        </w:tc>
        <w:tc>
          <w:tcPr>
            <w:tcW w:w="991" w:type="dxa"/>
            <w:vAlign w:val="center"/>
          </w:tcPr>
          <w:p>
            <w:pPr>
              <w:pStyle w:val="10"/>
            </w:pPr>
            <w:r>
              <w:t>23.32</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21205</w:t>
            </w:r>
          </w:p>
        </w:tc>
        <w:tc>
          <w:tcPr>
            <w:tcW w:w="2986" w:type="dxa"/>
            <w:vAlign w:val="center"/>
          </w:tcPr>
          <w:p>
            <w:pPr>
              <w:pStyle w:val="9"/>
            </w:pPr>
            <w:r>
              <w:t>城乡社区环境卫生</w:t>
            </w:r>
          </w:p>
        </w:tc>
        <w:tc>
          <w:tcPr>
            <w:tcW w:w="991" w:type="dxa"/>
            <w:gridSpan w:val="2"/>
            <w:vAlign w:val="center"/>
          </w:tcPr>
          <w:p>
            <w:pPr>
              <w:pStyle w:val="10"/>
            </w:pPr>
            <w:r>
              <w:t>23.32</w:t>
            </w:r>
          </w:p>
        </w:tc>
        <w:tc>
          <w:tcPr>
            <w:tcW w:w="991" w:type="dxa"/>
            <w:vAlign w:val="center"/>
          </w:tcPr>
          <w:p>
            <w:pPr>
              <w:pStyle w:val="10"/>
            </w:pPr>
            <w:r>
              <w:t>23.32</w:t>
            </w:r>
          </w:p>
        </w:tc>
        <w:tc>
          <w:tcPr>
            <w:tcW w:w="991" w:type="dxa"/>
            <w:vAlign w:val="center"/>
          </w:tcPr>
          <w:p>
            <w:pPr>
              <w:pStyle w:val="10"/>
            </w:pPr>
            <w:r>
              <w:t>23.32</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2120501</w:t>
            </w:r>
          </w:p>
        </w:tc>
        <w:tc>
          <w:tcPr>
            <w:tcW w:w="2986" w:type="dxa"/>
            <w:vAlign w:val="center"/>
          </w:tcPr>
          <w:p>
            <w:pPr>
              <w:pStyle w:val="9"/>
            </w:pPr>
            <w:r>
              <w:t>城乡社区环境卫生</w:t>
            </w:r>
          </w:p>
        </w:tc>
        <w:tc>
          <w:tcPr>
            <w:tcW w:w="991" w:type="dxa"/>
            <w:gridSpan w:val="2"/>
            <w:vAlign w:val="center"/>
          </w:tcPr>
          <w:p>
            <w:pPr>
              <w:pStyle w:val="10"/>
            </w:pPr>
            <w:r>
              <w:t>23.32</w:t>
            </w:r>
          </w:p>
        </w:tc>
        <w:tc>
          <w:tcPr>
            <w:tcW w:w="991" w:type="dxa"/>
            <w:vAlign w:val="center"/>
          </w:tcPr>
          <w:p>
            <w:pPr>
              <w:pStyle w:val="10"/>
            </w:pPr>
            <w:r>
              <w:t>23.32</w:t>
            </w:r>
          </w:p>
        </w:tc>
        <w:tc>
          <w:tcPr>
            <w:tcW w:w="991" w:type="dxa"/>
            <w:vAlign w:val="center"/>
          </w:tcPr>
          <w:p>
            <w:pPr>
              <w:pStyle w:val="10"/>
            </w:pPr>
            <w:r>
              <w:t>23.32</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221</w:t>
            </w:r>
          </w:p>
        </w:tc>
        <w:tc>
          <w:tcPr>
            <w:tcW w:w="2986" w:type="dxa"/>
            <w:vAlign w:val="center"/>
          </w:tcPr>
          <w:p>
            <w:pPr>
              <w:pStyle w:val="9"/>
            </w:pPr>
            <w:r>
              <w:t>住房保障支出</w:t>
            </w:r>
          </w:p>
        </w:tc>
        <w:tc>
          <w:tcPr>
            <w:tcW w:w="991" w:type="dxa"/>
            <w:gridSpan w:val="2"/>
            <w:vAlign w:val="center"/>
          </w:tcPr>
          <w:p>
            <w:pPr>
              <w:pStyle w:val="10"/>
            </w:pPr>
            <w:r>
              <w:t>6.13</w:t>
            </w:r>
          </w:p>
        </w:tc>
        <w:tc>
          <w:tcPr>
            <w:tcW w:w="991" w:type="dxa"/>
            <w:vAlign w:val="center"/>
          </w:tcPr>
          <w:p>
            <w:pPr>
              <w:pStyle w:val="10"/>
            </w:pPr>
            <w:r>
              <w:t>6.13</w:t>
            </w:r>
          </w:p>
        </w:tc>
        <w:tc>
          <w:tcPr>
            <w:tcW w:w="991" w:type="dxa"/>
            <w:vAlign w:val="center"/>
          </w:tcPr>
          <w:p>
            <w:pPr>
              <w:pStyle w:val="10"/>
            </w:pPr>
            <w:r>
              <w:t>6.13</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22102</w:t>
            </w:r>
          </w:p>
        </w:tc>
        <w:tc>
          <w:tcPr>
            <w:tcW w:w="2986" w:type="dxa"/>
            <w:vAlign w:val="center"/>
          </w:tcPr>
          <w:p>
            <w:pPr>
              <w:pStyle w:val="9"/>
            </w:pPr>
            <w:r>
              <w:t>住房改革支出</w:t>
            </w:r>
          </w:p>
        </w:tc>
        <w:tc>
          <w:tcPr>
            <w:tcW w:w="991" w:type="dxa"/>
            <w:gridSpan w:val="2"/>
            <w:vAlign w:val="center"/>
          </w:tcPr>
          <w:p>
            <w:pPr>
              <w:pStyle w:val="10"/>
            </w:pPr>
            <w:r>
              <w:t>6.13</w:t>
            </w:r>
          </w:p>
        </w:tc>
        <w:tc>
          <w:tcPr>
            <w:tcW w:w="991" w:type="dxa"/>
            <w:vAlign w:val="center"/>
          </w:tcPr>
          <w:p>
            <w:pPr>
              <w:pStyle w:val="10"/>
            </w:pPr>
            <w:r>
              <w:t>6.13</w:t>
            </w:r>
          </w:p>
        </w:tc>
        <w:tc>
          <w:tcPr>
            <w:tcW w:w="991" w:type="dxa"/>
            <w:vAlign w:val="center"/>
          </w:tcPr>
          <w:p>
            <w:pPr>
              <w:pStyle w:val="10"/>
            </w:pPr>
            <w:r>
              <w:t>6.13</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2210201</w:t>
            </w:r>
          </w:p>
        </w:tc>
        <w:tc>
          <w:tcPr>
            <w:tcW w:w="2986" w:type="dxa"/>
            <w:vAlign w:val="center"/>
          </w:tcPr>
          <w:p>
            <w:pPr>
              <w:pStyle w:val="9"/>
            </w:pPr>
            <w:r>
              <w:t>住房公积金</w:t>
            </w:r>
          </w:p>
        </w:tc>
        <w:tc>
          <w:tcPr>
            <w:tcW w:w="991" w:type="dxa"/>
            <w:gridSpan w:val="2"/>
            <w:vAlign w:val="center"/>
          </w:tcPr>
          <w:p>
            <w:pPr>
              <w:pStyle w:val="10"/>
            </w:pPr>
            <w:r>
              <w:t>6.13</w:t>
            </w:r>
          </w:p>
        </w:tc>
        <w:tc>
          <w:tcPr>
            <w:tcW w:w="991" w:type="dxa"/>
            <w:vAlign w:val="center"/>
          </w:tcPr>
          <w:p>
            <w:pPr>
              <w:pStyle w:val="10"/>
            </w:pPr>
            <w:r>
              <w:t>6.13</w:t>
            </w:r>
          </w:p>
        </w:tc>
        <w:tc>
          <w:tcPr>
            <w:tcW w:w="991" w:type="dxa"/>
            <w:vAlign w:val="center"/>
          </w:tcPr>
          <w:p>
            <w:pPr>
              <w:pStyle w:val="10"/>
            </w:pPr>
            <w:r>
              <w:t>6.13</w:t>
            </w: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229</w:t>
            </w:r>
          </w:p>
        </w:tc>
        <w:tc>
          <w:tcPr>
            <w:tcW w:w="2986" w:type="dxa"/>
            <w:vAlign w:val="center"/>
          </w:tcPr>
          <w:p>
            <w:pPr>
              <w:pStyle w:val="9"/>
            </w:pPr>
            <w:r>
              <w:t>其他支出</w:t>
            </w:r>
          </w:p>
        </w:tc>
        <w:tc>
          <w:tcPr>
            <w:tcW w:w="991" w:type="dxa"/>
            <w:gridSpan w:val="2"/>
            <w:vAlign w:val="center"/>
          </w:tcPr>
          <w:p>
            <w:pPr>
              <w:pStyle w:val="10"/>
            </w:pPr>
            <w:r>
              <w:t>5000.00</w:t>
            </w: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22904</w:t>
            </w:r>
          </w:p>
        </w:tc>
        <w:tc>
          <w:tcPr>
            <w:tcW w:w="2986" w:type="dxa"/>
            <w:vAlign w:val="center"/>
          </w:tcPr>
          <w:p>
            <w:pPr>
              <w:pStyle w:val="9"/>
            </w:pPr>
            <w:r>
              <w:t>其他政府性基金及对应专项债务收入安排的支出</w:t>
            </w:r>
          </w:p>
        </w:tc>
        <w:tc>
          <w:tcPr>
            <w:tcW w:w="991" w:type="dxa"/>
            <w:gridSpan w:val="2"/>
            <w:vAlign w:val="center"/>
          </w:tcPr>
          <w:p>
            <w:pPr>
              <w:pStyle w:val="10"/>
            </w:pPr>
            <w:r>
              <w:t>5000.00</w:t>
            </w: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2290402</w:t>
            </w:r>
          </w:p>
        </w:tc>
        <w:tc>
          <w:tcPr>
            <w:tcW w:w="2986" w:type="dxa"/>
            <w:vAlign w:val="center"/>
          </w:tcPr>
          <w:p>
            <w:pPr>
              <w:pStyle w:val="9"/>
            </w:pPr>
            <w:r>
              <w:t>其他地方自行试点项目收益专项债券收入安排的支出</w:t>
            </w:r>
          </w:p>
        </w:tc>
        <w:tc>
          <w:tcPr>
            <w:tcW w:w="991" w:type="dxa"/>
            <w:gridSpan w:val="2"/>
            <w:vAlign w:val="center"/>
          </w:tcPr>
          <w:p>
            <w:pPr>
              <w:pStyle w:val="10"/>
            </w:pPr>
            <w:r>
              <w:t>5000.00</w:t>
            </w: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gridSpan w:val="2"/>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1" w:type="dxa"/>
            <w:vAlign w:val="center"/>
          </w:tcPr>
          <w:p>
            <w:pPr>
              <w:pStyle w:val="10"/>
            </w:pPr>
          </w:p>
        </w:tc>
        <w:tc>
          <w:tcPr>
            <w:tcW w:w="994" w:type="dxa"/>
            <w:gridSpan w:val="2"/>
            <w:vAlign w:val="center"/>
          </w:tcPr>
          <w:p>
            <w:pPr>
              <w:pStyle w:val="10"/>
            </w:pPr>
            <w:r>
              <w:t>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5143.34</w:t>
            </w:r>
          </w:p>
        </w:tc>
        <w:tc>
          <w:tcPr>
            <w:tcW w:w="1361" w:type="dxa"/>
            <w:vAlign w:val="center"/>
          </w:tcPr>
          <w:p>
            <w:pPr>
              <w:pStyle w:val="12"/>
            </w:pPr>
            <w:r>
              <w:t>120.02</w:t>
            </w:r>
          </w:p>
        </w:tc>
        <w:tc>
          <w:tcPr>
            <w:tcW w:w="1361" w:type="dxa"/>
            <w:vAlign w:val="center"/>
          </w:tcPr>
          <w:p>
            <w:pPr>
              <w:pStyle w:val="12"/>
            </w:pPr>
            <w:r>
              <w:t>5023.32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90.21</w:t>
            </w:r>
          </w:p>
        </w:tc>
        <w:tc>
          <w:tcPr>
            <w:tcW w:w="1361" w:type="dxa"/>
            <w:vAlign w:val="center"/>
          </w:tcPr>
          <w:p>
            <w:pPr>
              <w:pStyle w:val="10"/>
            </w:pPr>
            <w:r>
              <w:t>90.21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90.21</w:t>
            </w:r>
          </w:p>
        </w:tc>
        <w:tc>
          <w:tcPr>
            <w:tcW w:w="1361" w:type="dxa"/>
            <w:vAlign w:val="center"/>
          </w:tcPr>
          <w:p>
            <w:pPr>
              <w:pStyle w:val="10"/>
            </w:pPr>
            <w:r>
              <w:t>90.21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90.21</w:t>
            </w:r>
          </w:p>
        </w:tc>
        <w:tc>
          <w:tcPr>
            <w:tcW w:w="1361" w:type="dxa"/>
            <w:vAlign w:val="center"/>
          </w:tcPr>
          <w:p>
            <w:pPr>
              <w:pStyle w:val="10"/>
            </w:pPr>
            <w:r>
              <w:t>90.21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13.54</w:t>
            </w:r>
          </w:p>
        </w:tc>
        <w:tc>
          <w:tcPr>
            <w:tcW w:w="1361" w:type="dxa"/>
            <w:vAlign w:val="center"/>
          </w:tcPr>
          <w:p>
            <w:pPr>
              <w:pStyle w:val="10"/>
            </w:pPr>
            <w:r>
              <w:t>13.54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13.54</w:t>
            </w:r>
          </w:p>
        </w:tc>
        <w:tc>
          <w:tcPr>
            <w:tcW w:w="1361" w:type="dxa"/>
            <w:vAlign w:val="center"/>
          </w:tcPr>
          <w:p>
            <w:pPr>
              <w:pStyle w:val="10"/>
            </w:pPr>
            <w:r>
              <w:t>13.54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13.54</w:t>
            </w:r>
          </w:p>
        </w:tc>
        <w:tc>
          <w:tcPr>
            <w:tcW w:w="1361" w:type="dxa"/>
            <w:vAlign w:val="center"/>
          </w:tcPr>
          <w:p>
            <w:pPr>
              <w:pStyle w:val="10"/>
            </w:pPr>
            <w:r>
              <w:t>13.54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10.14</w:t>
            </w:r>
          </w:p>
        </w:tc>
        <w:tc>
          <w:tcPr>
            <w:tcW w:w="1361" w:type="dxa"/>
            <w:vAlign w:val="center"/>
          </w:tcPr>
          <w:p>
            <w:pPr>
              <w:pStyle w:val="10"/>
            </w:pPr>
            <w:r>
              <w:t>10.14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10.14</w:t>
            </w:r>
          </w:p>
        </w:tc>
        <w:tc>
          <w:tcPr>
            <w:tcW w:w="1361" w:type="dxa"/>
            <w:vAlign w:val="center"/>
          </w:tcPr>
          <w:p>
            <w:pPr>
              <w:pStyle w:val="10"/>
            </w:pPr>
            <w:r>
              <w:t>10.14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4.89</w:t>
            </w:r>
          </w:p>
        </w:tc>
        <w:tc>
          <w:tcPr>
            <w:tcW w:w="1361" w:type="dxa"/>
            <w:vAlign w:val="center"/>
          </w:tcPr>
          <w:p>
            <w:pPr>
              <w:pStyle w:val="10"/>
            </w:pPr>
            <w:r>
              <w:t>4.89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5.25</w:t>
            </w:r>
          </w:p>
        </w:tc>
        <w:tc>
          <w:tcPr>
            <w:tcW w:w="1361" w:type="dxa"/>
            <w:vAlign w:val="center"/>
          </w:tcPr>
          <w:p>
            <w:pPr>
              <w:pStyle w:val="10"/>
            </w:pPr>
            <w:r>
              <w:t>5.25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23.32</w:t>
            </w:r>
          </w:p>
        </w:tc>
        <w:tc>
          <w:tcPr>
            <w:tcW w:w="1361" w:type="dxa"/>
            <w:vAlign w:val="center"/>
          </w:tcPr>
          <w:p>
            <w:pPr>
              <w:pStyle w:val="10"/>
            </w:pPr>
          </w:p>
        </w:tc>
        <w:tc>
          <w:tcPr>
            <w:tcW w:w="1361" w:type="dxa"/>
            <w:vAlign w:val="center"/>
          </w:tcPr>
          <w:p>
            <w:pPr>
              <w:pStyle w:val="10"/>
            </w:pPr>
            <w:r>
              <w:t>23.32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21205</w:t>
            </w:r>
          </w:p>
        </w:tc>
        <w:tc>
          <w:tcPr>
            <w:tcW w:w="4535" w:type="dxa"/>
            <w:vAlign w:val="center"/>
          </w:tcPr>
          <w:p>
            <w:pPr>
              <w:pStyle w:val="9"/>
            </w:pPr>
            <w:r>
              <w:t>城乡社区环境卫生</w:t>
            </w:r>
          </w:p>
        </w:tc>
        <w:tc>
          <w:tcPr>
            <w:tcW w:w="1361" w:type="dxa"/>
            <w:vAlign w:val="center"/>
          </w:tcPr>
          <w:p>
            <w:pPr>
              <w:pStyle w:val="10"/>
            </w:pPr>
            <w:r>
              <w:t>23.32</w:t>
            </w:r>
          </w:p>
        </w:tc>
        <w:tc>
          <w:tcPr>
            <w:tcW w:w="1361" w:type="dxa"/>
            <w:vAlign w:val="center"/>
          </w:tcPr>
          <w:p>
            <w:pPr>
              <w:pStyle w:val="10"/>
            </w:pPr>
          </w:p>
        </w:tc>
        <w:tc>
          <w:tcPr>
            <w:tcW w:w="1361" w:type="dxa"/>
            <w:vAlign w:val="center"/>
          </w:tcPr>
          <w:p>
            <w:pPr>
              <w:pStyle w:val="10"/>
            </w:pPr>
            <w:r>
              <w:t>23.32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2120501</w:t>
            </w:r>
          </w:p>
        </w:tc>
        <w:tc>
          <w:tcPr>
            <w:tcW w:w="4535" w:type="dxa"/>
            <w:vAlign w:val="center"/>
          </w:tcPr>
          <w:p>
            <w:pPr>
              <w:pStyle w:val="9"/>
            </w:pPr>
            <w:r>
              <w:t>城乡社区环境卫生</w:t>
            </w:r>
          </w:p>
        </w:tc>
        <w:tc>
          <w:tcPr>
            <w:tcW w:w="1361" w:type="dxa"/>
            <w:vAlign w:val="center"/>
          </w:tcPr>
          <w:p>
            <w:pPr>
              <w:pStyle w:val="10"/>
            </w:pPr>
            <w:r>
              <w:t>23.32</w:t>
            </w:r>
          </w:p>
        </w:tc>
        <w:tc>
          <w:tcPr>
            <w:tcW w:w="1361" w:type="dxa"/>
            <w:vAlign w:val="center"/>
          </w:tcPr>
          <w:p>
            <w:pPr>
              <w:pStyle w:val="10"/>
            </w:pPr>
          </w:p>
        </w:tc>
        <w:tc>
          <w:tcPr>
            <w:tcW w:w="1361" w:type="dxa"/>
            <w:vAlign w:val="center"/>
          </w:tcPr>
          <w:p>
            <w:pPr>
              <w:pStyle w:val="10"/>
            </w:pPr>
            <w:r>
              <w:t>23.32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6.13</w:t>
            </w:r>
          </w:p>
        </w:tc>
        <w:tc>
          <w:tcPr>
            <w:tcW w:w="1361" w:type="dxa"/>
            <w:vAlign w:val="center"/>
          </w:tcPr>
          <w:p>
            <w:pPr>
              <w:pStyle w:val="10"/>
            </w:pPr>
            <w:r>
              <w:t>6.13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6.13</w:t>
            </w:r>
          </w:p>
        </w:tc>
        <w:tc>
          <w:tcPr>
            <w:tcW w:w="1361" w:type="dxa"/>
            <w:vAlign w:val="center"/>
          </w:tcPr>
          <w:p>
            <w:pPr>
              <w:pStyle w:val="10"/>
            </w:pPr>
            <w:r>
              <w:t>6.13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6.13</w:t>
            </w:r>
          </w:p>
        </w:tc>
        <w:tc>
          <w:tcPr>
            <w:tcW w:w="1361" w:type="dxa"/>
            <w:vAlign w:val="center"/>
          </w:tcPr>
          <w:p>
            <w:pPr>
              <w:pStyle w:val="10"/>
            </w:pPr>
            <w:r>
              <w:t>6.13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229</w:t>
            </w:r>
          </w:p>
        </w:tc>
        <w:tc>
          <w:tcPr>
            <w:tcW w:w="4535" w:type="dxa"/>
            <w:vAlign w:val="center"/>
          </w:tcPr>
          <w:p>
            <w:pPr>
              <w:pStyle w:val="9"/>
            </w:pPr>
            <w:r>
              <w:t>其他支出</w:t>
            </w:r>
          </w:p>
        </w:tc>
        <w:tc>
          <w:tcPr>
            <w:tcW w:w="1361" w:type="dxa"/>
            <w:vAlign w:val="center"/>
          </w:tcPr>
          <w:p>
            <w:pPr>
              <w:pStyle w:val="10"/>
            </w:pPr>
            <w:r>
              <w:t>5000.00</w:t>
            </w:r>
          </w:p>
        </w:tc>
        <w:tc>
          <w:tcPr>
            <w:tcW w:w="1361" w:type="dxa"/>
            <w:vAlign w:val="center"/>
          </w:tcPr>
          <w:p>
            <w:pPr>
              <w:pStyle w:val="10"/>
            </w:pPr>
          </w:p>
        </w:tc>
        <w:tc>
          <w:tcPr>
            <w:tcW w:w="1361" w:type="dxa"/>
            <w:vAlign w:val="center"/>
          </w:tcPr>
          <w:p>
            <w:pPr>
              <w:pStyle w:val="10"/>
            </w:pPr>
            <w:r>
              <w:t>5000.00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22904</w:t>
            </w:r>
          </w:p>
        </w:tc>
        <w:tc>
          <w:tcPr>
            <w:tcW w:w="4535" w:type="dxa"/>
            <w:vAlign w:val="center"/>
          </w:tcPr>
          <w:p>
            <w:pPr>
              <w:pStyle w:val="9"/>
            </w:pPr>
            <w:r>
              <w:t>其他政府性基金及对应专项债务收入安排的支出</w:t>
            </w:r>
          </w:p>
        </w:tc>
        <w:tc>
          <w:tcPr>
            <w:tcW w:w="1361" w:type="dxa"/>
            <w:vAlign w:val="center"/>
          </w:tcPr>
          <w:p>
            <w:pPr>
              <w:pStyle w:val="10"/>
            </w:pPr>
            <w:r>
              <w:t>5000.00</w:t>
            </w:r>
          </w:p>
        </w:tc>
        <w:tc>
          <w:tcPr>
            <w:tcW w:w="1361" w:type="dxa"/>
            <w:vAlign w:val="center"/>
          </w:tcPr>
          <w:p>
            <w:pPr>
              <w:pStyle w:val="10"/>
            </w:pPr>
          </w:p>
        </w:tc>
        <w:tc>
          <w:tcPr>
            <w:tcW w:w="1361" w:type="dxa"/>
            <w:vAlign w:val="center"/>
          </w:tcPr>
          <w:p>
            <w:pPr>
              <w:pStyle w:val="10"/>
            </w:pPr>
            <w:r>
              <w:t>5000.00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2290402</w:t>
            </w:r>
          </w:p>
        </w:tc>
        <w:tc>
          <w:tcPr>
            <w:tcW w:w="4535" w:type="dxa"/>
            <w:vAlign w:val="center"/>
          </w:tcPr>
          <w:p>
            <w:pPr>
              <w:pStyle w:val="9"/>
            </w:pPr>
            <w:r>
              <w:t>其他地方自行试点项目收益专项债券收入安排的支出</w:t>
            </w:r>
          </w:p>
        </w:tc>
        <w:tc>
          <w:tcPr>
            <w:tcW w:w="1361" w:type="dxa"/>
            <w:vAlign w:val="center"/>
          </w:tcPr>
          <w:p>
            <w:pPr>
              <w:pStyle w:val="10"/>
            </w:pPr>
            <w:r>
              <w:t>5000.00</w:t>
            </w:r>
          </w:p>
        </w:tc>
        <w:tc>
          <w:tcPr>
            <w:tcW w:w="1361" w:type="dxa"/>
            <w:vAlign w:val="center"/>
          </w:tcPr>
          <w:p>
            <w:pPr>
              <w:pStyle w:val="10"/>
            </w:pPr>
          </w:p>
        </w:tc>
        <w:tc>
          <w:tcPr>
            <w:tcW w:w="1361" w:type="dxa"/>
            <w:vAlign w:val="center"/>
          </w:tcPr>
          <w:p>
            <w:pPr>
              <w:pStyle w:val="10"/>
            </w:pPr>
            <w:r>
              <w:t>5000.00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143.34</w:t>
            </w:r>
          </w:p>
        </w:tc>
        <w:tc>
          <w:tcPr>
            <w:tcW w:w="3402" w:type="dxa"/>
            <w:vAlign w:val="center"/>
          </w:tcPr>
          <w:p>
            <w:pPr>
              <w:pStyle w:val="9"/>
            </w:pPr>
            <w:r>
              <w:t>一、一般公共服务支出</w:t>
            </w:r>
          </w:p>
        </w:tc>
        <w:tc>
          <w:tcPr>
            <w:tcW w:w="1474" w:type="dxa"/>
            <w:vAlign w:val="center"/>
          </w:tcPr>
          <w:p>
            <w:pPr>
              <w:pStyle w:val="10"/>
            </w:pPr>
            <w:r>
              <w:t>90.21</w:t>
            </w:r>
          </w:p>
        </w:tc>
        <w:tc>
          <w:tcPr>
            <w:tcW w:w="1474" w:type="dxa"/>
            <w:vAlign w:val="center"/>
          </w:tcPr>
          <w:p>
            <w:pPr>
              <w:pStyle w:val="10"/>
            </w:pPr>
            <w:r>
              <w:t>90.21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13.54</w:t>
            </w:r>
          </w:p>
        </w:tc>
        <w:tc>
          <w:tcPr>
            <w:tcW w:w="1474" w:type="dxa"/>
            <w:vAlign w:val="center"/>
          </w:tcPr>
          <w:p>
            <w:pPr>
              <w:pStyle w:val="10"/>
            </w:pPr>
            <w:r>
              <w:t>13.54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10.14</w:t>
            </w:r>
          </w:p>
        </w:tc>
        <w:tc>
          <w:tcPr>
            <w:tcW w:w="1474" w:type="dxa"/>
            <w:vAlign w:val="center"/>
          </w:tcPr>
          <w:p>
            <w:pPr>
              <w:pStyle w:val="10"/>
            </w:pPr>
            <w:r>
              <w:t>10.14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23.32</w:t>
            </w:r>
          </w:p>
        </w:tc>
        <w:tc>
          <w:tcPr>
            <w:tcW w:w="1474" w:type="dxa"/>
            <w:vAlign w:val="center"/>
          </w:tcPr>
          <w:p>
            <w:pPr>
              <w:pStyle w:val="10"/>
            </w:pPr>
            <w:r>
              <w:t>23.32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6.13</w:t>
            </w:r>
          </w:p>
        </w:tc>
        <w:tc>
          <w:tcPr>
            <w:tcW w:w="1474" w:type="dxa"/>
            <w:vAlign w:val="center"/>
          </w:tcPr>
          <w:p>
            <w:pPr>
              <w:pStyle w:val="10"/>
            </w:pPr>
            <w:r>
              <w:t>6.13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r>
              <w:t>5000.00</w:t>
            </w:r>
          </w:p>
        </w:tc>
        <w:tc>
          <w:tcPr>
            <w:tcW w:w="1474" w:type="dxa"/>
            <w:vAlign w:val="center"/>
          </w:tcPr>
          <w:p>
            <w:pPr>
              <w:pStyle w:val="10"/>
            </w:pPr>
          </w:p>
        </w:tc>
        <w:tc>
          <w:tcPr>
            <w:tcW w:w="1474" w:type="dxa"/>
            <w:vAlign w:val="center"/>
          </w:tcPr>
          <w:p>
            <w:pPr>
              <w:pStyle w:val="10"/>
            </w:pPr>
            <w:r>
              <w:t>5000.00</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143.34</w:t>
            </w:r>
          </w:p>
        </w:tc>
        <w:tc>
          <w:tcPr>
            <w:tcW w:w="3402" w:type="dxa"/>
            <w:vAlign w:val="center"/>
          </w:tcPr>
          <w:p>
            <w:pPr>
              <w:pStyle w:val="11"/>
            </w:pPr>
            <w:r>
              <w:t>本年支出合计</w:t>
            </w:r>
          </w:p>
        </w:tc>
        <w:tc>
          <w:tcPr>
            <w:tcW w:w="1474" w:type="dxa"/>
            <w:vAlign w:val="center"/>
          </w:tcPr>
          <w:p>
            <w:pPr>
              <w:pStyle w:val="12"/>
            </w:pPr>
            <w:r>
              <w:t>5143.34</w:t>
            </w:r>
          </w:p>
        </w:tc>
        <w:tc>
          <w:tcPr>
            <w:tcW w:w="1474" w:type="dxa"/>
            <w:vAlign w:val="center"/>
          </w:tcPr>
          <w:p>
            <w:pPr>
              <w:pStyle w:val="12"/>
            </w:pPr>
            <w:r>
              <w:t>143.34</w:t>
            </w:r>
          </w:p>
        </w:tc>
        <w:tc>
          <w:tcPr>
            <w:tcW w:w="1474" w:type="dxa"/>
            <w:vAlign w:val="center"/>
          </w:tcPr>
          <w:p>
            <w:pPr>
              <w:pStyle w:val="12"/>
            </w:pPr>
            <w:r>
              <w:t>5000.00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5000.00</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r>
              <w:t>5000.00</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5143.34</w:t>
            </w:r>
          </w:p>
        </w:tc>
        <w:tc>
          <w:tcPr>
            <w:tcW w:w="3402" w:type="dxa"/>
            <w:vAlign w:val="center"/>
          </w:tcPr>
          <w:p>
            <w:pPr>
              <w:pStyle w:val="11"/>
            </w:pPr>
            <w:r>
              <w:t>支出总计</w:t>
            </w:r>
          </w:p>
        </w:tc>
        <w:tc>
          <w:tcPr>
            <w:tcW w:w="1474" w:type="dxa"/>
            <w:vAlign w:val="center"/>
          </w:tcPr>
          <w:p>
            <w:pPr>
              <w:pStyle w:val="12"/>
            </w:pPr>
            <w:r>
              <w:t>5143.34</w:t>
            </w:r>
          </w:p>
        </w:tc>
        <w:tc>
          <w:tcPr>
            <w:tcW w:w="1474" w:type="dxa"/>
            <w:vAlign w:val="center"/>
          </w:tcPr>
          <w:p>
            <w:pPr>
              <w:pStyle w:val="12"/>
            </w:pPr>
            <w:r>
              <w:t>143.34</w:t>
            </w:r>
          </w:p>
        </w:tc>
        <w:tc>
          <w:tcPr>
            <w:tcW w:w="1474" w:type="dxa"/>
            <w:vAlign w:val="center"/>
          </w:tcPr>
          <w:p>
            <w:pPr>
              <w:pStyle w:val="12"/>
            </w:pPr>
            <w:r>
              <w:t>5000.00</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143.34</w:t>
            </w:r>
          </w:p>
        </w:tc>
        <w:tc>
          <w:tcPr>
            <w:tcW w:w="2551" w:type="dxa"/>
            <w:vAlign w:val="center"/>
          </w:tcPr>
          <w:p>
            <w:pPr>
              <w:pStyle w:val="12"/>
            </w:pPr>
            <w:r>
              <w:t>120.02</w:t>
            </w:r>
          </w:p>
        </w:tc>
        <w:tc>
          <w:tcPr>
            <w:tcW w:w="2551" w:type="dxa"/>
            <w:vAlign w:val="center"/>
          </w:tcPr>
          <w:p>
            <w:pPr>
              <w:pStyle w:val="12"/>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90.21</w:t>
            </w:r>
          </w:p>
        </w:tc>
        <w:tc>
          <w:tcPr>
            <w:tcW w:w="2551" w:type="dxa"/>
            <w:vAlign w:val="center"/>
          </w:tcPr>
          <w:p>
            <w:pPr>
              <w:pStyle w:val="10"/>
            </w:pPr>
            <w:r>
              <w:t>90.21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90.21</w:t>
            </w:r>
          </w:p>
        </w:tc>
        <w:tc>
          <w:tcPr>
            <w:tcW w:w="2551" w:type="dxa"/>
            <w:vAlign w:val="center"/>
          </w:tcPr>
          <w:p>
            <w:pPr>
              <w:pStyle w:val="10"/>
            </w:pPr>
            <w:r>
              <w:t>90.21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90.21</w:t>
            </w:r>
          </w:p>
        </w:tc>
        <w:tc>
          <w:tcPr>
            <w:tcW w:w="2551" w:type="dxa"/>
            <w:vAlign w:val="center"/>
          </w:tcPr>
          <w:p>
            <w:pPr>
              <w:pStyle w:val="10"/>
            </w:pPr>
            <w:r>
              <w:t>90.21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13.54</w:t>
            </w:r>
          </w:p>
        </w:tc>
        <w:tc>
          <w:tcPr>
            <w:tcW w:w="2551" w:type="dxa"/>
            <w:vAlign w:val="center"/>
          </w:tcPr>
          <w:p>
            <w:pPr>
              <w:pStyle w:val="10"/>
            </w:pPr>
            <w:r>
              <w:t>13.54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13.54</w:t>
            </w:r>
          </w:p>
        </w:tc>
        <w:tc>
          <w:tcPr>
            <w:tcW w:w="2551" w:type="dxa"/>
            <w:vAlign w:val="center"/>
          </w:tcPr>
          <w:p>
            <w:pPr>
              <w:pStyle w:val="10"/>
            </w:pPr>
            <w:r>
              <w:t>13.54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13.54</w:t>
            </w:r>
          </w:p>
        </w:tc>
        <w:tc>
          <w:tcPr>
            <w:tcW w:w="2551" w:type="dxa"/>
            <w:vAlign w:val="center"/>
          </w:tcPr>
          <w:p>
            <w:pPr>
              <w:pStyle w:val="10"/>
            </w:pPr>
            <w:r>
              <w:t>13.54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10.14</w:t>
            </w:r>
          </w:p>
        </w:tc>
        <w:tc>
          <w:tcPr>
            <w:tcW w:w="2551" w:type="dxa"/>
            <w:vAlign w:val="center"/>
          </w:tcPr>
          <w:p>
            <w:pPr>
              <w:pStyle w:val="10"/>
            </w:pPr>
            <w:r>
              <w:t>10.14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10.14</w:t>
            </w:r>
          </w:p>
        </w:tc>
        <w:tc>
          <w:tcPr>
            <w:tcW w:w="2551" w:type="dxa"/>
            <w:vAlign w:val="center"/>
          </w:tcPr>
          <w:p>
            <w:pPr>
              <w:pStyle w:val="10"/>
            </w:pPr>
            <w:r>
              <w:t>10.14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4.89</w:t>
            </w:r>
          </w:p>
        </w:tc>
        <w:tc>
          <w:tcPr>
            <w:tcW w:w="2551" w:type="dxa"/>
            <w:vAlign w:val="center"/>
          </w:tcPr>
          <w:p>
            <w:pPr>
              <w:pStyle w:val="10"/>
            </w:pPr>
            <w:r>
              <w:t>4.89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5.25</w:t>
            </w:r>
          </w:p>
        </w:tc>
        <w:tc>
          <w:tcPr>
            <w:tcW w:w="2551" w:type="dxa"/>
            <w:vAlign w:val="center"/>
          </w:tcPr>
          <w:p>
            <w:pPr>
              <w:pStyle w:val="10"/>
            </w:pPr>
            <w:r>
              <w:t>5.25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23.32</w:t>
            </w:r>
          </w:p>
        </w:tc>
        <w:tc>
          <w:tcPr>
            <w:tcW w:w="2551" w:type="dxa"/>
            <w:vAlign w:val="center"/>
          </w:tcPr>
          <w:p>
            <w:pPr>
              <w:pStyle w:val="10"/>
            </w:pPr>
          </w:p>
        </w:tc>
        <w:tc>
          <w:tcPr>
            <w:tcW w:w="2551" w:type="dxa"/>
            <w:vAlign w:val="center"/>
          </w:tcPr>
          <w:p>
            <w:pPr>
              <w:pStyle w:val="10"/>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21205</w:t>
            </w:r>
          </w:p>
        </w:tc>
        <w:tc>
          <w:tcPr>
            <w:tcW w:w="4535" w:type="dxa"/>
            <w:vAlign w:val="center"/>
          </w:tcPr>
          <w:p>
            <w:pPr>
              <w:pStyle w:val="9"/>
            </w:pPr>
            <w:r>
              <w:t>城乡社区环境卫生</w:t>
            </w:r>
          </w:p>
        </w:tc>
        <w:tc>
          <w:tcPr>
            <w:tcW w:w="2551" w:type="dxa"/>
            <w:vAlign w:val="center"/>
          </w:tcPr>
          <w:p>
            <w:pPr>
              <w:pStyle w:val="10"/>
            </w:pPr>
            <w:r>
              <w:t>23.32</w:t>
            </w:r>
          </w:p>
        </w:tc>
        <w:tc>
          <w:tcPr>
            <w:tcW w:w="2551" w:type="dxa"/>
            <w:vAlign w:val="center"/>
          </w:tcPr>
          <w:p>
            <w:pPr>
              <w:pStyle w:val="10"/>
            </w:pPr>
          </w:p>
        </w:tc>
        <w:tc>
          <w:tcPr>
            <w:tcW w:w="2551" w:type="dxa"/>
            <w:vAlign w:val="center"/>
          </w:tcPr>
          <w:p>
            <w:pPr>
              <w:pStyle w:val="10"/>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2120501</w:t>
            </w:r>
          </w:p>
        </w:tc>
        <w:tc>
          <w:tcPr>
            <w:tcW w:w="4535" w:type="dxa"/>
            <w:vAlign w:val="center"/>
          </w:tcPr>
          <w:p>
            <w:pPr>
              <w:pStyle w:val="9"/>
            </w:pPr>
            <w:r>
              <w:t>城乡社区环境卫生</w:t>
            </w:r>
          </w:p>
        </w:tc>
        <w:tc>
          <w:tcPr>
            <w:tcW w:w="2551" w:type="dxa"/>
            <w:vAlign w:val="center"/>
          </w:tcPr>
          <w:p>
            <w:pPr>
              <w:pStyle w:val="10"/>
            </w:pPr>
            <w:r>
              <w:t>23.32</w:t>
            </w:r>
          </w:p>
        </w:tc>
        <w:tc>
          <w:tcPr>
            <w:tcW w:w="2551" w:type="dxa"/>
            <w:vAlign w:val="center"/>
          </w:tcPr>
          <w:p>
            <w:pPr>
              <w:pStyle w:val="10"/>
            </w:pPr>
          </w:p>
        </w:tc>
        <w:tc>
          <w:tcPr>
            <w:tcW w:w="2551" w:type="dxa"/>
            <w:vAlign w:val="center"/>
          </w:tcPr>
          <w:p>
            <w:pPr>
              <w:pStyle w:val="10"/>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6.13</w:t>
            </w:r>
          </w:p>
        </w:tc>
        <w:tc>
          <w:tcPr>
            <w:tcW w:w="2551" w:type="dxa"/>
            <w:vAlign w:val="center"/>
          </w:tcPr>
          <w:p>
            <w:pPr>
              <w:pStyle w:val="10"/>
            </w:pPr>
            <w:r>
              <w:t>6.13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6.13</w:t>
            </w:r>
          </w:p>
        </w:tc>
        <w:tc>
          <w:tcPr>
            <w:tcW w:w="2551" w:type="dxa"/>
            <w:vAlign w:val="center"/>
          </w:tcPr>
          <w:p>
            <w:pPr>
              <w:pStyle w:val="10"/>
            </w:pPr>
            <w:r>
              <w:t>6.13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6.13</w:t>
            </w:r>
          </w:p>
        </w:tc>
        <w:tc>
          <w:tcPr>
            <w:tcW w:w="2551" w:type="dxa"/>
            <w:vAlign w:val="center"/>
          </w:tcPr>
          <w:p>
            <w:pPr>
              <w:pStyle w:val="10"/>
            </w:pPr>
            <w:r>
              <w:t>6.13</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120.02</w:t>
            </w:r>
          </w:p>
        </w:tc>
        <w:tc>
          <w:tcPr>
            <w:tcW w:w="2551" w:type="dxa"/>
            <w:vAlign w:val="center"/>
          </w:tcPr>
          <w:p>
            <w:pPr>
              <w:pStyle w:val="12"/>
            </w:pPr>
            <w:r>
              <w:t>115.69</w:t>
            </w:r>
          </w:p>
        </w:tc>
        <w:tc>
          <w:tcPr>
            <w:tcW w:w="2551" w:type="dxa"/>
            <w:vAlign w:val="center"/>
          </w:tcPr>
          <w:p>
            <w:pPr>
              <w:pStyle w:val="12"/>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115.60</w:t>
            </w:r>
          </w:p>
        </w:tc>
        <w:tc>
          <w:tcPr>
            <w:tcW w:w="2551" w:type="dxa"/>
            <w:vAlign w:val="center"/>
          </w:tcPr>
          <w:p>
            <w:pPr>
              <w:pStyle w:val="10"/>
            </w:pPr>
            <w:r>
              <w:t>115.60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28.64</w:t>
            </w:r>
          </w:p>
        </w:tc>
        <w:tc>
          <w:tcPr>
            <w:tcW w:w="2551" w:type="dxa"/>
            <w:vAlign w:val="center"/>
          </w:tcPr>
          <w:p>
            <w:pPr>
              <w:pStyle w:val="10"/>
            </w:pPr>
            <w:r>
              <w:t>28.64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7.05</w:t>
            </w:r>
          </w:p>
        </w:tc>
        <w:tc>
          <w:tcPr>
            <w:tcW w:w="2551" w:type="dxa"/>
            <w:vAlign w:val="center"/>
          </w:tcPr>
          <w:p>
            <w:pPr>
              <w:pStyle w:val="10"/>
            </w:pPr>
            <w:r>
              <w:t>7.05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8.00</w:t>
            </w:r>
          </w:p>
        </w:tc>
        <w:tc>
          <w:tcPr>
            <w:tcW w:w="2551" w:type="dxa"/>
            <w:vAlign w:val="center"/>
          </w:tcPr>
          <w:p>
            <w:pPr>
              <w:pStyle w:val="10"/>
            </w:pPr>
            <w:r>
              <w:t>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41.26</w:t>
            </w:r>
          </w:p>
        </w:tc>
        <w:tc>
          <w:tcPr>
            <w:tcW w:w="2551" w:type="dxa"/>
            <w:vAlign w:val="center"/>
          </w:tcPr>
          <w:p>
            <w:pPr>
              <w:pStyle w:val="10"/>
            </w:pPr>
            <w:r>
              <w:t>41.26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13.54</w:t>
            </w:r>
          </w:p>
        </w:tc>
        <w:tc>
          <w:tcPr>
            <w:tcW w:w="2551" w:type="dxa"/>
            <w:vAlign w:val="center"/>
          </w:tcPr>
          <w:p>
            <w:pPr>
              <w:pStyle w:val="10"/>
            </w:pPr>
            <w:r>
              <w:t>13.54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4.89</w:t>
            </w:r>
          </w:p>
        </w:tc>
        <w:tc>
          <w:tcPr>
            <w:tcW w:w="2551" w:type="dxa"/>
            <w:vAlign w:val="center"/>
          </w:tcPr>
          <w:p>
            <w:pPr>
              <w:pStyle w:val="10"/>
            </w:pPr>
            <w:r>
              <w:t>4.89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5.25</w:t>
            </w:r>
          </w:p>
        </w:tc>
        <w:tc>
          <w:tcPr>
            <w:tcW w:w="2551" w:type="dxa"/>
            <w:vAlign w:val="center"/>
          </w:tcPr>
          <w:p>
            <w:pPr>
              <w:pStyle w:val="10"/>
            </w:pPr>
            <w:r>
              <w:t>5.25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0.84</w:t>
            </w:r>
          </w:p>
        </w:tc>
        <w:tc>
          <w:tcPr>
            <w:tcW w:w="2551" w:type="dxa"/>
            <w:vAlign w:val="center"/>
          </w:tcPr>
          <w:p>
            <w:pPr>
              <w:pStyle w:val="10"/>
            </w:pPr>
            <w:r>
              <w:t>0.84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6.13</w:t>
            </w:r>
          </w:p>
        </w:tc>
        <w:tc>
          <w:tcPr>
            <w:tcW w:w="2551" w:type="dxa"/>
            <w:vAlign w:val="center"/>
          </w:tcPr>
          <w:p>
            <w:pPr>
              <w:pStyle w:val="10"/>
            </w:pPr>
            <w:r>
              <w:t>6.13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4.33</w:t>
            </w:r>
          </w:p>
        </w:tc>
        <w:tc>
          <w:tcPr>
            <w:tcW w:w="2551" w:type="dxa"/>
            <w:vAlign w:val="center"/>
          </w:tcPr>
          <w:p>
            <w:pPr>
              <w:pStyle w:val="10"/>
            </w:pPr>
          </w:p>
        </w:tc>
        <w:tc>
          <w:tcPr>
            <w:tcW w:w="2551" w:type="dxa"/>
            <w:vAlign w:val="center"/>
          </w:tcPr>
          <w:p>
            <w:pPr>
              <w:pStyle w:val="10"/>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0.14</w:t>
            </w:r>
          </w:p>
        </w:tc>
        <w:tc>
          <w:tcPr>
            <w:tcW w:w="2551" w:type="dxa"/>
            <w:vAlign w:val="center"/>
          </w:tcPr>
          <w:p>
            <w:pPr>
              <w:pStyle w:val="10"/>
            </w:pPr>
          </w:p>
        </w:tc>
        <w:tc>
          <w:tcPr>
            <w:tcW w:w="2551" w:type="dxa"/>
            <w:vAlign w:val="center"/>
          </w:tcPr>
          <w:p>
            <w:pPr>
              <w:pStyle w:val="10"/>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1.40</w:t>
            </w:r>
          </w:p>
        </w:tc>
        <w:tc>
          <w:tcPr>
            <w:tcW w:w="2551" w:type="dxa"/>
            <w:vAlign w:val="center"/>
          </w:tcPr>
          <w:p>
            <w:pPr>
              <w:pStyle w:val="10"/>
            </w:pPr>
          </w:p>
        </w:tc>
        <w:tc>
          <w:tcPr>
            <w:tcW w:w="2551" w:type="dxa"/>
            <w:vAlign w:val="center"/>
          </w:tcPr>
          <w:p>
            <w:pPr>
              <w:pStyle w:val="10"/>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0.72</w:t>
            </w:r>
          </w:p>
        </w:tc>
        <w:tc>
          <w:tcPr>
            <w:tcW w:w="2551" w:type="dxa"/>
            <w:vAlign w:val="center"/>
          </w:tcPr>
          <w:p>
            <w:pPr>
              <w:pStyle w:val="10"/>
            </w:pPr>
          </w:p>
        </w:tc>
        <w:tc>
          <w:tcPr>
            <w:tcW w:w="2551" w:type="dxa"/>
            <w:vAlign w:val="center"/>
          </w:tcPr>
          <w:p>
            <w:pPr>
              <w:pStyle w:val="10"/>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0.07</w:t>
            </w:r>
          </w:p>
        </w:tc>
        <w:tc>
          <w:tcPr>
            <w:tcW w:w="2551" w:type="dxa"/>
            <w:vAlign w:val="center"/>
          </w:tcPr>
          <w:p>
            <w:pPr>
              <w:pStyle w:val="10"/>
            </w:pPr>
          </w:p>
        </w:tc>
        <w:tc>
          <w:tcPr>
            <w:tcW w:w="2551" w:type="dxa"/>
            <w:vAlign w:val="center"/>
          </w:tcPr>
          <w:p>
            <w:pPr>
              <w:pStyle w:val="10"/>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0.09</w:t>
            </w:r>
          </w:p>
        </w:tc>
        <w:tc>
          <w:tcPr>
            <w:tcW w:w="2551" w:type="dxa"/>
            <w:vAlign w:val="center"/>
          </w:tcPr>
          <w:p>
            <w:pPr>
              <w:pStyle w:val="10"/>
            </w:pPr>
            <w:r>
              <w:t>0.09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0.09</w:t>
            </w:r>
          </w:p>
        </w:tc>
        <w:tc>
          <w:tcPr>
            <w:tcW w:w="2551" w:type="dxa"/>
            <w:vAlign w:val="center"/>
          </w:tcPr>
          <w:p>
            <w:pPr>
              <w:pStyle w:val="10"/>
            </w:pPr>
            <w:r>
              <w:t>0.09</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229</w:t>
            </w:r>
          </w:p>
        </w:tc>
        <w:tc>
          <w:tcPr>
            <w:tcW w:w="4535" w:type="dxa"/>
            <w:vAlign w:val="center"/>
          </w:tcPr>
          <w:p>
            <w:pPr>
              <w:pStyle w:val="9"/>
            </w:pPr>
            <w:r>
              <w:t>其他支出</w:t>
            </w:r>
          </w:p>
        </w:tc>
        <w:tc>
          <w:tcPr>
            <w:tcW w:w="2551" w:type="dxa"/>
            <w:vAlign w:val="center"/>
          </w:tcPr>
          <w:p>
            <w:pPr>
              <w:pStyle w:val="10"/>
            </w:pPr>
            <w:r>
              <w:t>5000.00</w:t>
            </w:r>
          </w:p>
        </w:tc>
        <w:tc>
          <w:tcPr>
            <w:tcW w:w="2551" w:type="dxa"/>
            <w:vAlign w:val="center"/>
          </w:tcPr>
          <w:p>
            <w:pPr>
              <w:pStyle w:val="10"/>
            </w:pPr>
          </w:p>
        </w:tc>
        <w:tc>
          <w:tcPr>
            <w:tcW w:w="2551" w:type="dxa"/>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22904</w:t>
            </w:r>
          </w:p>
        </w:tc>
        <w:tc>
          <w:tcPr>
            <w:tcW w:w="4535" w:type="dxa"/>
            <w:vAlign w:val="center"/>
          </w:tcPr>
          <w:p>
            <w:pPr>
              <w:pStyle w:val="9"/>
            </w:pPr>
            <w:r>
              <w:t>其他政府性基金及对应专项债务收入安排的支出</w:t>
            </w:r>
          </w:p>
        </w:tc>
        <w:tc>
          <w:tcPr>
            <w:tcW w:w="2551" w:type="dxa"/>
            <w:vAlign w:val="center"/>
          </w:tcPr>
          <w:p>
            <w:pPr>
              <w:pStyle w:val="10"/>
            </w:pPr>
            <w:r>
              <w:t>5000.00</w:t>
            </w:r>
          </w:p>
        </w:tc>
        <w:tc>
          <w:tcPr>
            <w:tcW w:w="2551" w:type="dxa"/>
            <w:vAlign w:val="center"/>
          </w:tcPr>
          <w:p>
            <w:pPr>
              <w:pStyle w:val="10"/>
            </w:pPr>
          </w:p>
        </w:tc>
        <w:tc>
          <w:tcPr>
            <w:tcW w:w="2551" w:type="dxa"/>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2290402</w:t>
            </w:r>
          </w:p>
        </w:tc>
        <w:tc>
          <w:tcPr>
            <w:tcW w:w="4535" w:type="dxa"/>
            <w:vAlign w:val="center"/>
          </w:tcPr>
          <w:p>
            <w:pPr>
              <w:pStyle w:val="9"/>
            </w:pPr>
            <w:r>
              <w:t>其他地方自行试点项目收益专项债券收入安排的支出</w:t>
            </w:r>
          </w:p>
        </w:tc>
        <w:tc>
          <w:tcPr>
            <w:tcW w:w="2551" w:type="dxa"/>
            <w:vAlign w:val="center"/>
          </w:tcPr>
          <w:p>
            <w:pPr>
              <w:pStyle w:val="10"/>
            </w:pPr>
            <w:r>
              <w:t>5000.00</w:t>
            </w:r>
          </w:p>
        </w:tc>
        <w:tc>
          <w:tcPr>
            <w:tcW w:w="2551" w:type="dxa"/>
            <w:vAlign w:val="center"/>
          </w:tcPr>
          <w:p>
            <w:pPr>
              <w:pStyle w:val="10"/>
            </w:pPr>
          </w:p>
        </w:tc>
        <w:tc>
          <w:tcPr>
            <w:tcW w:w="2551" w:type="dxa"/>
            <w:vAlign w:val="center"/>
          </w:tcPr>
          <w:p>
            <w:pPr>
              <w:pStyle w:val="10"/>
            </w:pPr>
            <w:r>
              <w:t>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一</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二</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三</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7"/>
            </w:pPr>
            <w:r>
              <w:rPr>
                <w:rFonts w:hint="eastAsia"/>
              </w:rPr>
              <w:t>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7"/>
            </w:pPr>
            <w:r>
              <w:t>0.14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r>
              <w:t>0.14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7"/>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秦皇岛市海港区圆明山文化旅游产业聚集区管理委员会本级2023年单位预算信息公开情况说明</w:t>
      </w:r>
    </w:p>
    <w:p>
      <w:pPr>
        <w:jc w:val="center"/>
        <w:outlineLvl w:val="4"/>
        <w:rPr>
          <w:rFonts w:ascii="方正小标宋_GBK" w:hAnsi="方正小标宋_GBK" w:eastAsia="方正小标宋_GBK" w:cs="方正小标宋_GBK"/>
          <w:color w:val="000000"/>
          <w:sz w:val="44"/>
        </w:rPr>
      </w:pP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、《地方预决算公开操作规程》和《关于进一步推进预算公开工作的实施意见》规定，现将秦皇岛市海港区圆明山文化旅游产业聚集区管理委员会本级2023年单位预算公开如下：</w:t>
      </w:r>
    </w:p>
    <w:p>
      <w:pPr>
        <w:spacing w:before="10" w:after="10"/>
        <w:ind w:firstLine="640"/>
        <w:outlineLvl w:val="5"/>
        <w:rPr>
          <w:rFonts w:ascii="SimHei" w:hAnsi="SimHei" w:eastAsia="SimHei" w:cs="SimHei"/>
          <w:color w:val="000000"/>
          <w:sz w:val="32"/>
        </w:rPr>
      </w:pPr>
    </w:p>
    <w:p>
      <w:pPr>
        <w:spacing w:before="10" w:after="10"/>
        <w:ind w:firstLine="640"/>
        <w:outlineLvl w:val="5"/>
      </w:pPr>
      <w:r>
        <w:rPr>
          <w:rFonts w:ascii="SimHei" w:hAnsi="SimHei" w:eastAsia="SimHei" w:cs="SimHei"/>
          <w:color w:val="000000"/>
          <w:sz w:val="32"/>
        </w:rPr>
        <w:t>一、单位职责及机构设置情况</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单位职责：</w:t>
      </w:r>
    </w:p>
    <w:p>
      <w:pPr>
        <w:pStyle w:val="14"/>
      </w:pPr>
      <w:r>
        <w:t>1.编制辖区的发展规划，经批准后组织实施。</w:t>
      </w:r>
    </w:p>
    <w:p>
      <w:pPr>
        <w:pStyle w:val="14"/>
      </w:pPr>
      <w:r>
        <w:t>2.负责辖区固定资产投资项目的组织、协调工作。</w:t>
      </w:r>
    </w:p>
    <w:p>
      <w:pPr>
        <w:pStyle w:val="14"/>
      </w:pPr>
      <w:r>
        <w:t>3.负责辖区招商引资、项目建设工作。</w:t>
      </w:r>
    </w:p>
    <w:p>
      <w:pPr>
        <w:pStyle w:val="14"/>
      </w:pPr>
      <w:r>
        <w:t>4.负责辖区文化旅游市场秩序的规范、监督、管理工作。</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秦皇岛市海港区圆明山文化旅游产业聚集区管理委员会本级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ind w:firstLine="640"/>
        <w:outlineLvl w:val="5"/>
        <w:rPr>
          <w:rFonts w:ascii="SimHei" w:hAnsi="SimHei" w:eastAsia="SimHei" w:cs="SimHei"/>
          <w:color w:val="000000"/>
          <w:sz w:val="32"/>
        </w:rPr>
      </w:pPr>
    </w:p>
    <w:p>
      <w:pPr>
        <w:spacing w:before="10" w:after="10"/>
        <w:ind w:firstLine="640"/>
        <w:outlineLvl w:val="5"/>
      </w:pPr>
      <w:r>
        <w:rPr>
          <w:rFonts w:ascii="SimHei" w:hAnsi="SimHei" w:eastAsia="SimHei" w:cs="SimHei"/>
          <w:color w:val="000000"/>
          <w:sz w:val="32"/>
        </w:rPr>
        <w:t>二、单位预算安排的总体情况</w:t>
      </w:r>
    </w:p>
    <w:p>
      <w:pPr>
        <w:spacing w:line="500" w:lineRule="exact"/>
        <w:ind w:firstLine="560"/>
      </w:pPr>
      <w:r>
        <w:rPr>
          <w:rFonts w:eastAsia="方正仿宋_GBK"/>
          <w:color w:val="000000"/>
          <w:sz w:val="28"/>
        </w:rPr>
        <w:t>按照预算管理有关规定，目前我区单位预算的编制实行综合预算管理，即全部收入和支出都反映在预算中。</w:t>
      </w:r>
    </w:p>
    <w:p>
      <w:pPr>
        <w:pStyle w:val="16"/>
      </w:pPr>
    </w:p>
    <w:p>
      <w:pPr>
        <w:spacing w:before="10" w:after="10"/>
        <w:ind w:firstLine="640"/>
        <w:outlineLvl w:val="5"/>
      </w:pPr>
      <w:r>
        <w:rPr>
          <w:rFonts w:ascii="SimHei" w:hAnsi="SimHei" w:eastAsia="SimHei" w:cs="SimHei"/>
          <w:color w:val="000000"/>
          <w:sz w:val="32"/>
        </w:rPr>
        <w:t>三、机关运行经费安排情况</w:t>
      </w:r>
    </w:p>
    <w:p>
      <w:pPr>
        <w:pStyle w:val="17"/>
        <w:rPr>
          <w:color w:val="000000"/>
        </w:rPr>
      </w:pPr>
      <w:r>
        <w:rPr>
          <w:rFonts w:hint="eastAsia"/>
          <w:color w:val="000000"/>
        </w:rPr>
        <w:t>机关运行经费</w:t>
      </w:r>
      <w:r>
        <w:rPr>
          <w:rFonts w:hint="eastAsia"/>
          <w:color w:val="000000"/>
          <w:lang w:eastAsia="zh-CN"/>
        </w:rPr>
        <w:t>共计</w:t>
      </w:r>
      <w:r>
        <w:rPr>
          <w:rFonts w:hint="eastAsia"/>
          <w:color w:val="000000"/>
        </w:rPr>
        <w:t>安排</w:t>
      </w:r>
      <w:r>
        <w:rPr>
          <w:rFonts w:hint="eastAsia"/>
          <w:color w:val="000000"/>
          <w:lang w:eastAsia="zh-CN"/>
        </w:rPr>
        <w:t>4.33</w:t>
      </w:r>
      <w:r>
        <w:rPr>
          <w:rFonts w:hint="eastAsia"/>
          <w:color w:val="000000"/>
        </w:rPr>
        <w:t>万元，</w:t>
      </w:r>
      <w:r>
        <w:rPr>
          <w:rFonts w:hint="eastAsia"/>
          <w:color w:val="000000"/>
          <w:lang w:eastAsia="zh-CN"/>
        </w:rPr>
        <w:t>主要用于单位日常办公运转所需支出。包括</w:t>
      </w:r>
      <w:r>
        <w:rPr>
          <w:rFonts w:hint="eastAsia"/>
          <w:color w:val="000000"/>
        </w:rPr>
        <w:t>：办公费</w:t>
      </w:r>
      <w:r>
        <w:rPr>
          <w:rFonts w:hint="eastAsia"/>
          <w:color w:val="000000"/>
          <w:lang w:eastAsia="zh-CN"/>
        </w:rPr>
        <w:t>2.00</w:t>
      </w:r>
      <w:r>
        <w:rPr>
          <w:rFonts w:hint="eastAsia"/>
          <w:color w:val="000000"/>
        </w:rPr>
        <w:t>万元，公务接待费0.</w:t>
      </w:r>
      <w:r>
        <w:rPr>
          <w:rFonts w:hint="eastAsia"/>
          <w:color w:val="000000"/>
          <w:lang w:eastAsia="zh-CN"/>
        </w:rPr>
        <w:t>14</w:t>
      </w:r>
      <w:r>
        <w:rPr>
          <w:rFonts w:hint="eastAsia"/>
          <w:color w:val="000000"/>
        </w:rPr>
        <w:t>万元，工会经费</w:t>
      </w:r>
      <w:r>
        <w:rPr>
          <w:rFonts w:hint="eastAsia"/>
          <w:color w:val="000000"/>
          <w:lang w:eastAsia="zh-CN"/>
        </w:rPr>
        <w:t>1.4</w:t>
      </w:r>
      <w:r>
        <w:rPr>
          <w:rFonts w:hint="eastAsia"/>
          <w:color w:val="000000"/>
        </w:rPr>
        <w:t>万元，福利费</w:t>
      </w:r>
      <w:r>
        <w:rPr>
          <w:rFonts w:hint="eastAsia"/>
          <w:color w:val="000000"/>
          <w:lang w:eastAsia="zh-CN"/>
        </w:rPr>
        <w:t>0.72</w:t>
      </w:r>
      <w:r>
        <w:rPr>
          <w:rFonts w:hint="eastAsia"/>
          <w:color w:val="000000"/>
        </w:rPr>
        <w:t>万元，其他商品和服务支出</w:t>
      </w:r>
      <w:r>
        <w:rPr>
          <w:rFonts w:hint="eastAsia"/>
          <w:color w:val="000000"/>
          <w:lang w:eastAsia="zh-CN"/>
        </w:rPr>
        <w:t>0.07</w:t>
      </w:r>
      <w:r>
        <w:rPr>
          <w:rFonts w:hint="eastAsia"/>
          <w:color w:val="000000"/>
        </w:rPr>
        <w:t>万元。</w:t>
      </w:r>
    </w:p>
    <w:p>
      <w:pPr>
        <w:pStyle w:val="18"/>
      </w:pPr>
    </w:p>
    <w:p>
      <w:pPr>
        <w:spacing w:before="10" w:after="10"/>
        <w:ind w:firstLine="640"/>
        <w:outlineLvl w:val="5"/>
      </w:pPr>
      <w:r>
        <w:rPr>
          <w:rFonts w:ascii="SimHei" w:hAnsi="SimHei" w:eastAsia="SimHei" w:cs="SimHei"/>
          <w:color w:val="000000"/>
          <w:sz w:val="32"/>
        </w:rPr>
        <w:t>四、财政拨款“三公”经费预算情况及增减变化原因</w:t>
      </w:r>
    </w:p>
    <w:p>
      <w:pPr>
        <w:pStyle w:val="17"/>
        <w:rPr>
          <w:color w:val="000000"/>
          <w:lang w:eastAsia="zh-CN"/>
        </w:rPr>
      </w:pPr>
      <w:r>
        <w:rPr>
          <w:rFonts w:hint="eastAsia"/>
          <w:color w:val="000000"/>
          <w:lang w:eastAsia="zh-CN"/>
        </w:rPr>
        <w:t>2023年，我部门</w:t>
      </w:r>
      <w:r>
        <w:rPr>
          <w:rFonts w:hint="eastAsia"/>
          <w:color w:val="000000"/>
        </w:rPr>
        <w:t>财政拨款“三公”经费预算</w:t>
      </w:r>
      <w:r>
        <w:rPr>
          <w:rFonts w:hint="eastAsia"/>
          <w:color w:val="000000"/>
          <w:lang w:eastAsia="zh-CN"/>
        </w:rPr>
        <w:t>安排0.14万元，其中：因公出国（境）费0万元，公务用车购置及运维费0万元（其中：公务用车购置费为0万元，公务用车运行维护费0万元），公务接待费0.14万元。</w:t>
      </w:r>
      <w:r>
        <w:rPr>
          <w:color w:val="000000"/>
          <w:lang w:eastAsia="zh-CN"/>
        </w:rPr>
        <w:t>与202</w:t>
      </w:r>
      <w:r>
        <w:rPr>
          <w:rFonts w:hint="eastAsia"/>
          <w:color w:val="000000"/>
          <w:lang w:eastAsia="zh-CN"/>
        </w:rPr>
        <w:t>2</w:t>
      </w:r>
      <w:r>
        <w:rPr>
          <w:color w:val="000000"/>
          <w:lang w:eastAsia="zh-CN"/>
        </w:rPr>
        <w:t>年相比增加0万元</w:t>
      </w:r>
      <w:r>
        <w:rPr>
          <w:rFonts w:hint="eastAsia"/>
          <w:color w:val="000000"/>
          <w:lang w:eastAsia="zh-CN"/>
        </w:rPr>
        <w:t>。</w:t>
      </w:r>
    </w:p>
    <w:p>
      <w:pPr>
        <w:pStyle w:val="19"/>
      </w:pPr>
    </w:p>
    <w:p>
      <w:pPr>
        <w:spacing w:before="10" w:after="10"/>
        <w:ind w:firstLine="640"/>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五、预算绩效信息</w:t>
      </w:r>
    </w:p>
    <w:p>
      <w:pPr>
        <w:ind w:firstLine="560"/>
      </w:pPr>
      <w:r>
        <w:rPr>
          <w:rFonts w:ascii="方正仿宋_GBK" w:hAnsi="方正仿宋_GBK" w:eastAsia="方正仿宋_GBK" w:cs="方正仿宋_GBK"/>
          <w:b/>
          <w:color w:val="000000"/>
          <w:sz w:val="28"/>
        </w:rPr>
        <w:t>1、（区级）秦财债【2022】284号圆明山产业区一期基础设施配套工程绩效目标表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1.促进圆明山产业道路路网建设和城乡基础设施建设</w:t>
            </w:r>
          </w:p>
          <w:p>
            <w:pPr>
              <w:pStyle w:val="9"/>
            </w:pPr>
            <w:r>
              <w:t>2.为产业区提供便利的内、外部交通条件解决交通拥堵，减少交通事故的发生，改善交通环境及沿街景观</w:t>
            </w:r>
          </w:p>
          <w:p>
            <w:pPr>
              <w:pStyle w:val="9"/>
            </w:pPr>
            <w:r>
              <w:t>3.带动沿线区域旅游业、商业和房地产等相关产业的发展，改善圆明山产业区的形象和投资环境，带动乡镇经济和社会的发展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536"/>
        <w:gridCol w:w="3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1536" w:type="dxa"/>
            <w:vAlign w:val="center"/>
          </w:tcPr>
          <w:p>
            <w:pPr>
              <w:pStyle w:val="7"/>
            </w:pPr>
            <w:r>
              <w:t>指标值</w:t>
            </w:r>
          </w:p>
        </w:tc>
        <w:tc>
          <w:tcPr>
            <w:tcW w:w="3283"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建设道路数量</w:t>
            </w:r>
          </w:p>
        </w:tc>
        <w:tc>
          <w:tcPr>
            <w:tcW w:w="2835" w:type="dxa"/>
            <w:vAlign w:val="center"/>
          </w:tcPr>
          <w:p>
            <w:pPr>
              <w:pStyle w:val="9"/>
            </w:pPr>
            <w:r>
              <w:t>建设道路数量</w:t>
            </w:r>
          </w:p>
        </w:tc>
        <w:tc>
          <w:tcPr>
            <w:tcW w:w="1536" w:type="dxa"/>
            <w:vAlign w:val="center"/>
          </w:tcPr>
          <w:p>
            <w:pPr>
              <w:pStyle w:val="9"/>
            </w:pPr>
            <w:r>
              <w:t>6条</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工程验收合格率</w:t>
            </w:r>
          </w:p>
        </w:tc>
        <w:tc>
          <w:tcPr>
            <w:tcW w:w="2835" w:type="dxa"/>
            <w:vAlign w:val="center"/>
          </w:tcPr>
          <w:p>
            <w:pPr>
              <w:pStyle w:val="9"/>
            </w:pPr>
            <w:r>
              <w:t>工程验收合格率</w:t>
            </w:r>
          </w:p>
        </w:tc>
        <w:tc>
          <w:tcPr>
            <w:tcW w:w="1536" w:type="dxa"/>
            <w:vAlign w:val="center"/>
          </w:tcPr>
          <w:p>
            <w:pPr>
              <w:pStyle w:val="9"/>
            </w:pPr>
            <w:r>
              <w:t>100百分比</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相关手续完成率</w:t>
            </w:r>
          </w:p>
        </w:tc>
        <w:tc>
          <w:tcPr>
            <w:tcW w:w="2835" w:type="dxa"/>
            <w:vAlign w:val="center"/>
          </w:tcPr>
          <w:p>
            <w:pPr>
              <w:pStyle w:val="9"/>
            </w:pPr>
            <w:r>
              <w:t>相关手续完成率</w:t>
            </w:r>
          </w:p>
        </w:tc>
        <w:tc>
          <w:tcPr>
            <w:tcW w:w="1536" w:type="dxa"/>
            <w:vAlign w:val="center"/>
          </w:tcPr>
          <w:p>
            <w:pPr>
              <w:pStyle w:val="9"/>
            </w:pPr>
            <w:r>
              <w:t>100百分比</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工程完成及时率</w:t>
            </w:r>
          </w:p>
        </w:tc>
        <w:tc>
          <w:tcPr>
            <w:tcW w:w="2835" w:type="dxa"/>
            <w:vAlign w:val="center"/>
          </w:tcPr>
          <w:p>
            <w:pPr>
              <w:pStyle w:val="9"/>
            </w:pPr>
            <w:r>
              <w:t>工程完成及时率</w:t>
            </w:r>
          </w:p>
        </w:tc>
        <w:tc>
          <w:tcPr>
            <w:tcW w:w="1536" w:type="dxa"/>
            <w:vAlign w:val="center"/>
          </w:tcPr>
          <w:p>
            <w:pPr>
              <w:pStyle w:val="9"/>
            </w:pPr>
            <w:r>
              <w:t>100百分比</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tc>
        <w:tc>
          <w:tcPr>
            <w:tcW w:w="2835" w:type="dxa"/>
            <w:vAlign w:val="center"/>
          </w:tcPr>
          <w:p>
            <w:pPr>
              <w:pStyle w:val="9"/>
            </w:pPr>
            <w:r>
              <w:t>实际支出小于预算数</w:t>
            </w:r>
          </w:p>
        </w:tc>
        <w:tc>
          <w:tcPr>
            <w:tcW w:w="1536" w:type="dxa"/>
            <w:vAlign w:val="center"/>
          </w:tcPr>
          <w:p>
            <w:pPr>
              <w:pStyle w:val="9"/>
            </w:pPr>
            <w:r>
              <w:t>≤12000万元</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运营收入总额</w:t>
            </w:r>
          </w:p>
        </w:tc>
        <w:tc>
          <w:tcPr>
            <w:tcW w:w="2835" w:type="dxa"/>
            <w:vAlign w:val="center"/>
          </w:tcPr>
          <w:p>
            <w:pPr>
              <w:pStyle w:val="9"/>
            </w:pPr>
            <w:r>
              <w:t>运营收入总额</w:t>
            </w:r>
          </w:p>
        </w:tc>
        <w:tc>
          <w:tcPr>
            <w:tcW w:w="1536" w:type="dxa"/>
            <w:vAlign w:val="center"/>
          </w:tcPr>
          <w:p>
            <w:pPr>
              <w:pStyle w:val="9"/>
            </w:pPr>
            <w:r>
              <w:t>117601.64万元</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运营收益总额</w:t>
            </w:r>
          </w:p>
        </w:tc>
        <w:tc>
          <w:tcPr>
            <w:tcW w:w="2835" w:type="dxa"/>
            <w:vAlign w:val="center"/>
          </w:tcPr>
          <w:p>
            <w:pPr>
              <w:pStyle w:val="9"/>
            </w:pPr>
            <w:r>
              <w:t>运营收益总额</w:t>
            </w:r>
          </w:p>
        </w:tc>
        <w:tc>
          <w:tcPr>
            <w:tcW w:w="1536" w:type="dxa"/>
            <w:vAlign w:val="center"/>
          </w:tcPr>
          <w:p>
            <w:pPr>
              <w:pStyle w:val="9"/>
            </w:pPr>
            <w:r>
              <w:t>97741.9万元</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带动沿线区域旅游业、商业和房地产等相关产业的发展，改善圆明山产业区的形象和投资环境，带动乡镇经济和社会的发展</w:t>
            </w:r>
          </w:p>
        </w:tc>
        <w:tc>
          <w:tcPr>
            <w:tcW w:w="2835" w:type="dxa"/>
            <w:vAlign w:val="center"/>
          </w:tcPr>
          <w:p>
            <w:pPr>
              <w:pStyle w:val="9"/>
            </w:pPr>
            <w:r>
              <w:t>带动沿线区域旅游业、商业和房地产等相关产业的发展，改善圆明山产业区的形象和投资环境，带动乡镇经济和社会的发展</w:t>
            </w:r>
          </w:p>
        </w:tc>
        <w:tc>
          <w:tcPr>
            <w:tcW w:w="1536" w:type="dxa"/>
            <w:vAlign w:val="center"/>
          </w:tcPr>
          <w:p>
            <w:pPr>
              <w:pStyle w:val="9"/>
            </w:pPr>
            <w:r>
              <w:t>比上年有所提高</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促进圆明山产业区道路路网建设和城乡基础设施建设</w:t>
            </w:r>
          </w:p>
        </w:tc>
        <w:tc>
          <w:tcPr>
            <w:tcW w:w="2835" w:type="dxa"/>
            <w:vAlign w:val="center"/>
          </w:tcPr>
          <w:p>
            <w:pPr>
              <w:pStyle w:val="9"/>
            </w:pPr>
            <w:r>
              <w:t>促进圆明山产业区道路路网建设和城乡基础设施建设</w:t>
            </w:r>
          </w:p>
        </w:tc>
        <w:tc>
          <w:tcPr>
            <w:tcW w:w="1536" w:type="dxa"/>
            <w:vAlign w:val="center"/>
          </w:tcPr>
          <w:p>
            <w:pPr>
              <w:pStyle w:val="9"/>
            </w:pPr>
            <w:r>
              <w:t>比上年有所提高</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有效促进人居环境、生态环境的提升</w:t>
            </w:r>
          </w:p>
        </w:tc>
        <w:tc>
          <w:tcPr>
            <w:tcW w:w="2835" w:type="dxa"/>
            <w:vAlign w:val="center"/>
          </w:tcPr>
          <w:p>
            <w:pPr>
              <w:pStyle w:val="9"/>
            </w:pPr>
            <w:r>
              <w:t>有效促进人居环境、生态环境的提升</w:t>
            </w:r>
          </w:p>
        </w:tc>
        <w:tc>
          <w:tcPr>
            <w:tcW w:w="1536" w:type="dxa"/>
            <w:vAlign w:val="center"/>
          </w:tcPr>
          <w:p>
            <w:pPr>
              <w:pStyle w:val="9"/>
            </w:pPr>
            <w:r>
              <w:t>比上年有所提高</w:t>
            </w:r>
          </w:p>
        </w:tc>
        <w:tc>
          <w:tcPr>
            <w:tcW w:w="3283" w:type="dxa"/>
            <w:vAlign w:val="center"/>
          </w:tcPr>
          <w:p>
            <w:pPr>
              <w:pStyle w:val="9"/>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项目服务对象满意度</w:t>
            </w:r>
          </w:p>
        </w:tc>
        <w:tc>
          <w:tcPr>
            <w:tcW w:w="2835" w:type="dxa"/>
            <w:vAlign w:val="center"/>
          </w:tcPr>
          <w:p>
            <w:pPr>
              <w:pStyle w:val="9"/>
            </w:pPr>
            <w:r>
              <w:t>调查中满意人数占调查总人数比例</w:t>
            </w:r>
          </w:p>
        </w:tc>
        <w:tc>
          <w:tcPr>
            <w:tcW w:w="1536" w:type="dxa"/>
            <w:vAlign w:val="center"/>
          </w:tcPr>
          <w:p>
            <w:pPr>
              <w:pStyle w:val="9"/>
            </w:pPr>
            <w:r>
              <w:t>≥95百分比</w:t>
            </w:r>
          </w:p>
        </w:tc>
        <w:tc>
          <w:tcPr>
            <w:tcW w:w="3283" w:type="dxa"/>
            <w:vAlign w:val="center"/>
          </w:tcPr>
          <w:p>
            <w:pPr>
              <w:pStyle w:val="9"/>
            </w:pPr>
            <w:r>
              <w:t>圆明山产业区一期工程实施方案、海发改【2021】82号、秦财债【2022】284号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2、圆明山景区保洁项目资金绩效目标表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1.保持圆明山景区环境的整洁</w:t>
            </w:r>
          </w:p>
          <w:p>
            <w:pPr>
              <w:pStyle w:val="9"/>
            </w:pPr>
            <w:r>
              <w:t>2.建设完善圆明山景区的公共厕所及木栈道基础维护等工程项目，有效促进生态环境的提升</w:t>
            </w:r>
          </w:p>
          <w:p>
            <w:pPr>
              <w:pStyle w:val="9"/>
            </w:pPr>
            <w:r>
              <w:t>3.提升游客在圆明山景区的旅游体验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360"/>
        <w:gridCol w:w="3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1360" w:type="dxa"/>
            <w:vAlign w:val="center"/>
          </w:tcPr>
          <w:p>
            <w:pPr>
              <w:pStyle w:val="7"/>
            </w:pPr>
            <w:r>
              <w:t>指标值</w:t>
            </w:r>
          </w:p>
        </w:tc>
        <w:tc>
          <w:tcPr>
            <w:tcW w:w="3459"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建设公共厕所的数量</w:t>
            </w:r>
          </w:p>
        </w:tc>
        <w:tc>
          <w:tcPr>
            <w:tcW w:w="2835" w:type="dxa"/>
            <w:vAlign w:val="center"/>
          </w:tcPr>
          <w:p>
            <w:pPr>
              <w:pStyle w:val="9"/>
            </w:pPr>
            <w:r>
              <w:t>建设公共厕所的数量</w:t>
            </w:r>
          </w:p>
        </w:tc>
        <w:tc>
          <w:tcPr>
            <w:tcW w:w="1360" w:type="dxa"/>
            <w:vAlign w:val="center"/>
          </w:tcPr>
          <w:p>
            <w:pPr>
              <w:pStyle w:val="9"/>
            </w:pPr>
            <w:r>
              <w:t xml:space="preserve">1座 </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垃圾清运次数</w:t>
            </w:r>
          </w:p>
        </w:tc>
        <w:tc>
          <w:tcPr>
            <w:tcW w:w="2835" w:type="dxa"/>
            <w:vAlign w:val="center"/>
          </w:tcPr>
          <w:p>
            <w:pPr>
              <w:pStyle w:val="9"/>
            </w:pPr>
            <w:r>
              <w:t>垃圾清运次数</w:t>
            </w:r>
          </w:p>
        </w:tc>
        <w:tc>
          <w:tcPr>
            <w:tcW w:w="1360" w:type="dxa"/>
            <w:vAlign w:val="center"/>
          </w:tcPr>
          <w:p>
            <w:pPr>
              <w:pStyle w:val="9"/>
            </w:pPr>
            <w:r>
              <w:t>≥12次</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垃圾清运及时完成率</w:t>
            </w:r>
          </w:p>
        </w:tc>
        <w:tc>
          <w:tcPr>
            <w:tcW w:w="2835" w:type="dxa"/>
            <w:vAlign w:val="center"/>
          </w:tcPr>
          <w:p>
            <w:pPr>
              <w:pStyle w:val="9"/>
            </w:pPr>
            <w:r>
              <w:t>垃圾清运及时完成率</w:t>
            </w:r>
          </w:p>
        </w:tc>
        <w:tc>
          <w:tcPr>
            <w:tcW w:w="1360" w:type="dxa"/>
            <w:vAlign w:val="center"/>
          </w:tcPr>
          <w:p>
            <w:pPr>
              <w:pStyle w:val="9"/>
            </w:pPr>
            <w:r>
              <w:t>≥90%</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公共厕所建设合格率</w:t>
            </w:r>
          </w:p>
        </w:tc>
        <w:tc>
          <w:tcPr>
            <w:tcW w:w="2835" w:type="dxa"/>
            <w:vAlign w:val="center"/>
          </w:tcPr>
          <w:p>
            <w:pPr>
              <w:pStyle w:val="9"/>
            </w:pPr>
            <w:r>
              <w:t>公共厕所建设合格率</w:t>
            </w:r>
          </w:p>
        </w:tc>
        <w:tc>
          <w:tcPr>
            <w:tcW w:w="1360" w:type="dxa"/>
            <w:vAlign w:val="center"/>
          </w:tcPr>
          <w:p>
            <w:pPr>
              <w:pStyle w:val="9"/>
            </w:pPr>
            <w:r>
              <w:t>100%</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各项任务完成及时率</w:t>
            </w:r>
          </w:p>
        </w:tc>
        <w:tc>
          <w:tcPr>
            <w:tcW w:w="2835" w:type="dxa"/>
            <w:vAlign w:val="center"/>
          </w:tcPr>
          <w:p>
            <w:pPr>
              <w:pStyle w:val="9"/>
            </w:pPr>
            <w:r>
              <w:t>各项任务完成及时率</w:t>
            </w:r>
          </w:p>
        </w:tc>
        <w:tc>
          <w:tcPr>
            <w:tcW w:w="1360" w:type="dxa"/>
            <w:vAlign w:val="center"/>
          </w:tcPr>
          <w:p>
            <w:pPr>
              <w:pStyle w:val="9"/>
            </w:pPr>
            <w:r>
              <w:t>100%</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项目实际支出是否控制在预算内</w:t>
            </w:r>
          </w:p>
        </w:tc>
        <w:tc>
          <w:tcPr>
            <w:tcW w:w="2835" w:type="dxa"/>
            <w:vAlign w:val="center"/>
          </w:tcPr>
          <w:p>
            <w:pPr>
              <w:pStyle w:val="9"/>
            </w:pPr>
            <w:r>
              <w:t>项目实际支出是否控制在预算内</w:t>
            </w:r>
          </w:p>
        </w:tc>
        <w:tc>
          <w:tcPr>
            <w:tcW w:w="1360" w:type="dxa"/>
            <w:vAlign w:val="center"/>
          </w:tcPr>
          <w:p>
            <w:pPr>
              <w:pStyle w:val="9"/>
            </w:pPr>
            <w:r>
              <w:t>≤23.32万元</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保持景区的可持续发展</w:t>
            </w:r>
          </w:p>
        </w:tc>
        <w:tc>
          <w:tcPr>
            <w:tcW w:w="2835" w:type="dxa"/>
            <w:vAlign w:val="center"/>
          </w:tcPr>
          <w:p>
            <w:pPr>
              <w:pStyle w:val="9"/>
            </w:pPr>
            <w:r>
              <w:t>保持景区的可持续发展</w:t>
            </w:r>
          </w:p>
        </w:tc>
        <w:tc>
          <w:tcPr>
            <w:tcW w:w="1360" w:type="dxa"/>
            <w:vAlign w:val="center"/>
          </w:tcPr>
          <w:p>
            <w:pPr>
              <w:pStyle w:val="9"/>
            </w:pPr>
            <w:r>
              <w:t>比上年有所提高</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提升游客在圆明山景区的旅游体验</w:t>
            </w:r>
          </w:p>
        </w:tc>
        <w:tc>
          <w:tcPr>
            <w:tcW w:w="2835" w:type="dxa"/>
            <w:vAlign w:val="center"/>
          </w:tcPr>
          <w:p>
            <w:pPr>
              <w:pStyle w:val="9"/>
            </w:pPr>
            <w:r>
              <w:t>提升游客在圆明山景区的旅游体验</w:t>
            </w:r>
          </w:p>
        </w:tc>
        <w:tc>
          <w:tcPr>
            <w:tcW w:w="1360" w:type="dxa"/>
            <w:vAlign w:val="center"/>
          </w:tcPr>
          <w:p>
            <w:pPr>
              <w:pStyle w:val="9"/>
            </w:pPr>
            <w:r>
              <w:t>比上年有所提高</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有效促进生态环境的提升</w:t>
            </w:r>
          </w:p>
        </w:tc>
        <w:tc>
          <w:tcPr>
            <w:tcW w:w="2835" w:type="dxa"/>
            <w:vAlign w:val="center"/>
          </w:tcPr>
          <w:p>
            <w:pPr>
              <w:pStyle w:val="9"/>
            </w:pPr>
            <w:r>
              <w:t>有效促进生态环境的提升</w:t>
            </w:r>
          </w:p>
        </w:tc>
        <w:tc>
          <w:tcPr>
            <w:tcW w:w="1360" w:type="dxa"/>
            <w:vAlign w:val="center"/>
          </w:tcPr>
          <w:p>
            <w:pPr>
              <w:pStyle w:val="9"/>
            </w:pPr>
            <w:r>
              <w:t>比上年有所提高</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提高景区的整体环境</w:t>
            </w:r>
          </w:p>
        </w:tc>
        <w:tc>
          <w:tcPr>
            <w:tcW w:w="2835" w:type="dxa"/>
            <w:vAlign w:val="center"/>
          </w:tcPr>
          <w:p>
            <w:pPr>
              <w:pStyle w:val="9"/>
            </w:pPr>
            <w:r>
              <w:t>提高景区的整体环境</w:t>
            </w:r>
          </w:p>
        </w:tc>
        <w:tc>
          <w:tcPr>
            <w:tcW w:w="1360" w:type="dxa"/>
            <w:vAlign w:val="center"/>
          </w:tcPr>
          <w:p>
            <w:pPr>
              <w:pStyle w:val="9"/>
            </w:pPr>
            <w:r>
              <w:t>比上年有所提高</w:t>
            </w:r>
          </w:p>
        </w:tc>
        <w:tc>
          <w:tcPr>
            <w:tcW w:w="3459" w:type="dxa"/>
            <w:vAlign w:val="center"/>
          </w:tcPr>
          <w:p>
            <w:pPr>
              <w:pStyle w:val="9"/>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游客的满意度</w:t>
            </w:r>
          </w:p>
        </w:tc>
        <w:tc>
          <w:tcPr>
            <w:tcW w:w="2835" w:type="dxa"/>
            <w:vAlign w:val="center"/>
          </w:tcPr>
          <w:p>
            <w:pPr>
              <w:pStyle w:val="9"/>
            </w:pPr>
            <w:r>
              <w:t>调查中满意人数占调查总人数比例</w:t>
            </w:r>
          </w:p>
        </w:tc>
        <w:tc>
          <w:tcPr>
            <w:tcW w:w="1360" w:type="dxa"/>
            <w:vAlign w:val="center"/>
          </w:tcPr>
          <w:p>
            <w:pPr>
              <w:pStyle w:val="9"/>
            </w:pPr>
            <w:r>
              <w:t>≥95%</w:t>
            </w:r>
          </w:p>
        </w:tc>
        <w:tc>
          <w:tcPr>
            <w:tcW w:w="3459" w:type="dxa"/>
            <w:vAlign w:val="center"/>
          </w:tcPr>
          <w:p>
            <w:pPr>
              <w:pStyle w:val="9"/>
            </w:pPr>
            <w:r>
              <w:t>圆明山景区相关项目的合同、2020年海港区人民政府通知【7】号文件及年初工作计划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SimHei" w:hAnsi="SimHei" w:eastAsia="SimHei" w:cs="SimHei"/>
          <w:color w:val="000000"/>
          <w:sz w:val="32"/>
        </w:rPr>
        <w:t>六、政府采购预算情况</w:t>
      </w:r>
    </w:p>
    <w:p>
      <w:pPr>
        <w:spacing w:line="500" w:lineRule="exact"/>
        <w:ind w:firstLine="560"/>
      </w:pPr>
      <w:r>
        <w:rPr>
          <w:rFonts w:eastAsia="方正仿宋_GBK"/>
          <w:color w:val="000000"/>
          <w:sz w:val="28"/>
        </w:rPr>
        <w:t>2023年，秦皇岛市海港区圆明山文化旅游产业聚集区管理委员会本级安排政府采购预算0.00万元。具体内容见下表。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SimHei" w:hAnsi="SimHei" w:eastAsia="SimHei" w:cs="SimHei"/>
          <w:color w:val="000000"/>
          <w:sz w:val="32"/>
        </w:rPr>
        <w:t>七、国有资产信息</w:t>
      </w:r>
    </w:p>
    <w:p>
      <w:pPr>
        <w:spacing w:line="500" w:lineRule="exact"/>
        <w:ind w:firstLine="560"/>
      </w:pPr>
      <w:r>
        <w:rPr>
          <w:rFonts w:eastAsia="方正仿宋_GBK"/>
          <w:color w:val="000000"/>
          <w:sz w:val="28"/>
        </w:rPr>
        <w:t>秦皇岛市海港区圆明山文化旅游产业聚集区管理委员会本级上年末固定资产金额为</w:t>
      </w:r>
      <w:r>
        <w:rPr>
          <w:rFonts w:hint="eastAsia" w:eastAsia="方正仿宋_GBK"/>
          <w:color w:val="000000"/>
          <w:sz w:val="28"/>
          <w:lang w:eastAsia="zh-CN"/>
        </w:rPr>
        <w:t>1.12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439001秦皇岛市海港区圆明山文化旅游产业聚集区管理委员会本级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rPr>
                <w:rFonts w:hint="eastAsia"/>
                <w:lang w:eastAsia="zh-CN"/>
              </w:rPr>
              <w:t>资产总额</w:t>
            </w:r>
          </w:p>
        </w:tc>
        <w:tc>
          <w:tcPr>
            <w:tcW w:w="2835" w:type="dxa"/>
            <w:vAlign w:val="center"/>
          </w:tcPr>
          <w:p>
            <w:pPr>
              <w:pStyle w:val="8"/>
              <w:rPr>
                <w:lang w:eastAsia="zh-CN"/>
              </w:rPr>
            </w:pPr>
            <w:r>
              <w:rPr>
                <w:rFonts w:hint="eastAsia"/>
                <w:lang w:eastAsia="zh-CN"/>
              </w:rPr>
              <w:t>10</w:t>
            </w:r>
          </w:p>
        </w:tc>
        <w:tc>
          <w:tcPr>
            <w:tcW w:w="2835" w:type="dxa"/>
            <w:vAlign w:val="center"/>
          </w:tcPr>
          <w:p>
            <w:pPr>
              <w:pStyle w:val="10"/>
              <w:rPr>
                <w:lang w:eastAsia="zh-CN"/>
              </w:rPr>
            </w:pPr>
            <w:r>
              <w:rPr>
                <w:rFonts w:hint="eastAsia"/>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rPr>
                <w:lang w:eastAsia="zh-CN"/>
              </w:rPr>
            </w:pPr>
            <w:r>
              <w:rPr>
                <w:rFonts w:hint="eastAsia"/>
                <w:lang w:eastAsia="zh-CN"/>
              </w:rPr>
              <w:t>1、房屋（平方米）</w:t>
            </w:r>
          </w:p>
        </w:tc>
        <w:tc>
          <w:tcPr>
            <w:tcW w:w="2835" w:type="dxa"/>
            <w:vAlign w:val="center"/>
          </w:tcPr>
          <w:p>
            <w:pPr>
              <w:pStyle w:val="8"/>
              <w:rPr>
                <w:lang w:eastAsia="zh-CN"/>
              </w:rPr>
            </w:pPr>
            <w:r>
              <w:rPr>
                <w:rFonts w:hint="eastAsia"/>
                <w:lang w:eastAsia="zh-CN"/>
              </w:rPr>
              <w:t>0</w:t>
            </w:r>
          </w:p>
        </w:tc>
        <w:tc>
          <w:tcPr>
            <w:tcW w:w="2835" w:type="dxa"/>
            <w:vAlign w:val="center"/>
          </w:tcPr>
          <w:p>
            <w:pPr>
              <w:pStyle w:val="1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lang w:eastAsia="zh-CN"/>
              </w:rPr>
            </w:pPr>
            <w:r>
              <w:rPr>
                <w:rFonts w:hint="eastAsia"/>
                <w:lang w:eastAsia="zh-CN"/>
              </w:rPr>
              <w:t>其中办公用房（平方米）</w:t>
            </w:r>
          </w:p>
        </w:tc>
        <w:tc>
          <w:tcPr>
            <w:tcW w:w="2835" w:type="dxa"/>
            <w:vAlign w:val="center"/>
          </w:tcPr>
          <w:p>
            <w:pPr>
              <w:pStyle w:val="8"/>
              <w:rPr>
                <w:lang w:eastAsia="zh-CN"/>
              </w:rPr>
            </w:pPr>
            <w:r>
              <w:rPr>
                <w:rFonts w:hint="eastAsia"/>
                <w:lang w:eastAsia="zh-CN"/>
              </w:rPr>
              <w:t>0</w:t>
            </w:r>
          </w:p>
        </w:tc>
        <w:tc>
          <w:tcPr>
            <w:tcW w:w="2835" w:type="dxa"/>
            <w:vAlign w:val="center"/>
          </w:tcPr>
          <w:p>
            <w:pPr>
              <w:pStyle w:val="1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lang w:eastAsia="zh-CN"/>
              </w:rPr>
            </w:pPr>
            <w:r>
              <w:rPr>
                <w:rFonts w:hint="eastAsia"/>
                <w:lang w:eastAsia="zh-CN"/>
              </w:rPr>
              <w:t>2、车辆（台、辆）</w:t>
            </w:r>
          </w:p>
        </w:tc>
        <w:tc>
          <w:tcPr>
            <w:tcW w:w="2835" w:type="dxa"/>
            <w:vAlign w:val="center"/>
          </w:tcPr>
          <w:p>
            <w:pPr>
              <w:pStyle w:val="8"/>
              <w:rPr>
                <w:lang w:eastAsia="zh-CN"/>
              </w:rPr>
            </w:pPr>
            <w:r>
              <w:rPr>
                <w:rFonts w:hint="eastAsia"/>
                <w:lang w:eastAsia="zh-CN"/>
              </w:rPr>
              <w:t>0</w:t>
            </w:r>
          </w:p>
        </w:tc>
        <w:tc>
          <w:tcPr>
            <w:tcW w:w="2835" w:type="dxa"/>
            <w:vAlign w:val="center"/>
          </w:tcPr>
          <w:p>
            <w:pPr>
              <w:pStyle w:val="1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lang w:eastAsia="zh-CN"/>
              </w:rPr>
            </w:pPr>
            <w:r>
              <w:rPr>
                <w:rFonts w:hint="eastAsia"/>
                <w:lang w:eastAsia="zh-CN"/>
              </w:rPr>
              <w:t>3、单价在50万元以上的设备</w:t>
            </w:r>
          </w:p>
        </w:tc>
        <w:tc>
          <w:tcPr>
            <w:tcW w:w="2835" w:type="dxa"/>
            <w:vAlign w:val="center"/>
          </w:tcPr>
          <w:p>
            <w:pPr>
              <w:pStyle w:val="8"/>
              <w:rPr>
                <w:lang w:eastAsia="zh-CN"/>
              </w:rPr>
            </w:pPr>
            <w:r>
              <w:rPr>
                <w:rFonts w:hint="eastAsia"/>
                <w:lang w:eastAsia="zh-CN"/>
              </w:rPr>
              <w:t>0</w:t>
            </w:r>
          </w:p>
        </w:tc>
        <w:tc>
          <w:tcPr>
            <w:tcW w:w="2835" w:type="dxa"/>
            <w:vAlign w:val="center"/>
          </w:tcPr>
          <w:p>
            <w:pPr>
              <w:pStyle w:val="1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rPr>
                <w:lang w:eastAsia="zh-CN"/>
              </w:rPr>
            </w:pPr>
            <w:r>
              <w:rPr>
                <w:rFonts w:hint="eastAsia"/>
                <w:lang w:eastAsia="zh-CN"/>
              </w:rPr>
              <w:t>4、其他固定资产</w:t>
            </w:r>
          </w:p>
        </w:tc>
        <w:tc>
          <w:tcPr>
            <w:tcW w:w="2835" w:type="dxa"/>
            <w:vAlign w:val="center"/>
          </w:tcPr>
          <w:p>
            <w:pPr>
              <w:pStyle w:val="8"/>
              <w:rPr>
                <w:lang w:eastAsia="zh-CN"/>
              </w:rPr>
            </w:pPr>
            <w:r>
              <w:rPr>
                <w:rFonts w:hint="eastAsia"/>
                <w:lang w:eastAsia="zh-CN"/>
              </w:rPr>
              <w:t>0</w:t>
            </w:r>
          </w:p>
        </w:tc>
        <w:tc>
          <w:tcPr>
            <w:tcW w:w="2835" w:type="dxa"/>
            <w:vAlign w:val="center"/>
          </w:tcPr>
          <w:p>
            <w:pPr>
              <w:pStyle w:val="10"/>
              <w:rPr>
                <w:lang w:eastAsia="zh-CN"/>
              </w:rPr>
            </w:pPr>
            <w:r>
              <w:rPr>
                <w:rFonts w:hint="eastAsia"/>
                <w:lang w:eastAsia="zh-CN"/>
              </w:rPr>
              <w:t>1.12</w:t>
            </w:r>
          </w:p>
        </w:tc>
      </w:tr>
    </w:tbl>
    <w:p>
      <w:pPr>
        <w:ind w:firstLine="640"/>
      </w:pPr>
      <w:bookmarkStart w:id="1" w:name="_GoBack"/>
      <w:bookmarkEnd w:id="1"/>
      <w:r>
        <w:rPr>
          <w:rFonts w:eastAsia="方正仿宋_GBK"/>
          <w:color w:val="000000"/>
          <w:sz w:val="32"/>
        </w:rPr>
        <w:t xml:space="preserve"> </w:t>
      </w:r>
    </w:p>
    <w:p>
      <w:pPr>
        <w:spacing w:before="10" w:after="10"/>
        <w:ind w:firstLine="640"/>
        <w:outlineLvl w:val="5"/>
      </w:pPr>
      <w:r>
        <w:rPr>
          <w:rFonts w:ascii="SimHei" w:hAnsi="SimHei" w:eastAsia="SimHei" w:cs="SimHei"/>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SimHei" w:hAnsi="SimHei" w:eastAsia="SimHei" w:cs="SimHei"/>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BF9155"/>
    <w:rsid w:val="05BFE0C1"/>
    <w:rsid w:val="7F97B342"/>
    <w:rsid w:val="97BF9155"/>
    <w:rsid w:val="9E5D8397"/>
    <w:rsid w:val="CF37BD5E"/>
    <w:rsid w:val="DEFFD837"/>
    <w:rsid w:val="ED51D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单元格样式23"/>
    <w:basedOn w:val="1"/>
    <w:qFormat/>
    <w:uiPriority w:val="0"/>
    <w:pPr>
      <w:jc w:val="right"/>
    </w:pPr>
    <w:rPr>
      <w:rFonts w:ascii="方正书宋_GBK" w:hAnsi="方正书宋_GBK" w:eastAsia="方正书宋_GBK" w:cs="方正书宋_GBK"/>
    </w:r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2024-08-15T13:49:00Z</dcterms:created>
  <dc:creator>追逐太阳前行</dc:creator>
  <cp:lastModifiedBy>追逐太阳前行</cp:lastModifiedBy>
  <dcterms:modified xsi:type="dcterms:W3CDTF">2024-08-15T13:54:11Z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743E34B2BE105323F796BD669867C13C_41</vt:lpwstr>
  </property>
</Properties>
</file>