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一、秦皇岛市海港区信访局本级收支预算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一、秦皇岛市海港区信访局本级收支预算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492.10</w:t>
            </w:r>
          </w:p>
        </w:tc>
        <w:tc>
          <w:tcPr>
            <w:tcW w:w="4535" w:type="dxa"/>
            <w:vAlign w:val="center"/>
          </w:tcPr>
          <w:p>
            <w:pPr>
              <w:pStyle w:val="12"/>
            </w:pPr>
            <w:r>
              <w:t>一、一般公共服务支出</w:t>
            </w:r>
          </w:p>
        </w:tc>
        <w:tc>
          <w:tcPr>
            <w:tcW w:w="2126" w:type="dxa"/>
            <w:vAlign w:val="center"/>
          </w:tcPr>
          <w:p>
            <w:pPr>
              <w:pStyle w:val="11"/>
            </w:pPr>
            <w:r>
              <w:t>393.15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492.10</w:t>
            </w:r>
          </w:p>
        </w:tc>
        <w:tc>
          <w:tcPr>
            <w:tcW w:w="4535" w:type="dxa"/>
            <w:vAlign w:val="center"/>
          </w:tcPr>
          <w:p>
            <w:pPr>
              <w:pStyle w:val="14"/>
            </w:pPr>
            <w:r>
              <w:t>本年支出合计</w:t>
            </w:r>
          </w:p>
        </w:tc>
        <w:tc>
          <w:tcPr>
            <w:tcW w:w="2126" w:type="dxa"/>
            <w:vAlign w:val="center"/>
          </w:tcPr>
          <w:p>
            <w:pPr>
              <w:pStyle w:val="15"/>
            </w:pPr>
            <w:r>
              <w:t>492.10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492.10</w:t>
            </w:r>
          </w:p>
        </w:tc>
        <w:tc>
          <w:tcPr>
            <w:tcW w:w="4535" w:type="dxa"/>
            <w:vAlign w:val="center"/>
          </w:tcPr>
          <w:p>
            <w:pPr>
              <w:pStyle w:val="14"/>
            </w:pPr>
            <w:r>
              <w:t>支出总计</w:t>
            </w:r>
          </w:p>
        </w:tc>
        <w:tc>
          <w:tcPr>
            <w:tcW w:w="2126" w:type="dxa"/>
            <w:vAlign w:val="center"/>
          </w:tcPr>
          <w:p>
            <w:pPr>
              <w:pStyle w:val="15"/>
            </w:pPr>
            <w:r>
              <w:t>492.10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685" w:type="dxa"/>
        <w:jc w:val="center"/>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992"/>
        <w:gridCol w:w="2410"/>
        <w:gridCol w:w="851"/>
        <w:gridCol w:w="992"/>
        <w:gridCol w:w="992"/>
        <w:gridCol w:w="1134"/>
        <w:gridCol w:w="1134"/>
        <w:gridCol w:w="1134"/>
        <w:gridCol w:w="1134"/>
        <w:gridCol w:w="1134"/>
        <w:gridCol w:w="1134"/>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97" w:type="dxa"/>
            <w:gridSpan w:val="5"/>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326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2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0"/>
            </w:pPr>
            <w:r>
              <w:t>序号</w:t>
            </w:r>
          </w:p>
        </w:tc>
        <w:tc>
          <w:tcPr>
            <w:tcW w:w="3402" w:type="dxa"/>
            <w:gridSpan w:val="2"/>
            <w:vAlign w:val="center"/>
          </w:tcPr>
          <w:p>
            <w:pPr>
              <w:pStyle w:val="10"/>
            </w:pPr>
            <w:r>
              <w:t>功能分类科目</w:t>
            </w:r>
          </w:p>
        </w:tc>
        <w:tc>
          <w:tcPr>
            <w:tcW w:w="851" w:type="dxa"/>
            <w:vMerge w:val="restart"/>
            <w:vAlign w:val="center"/>
          </w:tcPr>
          <w:p>
            <w:pPr>
              <w:pStyle w:val="10"/>
            </w:pPr>
            <w:r>
              <w:t>合计</w:t>
            </w:r>
          </w:p>
        </w:tc>
        <w:tc>
          <w:tcPr>
            <w:tcW w:w="8788" w:type="dxa"/>
            <w:gridSpan w:val="8"/>
            <w:vAlign w:val="center"/>
          </w:tcPr>
          <w:p>
            <w:pPr>
              <w:pStyle w:val="10"/>
            </w:pPr>
            <w:r>
              <w:t>本年收入</w:t>
            </w:r>
          </w:p>
        </w:tc>
        <w:tc>
          <w:tcPr>
            <w:tcW w:w="99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2" w:type="dxa"/>
            <w:vMerge w:val="continue"/>
          </w:tcPr>
          <w:p/>
        </w:tc>
        <w:tc>
          <w:tcPr>
            <w:tcW w:w="992" w:type="dxa"/>
            <w:vAlign w:val="center"/>
          </w:tcPr>
          <w:p>
            <w:pPr>
              <w:pStyle w:val="10"/>
            </w:pPr>
            <w:r>
              <w:t>科目    编码</w:t>
            </w:r>
          </w:p>
        </w:tc>
        <w:tc>
          <w:tcPr>
            <w:tcW w:w="2410" w:type="dxa"/>
            <w:vAlign w:val="center"/>
          </w:tcPr>
          <w:p>
            <w:pPr>
              <w:pStyle w:val="10"/>
            </w:pPr>
            <w:r>
              <w:t>科目名称</w:t>
            </w:r>
          </w:p>
        </w:tc>
        <w:tc>
          <w:tcPr>
            <w:tcW w:w="851" w:type="dxa"/>
            <w:vMerge w:val="continue"/>
          </w:tcPr>
          <w:p/>
        </w:tc>
        <w:tc>
          <w:tcPr>
            <w:tcW w:w="992" w:type="dxa"/>
            <w:vAlign w:val="center"/>
          </w:tcPr>
          <w:p>
            <w:pPr>
              <w:pStyle w:val="10"/>
            </w:pPr>
            <w:r>
              <w:t>小计</w:t>
            </w:r>
          </w:p>
        </w:tc>
        <w:tc>
          <w:tcPr>
            <w:tcW w:w="992"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9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2" w:type="dxa"/>
            <w:vAlign w:val="center"/>
          </w:tcPr>
          <w:p>
            <w:pPr>
              <w:pStyle w:val="10"/>
            </w:pPr>
            <w:r>
              <w:t>栏次</w:t>
            </w:r>
          </w:p>
        </w:tc>
        <w:tc>
          <w:tcPr>
            <w:tcW w:w="992" w:type="dxa"/>
            <w:vAlign w:val="center"/>
          </w:tcPr>
          <w:p>
            <w:pPr>
              <w:pStyle w:val="10"/>
            </w:pPr>
            <w:r>
              <w:t>1</w:t>
            </w:r>
          </w:p>
        </w:tc>
        <w:tc>
          <w:tcPr>
            <w:tcW w:w="2410" w:type="dxa"/>
            <w:vAlign w:val="center"/>
          </w:tcPr>
          <w:p>
            <w:pPr>
              <w:pStyle w:val="10"/>
            </w:pPr>
            <w:r>
              <w:t>2</w:t>
            </w:r>
          </w:p>
        </w:tc>
        <w:tc>
          <w:tcPr>
            <w:tcW w:w="851" w:type="dxa"/>
            <w:vAlign w:val="center"/>
          </w:tcPr>
          <w:p>
            <w:pPr>
              <w:pStyle w:val="10"/>
            </w:pPr>
            <w:r>
              <w:t>3</w:t>
            </w:r>
          </w:p>
        </w:tc>
        <w:tc>
          <w:tcPr>
            <w:tcW w:w="992" w:type="dxa"/>
            <w:vAlign w:val="center"/>
          </w:tcPr>
          <w:p>
            <w:pPr>
              <w:pStyle w:val="10"/>
            </w:pPr>
            <w:r>
              <w:t>4</w:t>
            </w:r>
          </w:p>
        </w:tc>
        <w:tc>
          <w:tcPr>
            <w:tcW w:w="992"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99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w:t>
            </w:r>
          </w:p>
        </w:tc>
        <w:tc>
          <w:tcPr>
            <w:tcW w:w="992" w:type="dxa"/>
            <w:vAlign w:val="center"/>
          </w:tcPr>
          <w:p>
            <w:pPr>
              <w:pStyle w:val="16"/>
            </w:pPr>
          </w:p>
        </w:tc>
        <w:tc>
          <w:tcPr>
            <w:tcW w:w="2410" w:type="dxa"/>
            <w:vAlign w:val="center"/>
          </w:tcPr>
          <w:p>
            <w:pPr>
              <w:pStyle w:val="14"/>
            </w:pPr>
            <w:r>
              <w:t>合计</w:t>
            </w:r>
          </w:p>
        </w:tc>
        <w:tc>
          <w:tcPr>
            <w:tcW w:w="851" w:type="dxa"/>
            <w:vAlign w:val="center"/>
          </w:tcPr>
          <w:p>
            <w:pPr>
              <w:pStyle w:val="15"/>
            </w:pPr>
            <w:r>
              <w:t>492.10</w:t>
            </w:r>
          </w:p>
        </w:tc>
        <w:tc>
          <w:tcPr>
            <w:tcW w:w="992" w:type="dxa"/>
            <w:vAlign w:val="center"/>
          </w:tcPr>
          <w:p>
            <w:pPr>
              <w:pStyle w:val="15"/>
            </w:pPr>
            <w:r>
              <w:t>492.10</w:t>
            </w:r>
          </w:p>
        </w:tc>
        <w:tc>
          <w:tcPr>
            <w:tcW w:w="992" w:type="dxa"/>
            <w:vAlign w:val="center"/>
          </w:tcPr>
          <w:p>
            <w:pPr>
              <w:pStyle w:val="15"/>
            </w:pPr>
            <w:r>
              <w:t>492.10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9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2</w:t>
            </w:r>
          </w:p>
        </w:tc>
        <w:tc>
          <w:tcPr>
            <w:tcW w:w="992" w:type="dxa"/>
            <w:vAlign w:val="center"/>
          </w:tcPr>
          <w:p>
            <w:pPr>
              <w:pStyle w:val="12"/>
            </w:pPr>
            <w:r>
              <w:t>201</w:t>
            </w:r>
          </w:p>
        </w:tc>
        <w:tc>
          <w:tcPr>
            <w:tcW w:w="2410" w:type="dxa"/>
            <w:vAlign w:val="center"/>
          </w:tcPr>
          <w:p>
            <w:pPr>
              <w:pStyle w:val="12"/>
            </w:pPr>
            <w:r>
              <w:t>一般公共服务支出</w:t>
            </w:r>
          </w:p>
        </w:tc>
        <w:tc>
          <w:tcPr>
            <w:tcW w:w="851" w:type="dxa"/>
            <w:vAlign w:val="center"/>
          </w:tcPr>
          <w:p>
            <w:pPr>
              <w:pStyle w:val="11"/>
            </w:pPr>
            <w:r>
              <w:t>393.15</w:t>
            </w:r>
          </w:p>
        </w:tc>
        <w:tc>
          <w:tcPr>
            <w:tcW w:w="992" w:type="dxa"/>
            <w:vAlign w:val="center"/>
          </w:tcPr>
          <w:p>
            <w:pPr>
              <w:pStyle w:val="11"/>
            </w:pPr>
            <w:r>
              <w:t>393.15</w:t>
            </w:r>
          </w:p>
        </w:tc>
        <w:tc>
          <w:tcPr>
            <w:tcW w:w="992" w:type="dxa"/>
            <w:vAlign w:val="center"/>
          </w:tcPr>
          <w:p>
            <w:pPr>
              <w:pStyle w:val="11"/>
            </w:pPr>
            <w:r>
              <w:t>393.15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3</w:t>
            </w:r>
          </w:p>
        </w:tc>
        <w:tc>
          <w:tcPr>
            <w:tcW w:w="992" w:type="dxa"/>
            <w:vAlign w:val="center"/>
          </w:tcPr>
          <w:p>
            <w:pPr>
              <w:pStyle w:val="12"/>
            </w:pPr>
            <w:r>
              <w:t>20140</w:t>
            </w:r>
          </w:p>
        </w:tc>
        <w:tc>
          <w:tcPr>
            <w:tcW w:w="2410" w:type="dxa"/>
            <w:vAlign w:val="center"/>
          </w:tcPr>
          <w:p>
            <w:pPr>
              <w:pStyle w:val="12"/>
            </w:pPr>
            <w:r>
              <w:t>信访事务</w:t>
            </w:r>
          </w:p>
        </w:tc>
        <w:tc>
          <w:tcPr>
            <w:tcW w:w="851" w:type="dxa"/>
            <w:vAlign w:val="center"/>
          </w:tcPr>
          <w:p>
            <w:pPr>
              <w:pStyle w:val="11"/>
            </w:pPr>
            <w:r>
              <w:t>393.15</w:t>
            </w:r>
          </w:p>
        </w:tc>
        <w:tc>
          <w:tcPr>
            <w:tcW w:w="992" w:type="dxa"/>
            <w:vAlign w:val="center"/>
          </w:tcPr>
          <w:p>
            <w:pPr>
              <w:pStyle w:val="11"/>
            </w:pPr>
            <w:r>
              <w:t>393.15</w:t>
            </w:r>
          </w:p>
        </w:tc>
        <w:tc>
          <w:tcPr>
            <w:tcW w:w="992" w:type="dxa"/>
            <w:vAlign w:val="center"/>
          </w:tcPr>
          <w:p>
            <w:pPr>
              <w:pStyle w:val="11"/>
            </w:pPr>
            <w:r>
              <w:t>393.15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4</w:t>
            </w:r>
          </w:p>
        </w:tc>
        <w:tc>
          <w:tcPr>
            <w:tcW w:w="992" w:type="dxa"/>
            <w:vAlign w:val="center"/>
          </w:tcPr>
          <w:p>
            <w:pPr>
              <w:pStyle w:val="12"/>
            </w:pPr>
            <w:r>
              <w:t>2014001</w:t>
            </w:r>
          </w:p>
        </w:tc>
        <w:tc>
          <w:tcPr>
            <w:tcW w:w="2410" w:type="dxa"/>
            <w:vAlign w:val="center"/>
          </w:tcPr>
          <w:p>
            <w:pPr>
              <w:pStyle w:val="12"/>
            </w:pPr>
            <w:r>
              <w:t>行政运行</w:t>
            </w:r>
          </w:p>
        </w:tc>
        <w:tc>
          <w:tcPr>
            <w:tcW w:w="851" w:type="dxa"/>
            <w:vAlign w:val="center"/>
          </w:tcPr>
          <w:p>
            <w:pPr>
              <w:pStyle w:val="11"/>
            </w:pPr>
            <w:r>
              <w:t>273.15</w:t>
            </w:r>
          </w:p>
        </w:tc>
        <w:tc>
          <w:tcPr>
            <w:tcW w:w="992" w:type="dxa"/>
            <w:vAlign w:val="center"/>
          </w:tcPr>
          <w:p>
            <w:pPr>
              <w:pStyle w:val="11"/>
            </w:pPr>
            <w:r>
              <w:t>273.15</w:t>
            </w:r>
          </w:p>
        </w:tc>
        <w:tc>
          <w:tcPr>
            <w:tcW w:w="992" w:type="dxa"/>
            <w:vAlign w:val="center"/>
          </w:tcPr>
          <w:p>
            <w:pPr>
              <w:pStyle w:val="11"/>
            </w:pPr>
            <w:r>
              <w:t>273.15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5</w:t>
            </w:r>
          </w:p>
        </w:tc>
        <w:tc>
          <w:tcPr>
            <w:tcW w:w="992" w:type="dxa"/>
            <w:vAlign w:val="center"/>
          </w:tcPr>
          <w:p>
            <w:pPr>
              <w:pStyle w:val="12"/>
            </w:pPr>
            <w:r>
              <w:t>2014004</w:t>
            </w:r>
          </w:p>
        </w:tc>
        <w:tc>
          <w:tcPr>
            <w:tcW w:w="2410" w:type="dxa"/>
            <w:vAlign w:val="center"/>
          </w:tcPr>
          <w:p>
            <w:pPr>
              <w:pStyle w:val="12"/>
            </w:pPr>
            <w:r>
              <w:t>信访业务</w:t>
            </w:r>
          </w:p>
        </w:tc>
        <w:tc>
          <w:tcPr>
            <w:tcW w:w="851" w:type="dxa"/>
            <w:vAlign w:val="center"/>
          </w:tcPr>
          <w:p>
            <w:pPr>
              <w:pStyle w:val="11"/>
            </w:pPr>
            <w:r>
              <w:t>110.00</w:t>
            </w:r>
          </w:p>
        </w:tc>
        <w:tc>
          <w:tcPr>
            <w:tcW w:w="992" w:type="dxa"/>
            <w:vAlign w:val="center"/>
          </w:tcPr>
          <w:p>
            <w:pPr>
              <w:pStyle w:val="11"/>
            </w:pPr>
            <w:r>
              <w:t>110.00</w:t>
            </w:r>
          </w:p>
        </w:tc>
        <w:tc>
          <w:tcPr>
            <w:tcW w:w="992"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6</w:t>
            </w:r>
          </w:p>
        </w:tc>
        <w:tc>
          <w:tcPr>
            <w:tcW w:w="992" w:type="dxa"/>
            <w:vAlign w:val="center"/>
          </w:tcPr>
          <w:p>
            <w:pPr>
              <w:pStyle w:val="12"/>
            </w:pPr>
            <w:r>
              <w:t>2014099</w:t>
            </w:r>
          </w:p>
        </w:tc>
        <w:tc>
          <w:tcPr>
            <w:tcW w:w="2410" w:type="dxa"/>
            <w:vAlign w:val="center"/>
          </w:tcPr>
          <w:p>
            <w:pPr>
              <w:pStyle w:val="12"/>
            </w:pPr>
            <w:r>
              <w:t>其他信访事务支出</w:t>
            </w:r>
          </w:p>
        </w:tc>
        <w:tc>
          <w:tcPr>
            <w:tcW w:w="851" w:type="dxa"/>
            <w:vAlign w:val="center"/>
          </w:tcPr>
          <w:p>
            <w:pPr>
              <w:pStyle w:val="11"/>
            </w:pPr>
            <w:r>
              <w:t>10.00</w:t>
            </w:r>
          </w:p>
        </w:tc>
        <w:tc>
          <w:tcPr>
            <w:tcW w:w="992" w:type="dxa"/>
            <w:vAlign w:val="center"/>
          </w:tcPr>
          <w:p>
            <w:pPr>
              <w:pStyle w:val="11"/>
            </w:pPr>
            <w:r>
              <w:t>10.00</w:t>
            </w:r>
          </w:p>
        </w:tc>
        <w:tc>
          <w:tcPr>
            <w:tcW w:w="992"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7</w:t>
            </w:r>
          </w:p>
        </w:tc>
        <w:tc>
          <w:tcPr>
            <w:tcW w:w="992" w:type="dxa"/>
            <w:vAlign w:val="center"/>
          </w:tcPr>
          <w:p>
            <w:pPr>
              <w:pStyle w:val="12"/>
            </w:pPr>
            <w:r>
              <w:t>208</w:t>
            </w:r>
          </w:p>
        </w:tc>
        <w:tc>
          <w:tcPr>
            <w:tcW w:w="2410" w:type="dxa"/>
            <w:vAlign w:val="center"/>
          </w:tcPr>
          <w:p>
            <w:pPr>
              <w:pStyle w:val="12"/>
            </w:pPr>
            <w:r>
              <w:t>社会保障和就业支出</w:t>
            </w:r>
          </w:p>
        </w:tc>
        <w:tc>
          <w:tcPr>
            <w:tcW w:w="851" w:type="dxa"/>
            <w:vAlign w:val="center"/>
          </w:tcPr>
          <w:p>
            <w:pPr>
              <w:pStyle w:val="11"/>
            </w:pPr>
            <w:r>
              <w:t>46.40</w:t>
            </w:r>
          </w:p>
        </w:tc>
        <w:tc>
          <w:tcPr>
            <w:tcW w:w="992" w:type="dxa"/>
            <w:vAlign w:val="center"/>
          </w:tcPr>
          <w:p>
            <w:pPr>
              <w:pStyle w:val="11"/>
            </w:pPr>
            <w:r>
              <w:t>46.40</w:t>
            </w:r>
          </w:p>
        </w:tc>
        <w:tc>
          <w:tcPr>
            <w:tcW w:w="992" w:type="dxa"/>
            <w:vAlign w:val="center"/>
          </w:tcPr>
          <w:p>
            <w:pPr>
              <w:pStyle w:val="11"/>
            </w:pPr>
            <w:r>
              <w:t>46.40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8</w:t>
            </w:r>
          </w:p>
        </w:tc>
        <w:tc>
          <w:tcPr>
            <w:tcW w:w="992" w:type="dxa"/>
            <w:vAlign w:val="center"/>
          </w:tcPr>
          <w:p>
            <w:pPr>
              <w:pStyle w:val="12"/>
            </w:pPr>
            <w:r>
              <w:t>20805</w:t>
            </w:r>
          </w:p>
        </w:tc>
        <w:tc>
          <w:tcPr>
            <w:tcW w:w="2410" w:type="dxa"/>
            <w:vAlign w:val="center"/>
          </w:tcPr>
          <w:p>
            <w:pPr>
              <w:pStyle w:val="12"/>
            </w:pPr>
            <w:r>
              <w:t>行政事业单位养老支出</w:t>
            </w:r>
          </w:p>
        </w:tc>
        <w:tc>
          <w:tcPr>
            <w:tcW w:w="851" w:type="dxa"/>
            <w:vAlign w:val="center"/>
          </w:tcPr>
          <w:p>
            <w:pPr>
              <w:pStyle w:val="11"/>
            </w:pPr>
            <w:r>
              <w:t>46.40</w:t>
            </w:r>
          </w:p>
        </w:tc>
        <w:tc>
          <w:tcPr>
            <w:tcW w:w="992" w:type="dxa"/>
            <w:vAlign w:val="center"/>
          </w:tcPr>
          <w:p>
            <w:pPr>
              <w:pStyle w:val="11"/>
            </w:pPr>
            <w:r>
              <w:t>46.40</w:t>
            </w:r>
          </w:p>
        </w:tc>
        <w:tc>
          <w:tcPr>
            <w:tcW w:w="992" w:type="dxa"/>
            <w:vAlign w:val="center"/>
          </w:tcPr>
          <w:p>
            <w:pPr>
              <w:pStyle w:val="11"/>
            </w:pPr>
            <w:r>
              <w:t>46.40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9</w:t>
            </w:r>
          </w:p>
        </w:tc>
        <w:tc>
          <w:tcPr>
            <w:tcW w:w="992" w:type="dxa"/>
            <w:vAlign w:val="center"/>
          </w:tcPr>
          <w:p>
            <w:pPr>
              <w:pStyle w:val="12"/>
            </w:pPr>
            <w:r>
              <w:t>2080501</w:t>
            </w:r>
          </w:p>
        </w:tc>
        <w:tc>
          <w:tcPr>
            <w:tcW w:w="2410" w:type="dxa"/>
            <w:vAlign w:val="center"/>
          </w:tcPr>
          <w:p>
            <w:pPr>
              <w:pStyle w:val="12"/>
            </w:pPr>
            <w:r>
              <w:t>行政单位离退休</w:t>
            </w:r>
          </w:p>
        </w:tc>
        <w:tc>
          <w:tcPr>
            <w:tcW w:w="851" w:type="dxa"/>
            <w:vAlign w:val="center"/>
          </w:tcPr>
          <w:p>
            <w:pPr>
              <w:pStyle w:val="11"/>
            </w:pPr>
            <w:r>
              <w:t>14.35</w:t>
            </w:r>
          </w:p>
        </w:tc>
        <w:tc>
          <w:tcPr>
            <w:tcW w:w="992" w:type="dxa"/>
            <w:vAlign w:val="center"/>
          </w:tcPr>
          <w:p>
            <w:pPr>
              <w:pStyle w:val="11"/>
            </w:pPr>
            <w:r>
              <w:t>14.35</w:t>
            </w:r>
          </w:p>
        </w:tc>
        <w:tc>
          <w:tcPr>
            <w:tcW w:w="992" w:type="dxa"/>
            <w:vAlign w:val="center"/>
          </w:tcPr>
          <w:p>
            <w:pPr>
              <w:pStyle w:val="11"/>
            </w:pPr>
            <w:r>
              <w:t>14.35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10</w:t>
            </w:r>
          </w:p>
        </w:tc>
        <w:tc>
          <w:tcPr>
            <w:tcW w:w="992" w:type="dxa"/>
            <w:vAlign w:val="center"/>
          </w:tcPr>
          <w:p>
            <w:pPr>
              <w:pStyle w:val="12"/>
            </w:pPr>
            <w:r>
              <w:t>2080505</w:t>
            </w:r>
          </w:p>
        </w:tc>
        <w:tc>
          <w:tcPr>
            <w:tcW w:w="2410" w:type="dxa"/>
            <w:vAlign w:val="center"/>
          </w:tcPr>
          <w:p>
            <w:pPr>
              <w:pStyle w:val="12"/>
            </w:pPr>
            <w:r>
              <w:t>机关事业单位基本养老保险缴费支出</w:t>
            </w:r>
          </w:p>
        </w:tc>
        <w:tc>
          <w:tcPr>
            <w:tcW w:w="851" w:type="dxa"/>
            <w:vAlign w:val="center"/>
          </w:tcPr>
          <w:p>
            <w:pPr>
              <w:pStyle w:val="11"/>
            </w:pPr>
            <w:r>
              <w:t>32.05</w:t>
            </w:r>
          </w:p>
        </w:tc>
        <w:tc>
          <w:tcPr>
            <w:tcW w:w="992" w:type="dxa"/>
            <w:vAlign w:val="center"/>
          </w:tcPr>
          <w:p>
            <w:pPr>
              <w:pStyle w:val="11"/>
            </w:pPr>
            <w:r>
              <w:t>32.05</w:t>
            </w:r>
          </w:p>
        </w:tc>
        <w:tc>
          <w:tcPr>
            <w:tcW w:w="992" w:type="dxa"/>
            <w:vAlign w:val="center"/>
          </w:tcPr>
          <w:p>
            <w:pPr>
              <w:pStyle w:val="11"/>
            </w:pPr>
            <w:r>
              <w:t>32.05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11</w:t>
            </w:r>
          </w:p>
        </w:tc>
        <w:tc>
          <w:tcPr>
            <w:tcW w:w="992" w:type="dxa"/>
            <w:vAlign w:val="center"/>
          </w:tcPr>
          <w:p>
            <w:pPr>
              <w:pStyle w:val="12"/>
            </w:pPr>
            <w:r>
              <w:t>210</w:t>
            </w:r>
          </w:p>
        </w:tc>
        <w:tc>
          <w:tcPr>
            <w:tcW w:w="2410" w:type="dxa"/>
            <w:vAlign w:val="center"/>
          </w:tcPr>
          <w:p>
            <w:pPr>
              <w:pStyle w:val="12"/>
            </w:pPr>
            <w:r>
              <w:t>卫生健康支出</w:t>
            </w:r>
          </w:p>
        </w:tc>
        <w:tc>
          <w:tcPr>
            <w:tcW w:w="851" w:type="dxa"/>
            <w:vAlign w:val="center"/>
          </w:tcPr>
          <w:p>
            <w:pPr>
              <w:pStyle w:val="11"/>
            </w:pPr>
            <w:r>
              <w:t>25.32</w:t>
            </w:r>
          </w:p>
        </w:tc>
        <w:tc>
          <w:tcPr>
            <w:tcW w:w="992" w:type="dxa"/>
            <w:vAlign w:val="center"/>
          </w:tcPr>
          <w:p>
            <w:pPr>
              <w:pStyle w:val="11"/>
            </w:pPr>
            <w:r>
              <w:t>25.32</w:t>
            </w:r>
          </w:p>
        </w:tc>
        <w:tc>
          <w:tcPr>
            <w:tcW w:w="992" w:type="dxa"/>
            <w:vAlign w:val="center"/>
          </w:tcPr>
          <w:p>
            <w:pPr>
              <w:pStyle w:val="11"/>
            </w:pPr>
            <w:r>
              <w:t>25.32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12</w:t>
            </w:r>
          </w:p>
        </w:tc>
        <w:tc>
          <w:tcPr>
            <w:tcW w:w="992" w:type="dxa"/>
            <w:vAlign w:val="center"/>
          </w:tcPr>
          <w:p>
            <w:pPr>
              <w:pStyle w:val="12"/>
            </w:pPr>
            <w:r>
              <w:t>21011</w:t>
            </w:r>
          </w:p>
        </w:tc>
        <w:tc>
          <w:tcPr>
            <w:tcW w:w="2410" w:type="dxa"/>
            <w:vAlign w:val="center"/>
          </w:tcPr>
          <w:p>
            <w:pPr>
              <w:pStyle w:val="12"/>
            </w:pPr>
            <w:r>
              <w:t>行政事业单位医疗</w:t>
            </w:r>
          </w:p>
        </w:tc>
        <w:tc>
          <w:tcPr>
            <w:tcW w:w="851" w:type="dxa"/>
            <w:vAlign w:val="center"/>
          </w:tcPr>
          <w:p>
            <w:pPr>
              <w:pStyle w:val="11"/>
            </w:pPr>
            <w:r>
              <w:t>25.32</w:t>
            </w:r>
          </w:p>
        </w:tc>
        <w:tc>
          <w:tcPr>
            <w:tcW w:w="992" w:type="dxa"/>
            <w:vAlign w:val="center"/>
          </w:tcPr>
          <w:p>
            <w:pPr>
              <w:pStyle w:val="11"/>
            </w:pPr>
            <w:r>
              <w:t>25.32</w:t>
            </w:r>
          </w:p>
        </w:tc>
        <w:tc>
          <w:tcPr>
            <w:tcW w:w="992" w:type="dxa"/>
            <w:vAlign w:val="center"/>
          </w:tcPr>
          <w:p>
            <w:pPr>
              <w:pStyle w:val="11"/>
            </w:pPr>
            <w:r>
              <w:t>25.32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13</w:t>
            </w:r>
          </w:p>
        </w:tc>
        <w:tc>
          <w:tcPr>
            <w:tcW w:w="992" w:type="dxa"/>
            <w:vAlign w:val="center"/>
          </w:tcPr>
          <w:p>
            <w:pPr>
              <w:pStyle w:val="12"/>
            </w:pPr>
            <w:r>
              <w:t>2101101</w:t>
            </w:r>
          </w:p>
        </w:tc>
        <w:tc>
          <w:tcPr>
            <w:tcW w:w="2410" w:type="dxa"/>
            <w:vAlign w:val="center"/>
          </w:tcPr>
          <w:p>
            <w:pPr>
              <w:pStyle w:val="12"/>
            </w:pPr>
            <w:r>
              <w:t>行政单位医疗</w:t>
            </w:r>
          </w:p>
        </w:tc>
        <w:tc>
          <w:tcPr>
            <w:tcW w:w="851" w:type="dxa"/>
            <w:vAlign w:val="center"/>
          </w:tcPr>
          <w:p>
            <w:pPr>
              <w:pStyle w:val="11"/>
            </w:pPr>
            <w:r>
              <w:t>11.12</w:t>
            </w:r>
          </w:p>
        </w:tc>
        <w:tc>
          <w:tcPr>
            <w:tcW w:w="992" w:type="dxa"/>
            <w:vAlign w:val="center"/>
          </w:tcPr>
          <w:p>
            <w:pPr>
              <w:pStyle w:val="11"/>
            </w:pPr>
            <w:r>
              <w:t>11.12</w:t>
            </w:r>
          </w:p>
        </w:tc>
        <w:tc>
          <w:tcPr>
            <w:tcW w:w="992" w:type="dxa"/>
            <w:vAlign w:val="center"/>
          </w:tcPr>
          <w:p>
            <w:pPr>
              <w:pStyle w:val="11"/>
            </w:pPr>
            <w:r>
              <w:t>11.12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14</w:t>
            </w:r>
          </w:p>
        </w:tc>
        <w:tc>
          <w:tcPr>
            <w:tcW w:w="992" w:type="dxa"/>
            <w:vAlign w:val="center"/>
          </w:tcPr>
          <w:p>
            <w:pPr>
              <w:pStyle w:val="12"/>
            </w:pPr>
            <w:r>
              <w:t>2101103</w:t>
            </w:r>
          </w:p>
        </w:tc>
        <w:tc>
          <w:tcPr>
            <w:tcW w:w="2410" w:type="dxa"/>
            <w:vAlign w:val="center"/>
          </w:tcPr>
          <w:p>
            <w:pPr>
              <w:pStyle w:val="12"/>
            </w:pPr>
            <w:r>
              <w:t>公务员医疗补助</w:t>
            </w:r>
          </w:p>
        </w:tc>
        <w:tc>
          <w:tcPr>
            <w:tcW w:w="851" w:type="dxa"/>
            <w:vAlign w:val="center"/>
          </w:tcPr>
          <w:p>
            <w:pPr>
              <w:pStyle w:val="11"/>
            </w:pPr>
            <w:r>
              <w:t>14.20</w:t>
            </w:r>
          </w:p>
        </w:tc>
        <w:tc>
          <w:tcPr>
            <w:tcW w:w="992" w:type="dxa"/>
            <w:vAlign w:val="center"/>
          </w:tcPr>
          <w:p>
            <w:pPr>
              <w:pStyle w:val="11"/>
            </w:pPr>
            <w:r>
              <w:t>14.20</w:t>
            </w:r>
          </w:p>
        </w:tc>
        <w:tc>
          <w:tcPr>
            <w:tcW w:w="992" w:type="dxa"/>
            <w:vAlign w:val="center"/>
          </w:tcPr>
          <w:p>
            <w:pPr>
              <w:pStyle w:val="11"/>
            </w:pPr>
            <w:r>
              <w:t>14.20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15</w:t>
            </w:r>
          </w:p>
        </w:tc>
        <w:tc>
          <w:tcPr>
            <w:tcW w:w="992" w:type="dxa"/>
            <w:vAlign w:val="center"/>
          </w:tcPr>
          <w:p>
            <w:pPr>
              <w:pStyle w:val="12"/>
            </w:pPr>
            <w:r>
              <w:t>221</w:t>
            </w:r>
          </w:p>
        </w:tc>
        <w:tc>
          <w:tcPr>
            <w:tcW w:w="2410" w:type="dxa"/>
            <w:vAlign w:val="center"/>
          </w:tcPr>
          <w:p>
            <w:pPr>
              <w:pStyle w:val="12"/>
            </w:pPr>
            <w:r>
              <w:t>住房保障支出</w:t>
            </w:r>
          </w:p>
        </w:tc>
        <w:tc>
          <w:tcPr>
            <w:tcW w:w="851" w:type="dxa"/>
            <w:vAlign w:val="center"/>
          </w:tcPr>
          <w:p>
            <w:pPr>
              <w:pStyle w:val="11"/>
            </w:pPr>
            <w:r>
              <w:t>27.23</w:t>
            </w:r>
          </w:p>
        </w:tc>
        <w:tc>
          <w:tcPr>
            <w:tcW w:w="992" w:type="dxa"/>
            <w:vAlign w:val="center"/>
          </w:tcPr>
          <w:p>
            <w:pPr>
              <w:pStyle w:val="11"/>
            </w:pPr>
            <w:r>
              <w:t>27.23</w:t>
            </w:r>
          </w:p>
        </w:tc>
        <w:tc>
          <w:tcPr>
            <w:tcW w:w="992" w:type="dxa"/>
            <w:vAlign w:val="center"/>
          </w:tcPr>
          <w:p>
            <w:pPr>
              <w:pStyle w:val="11"/>
            </w:pPr>
            <w:r>
              <w:t>27.23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16</w:t>
            </w:r>
          </w:p>
        </w:tc>
        <w:tc>
          <w:tcPr>
            <w:tcW w:w="992" w:type="dxa"/>
            <w:vAlign w:val="center"/>
          </w:tcPr>
          <w:p>
            <w:pPr>
              <w:pStyle w:val="12"/>
            </w:pPr>
            <w:r>
              <w:t>22102</w:t>
            </w:r>
          </w:p>
        </w:tc>
        <w:tc>
          <w:tcPr>
            <w:tcW w:w="2410" w:type="dxa"/>
            <w:vAlign w:val="center"/>
          </w:tcPr>
          <w:p>
            <w:pPr>
              <w:pStyle w:val="12"/>
            </w:pPr>
            <w:r>
              <w:t>住房改革支出</w:t>
            </w:r>
          </w:p>
        </w:tc>
        <w:tc>
          <w:tcPr>
            <w:tcW w:w="851" w:type="dxa"/>
            <w:vAlign w:val="center"/>
          </w:tcPr>
          <w:p>
            <w:pPr>
              <w:pStyle w:val="11"/>
            </w:pPr>
            <w:r>
              <w:t>27.23</w:t>
            </w:r>
          </w:p>
        </w:tc>
        <w:tc>
          <w:tcPr>
            <w:tcW w:w="992" w:type="dxa"/>
            <w:vAlign w:val="center"/>
          </w:tcPr>
          <w:p>
            <w:pPr>
              <w:pStyle w:val="11"/>
            </w:pPr>
            <w:r>
              <w:t>27.23</w:t>
            </w:r>
          </w:p>
        </w:tc>
        <w:tc>
          <w:tcPr>
            <w:tcW w:w="992" w:type="dxa"/>
            <w:vAlign w:val="center"/>
          </w:tcPr>
          <w:p>
            <w:pPr>
              <w:pStyle w:val="11"/>
            </w:pPr>
            <w:r>
              <w:t>27.23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2" w:type="dxa"/>
            <w:vAlign w:val="center"/>
          </w:tcPr>
          <w:p>
            <w:pPr>
              <w:pStyle w:val="13"/>
            </w:pPr>
            <w:r>
              <w:t>17</w:t>
            </w:r>
          </w:p>
        </w:tc>
        <w:tc>
          <w:tcPr>
            <w:tcW w:w="992" w:type="dxa"/>
            <w:vAlign w:val="center"/>
          </w:tcPr>
          <w:p>
            <w:pPr>
              <w:pStyle w:val="12"/>
            </w:pPr>
            <w:r>
              <w:t>2210201</w:t>
            </w:r>
          </w:p>
        </w:tc>
        <w:tc>
          <w:tcPr>
            <w:tcW w:w="2410" w:type="dxa"/>
            <w:vAlign w:val="center"/>
          </w:tcPr>
          <w:p>
            <w:pPr>
              <w:pStyle w:val="12"/>
            </w:pPr>
            <w:r>
              <w:t>住房公积金</w:t>
            </w:r>
          </w:p>
        </w:tc>
        <w:tc>
          <w:tcPr>
            <w:tcW w:w="851" w:type="dxa"/>
            <w:vAlign w:val="center"/>
          </w:tcPr>
          <w:p>
            <w:pPr>
              <w:pStyle w:val="11"/>
            </w:pPr>
            <w:r>
              <w:t>27.23</w:t>
            </w:r>
          </w:p>
        </w:tc>
        <w:tc>
          <w:tcPr>
            <w:tcW w:w="992" w:type="dxa"/>
            <w:vAlign w:val="center"/>
          </w:tcPr>
          <w:p>
            <w:pPr>
              <w:pStyle w:val="11"/>
            </w:pPr>
            <w:r>
              <w:t>27.23</w:t>
            </w:r>
          </w:p>
        </w:tc>
        <w:tc>
          <w:tcPr>
            <w:tcW w:w="992" w:type="dxa"/>
            <w:vAlign w:val="center"/>
          </w:tcPr>
          <w:p>
            <w:pPr>
              <w:pStyle w:val="11"/>
            </w:pPr>
            <w:r>
              <w:t>27.23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492.10</w:t>
            </w:r>
          </w:p>
        </w:tc>
        <w:tc>
          <w:tcPr>
            <w:tcW w:w="1361" w:type="dxa"/>
            <w:vAlign w:val="center"/>
          </w:tcPr>
          <w:p>
            <w:pPr>
              <w:pStyle w:val="15"/>
            </w:pPr>
            <w:r>
              <w:t>372.10</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393.15</w:t>
            </w:r>
          </w:p>
        </w:tc>
        <w:tc>
          <w:tcPr>
            <w:tcW w:w="1361" w:type="dxa"/>
            <w:vAlign w:val="center"/>
          </w:tcPr>
          <w:p>
            <w:pPr>
              <w:pStyle w:val="11"/>
            </w:pPr>
            <w:r>
              <w:t>273.15</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6" w:type="dxa"/>
            <w:vAlign w:val="center"/>
          </w:tcPr>
          <w:p>
            <w:pPr>
              <w:pStyle w:val="12"/>
            </w:pPr>
            <w:r>
              <w:t>信访事务</w:t>
            </w:r>
          </w:p>
        </w:tc>
        <w:tc>
          <w:tcPr>
            <w:tcW w:w="1361" w:type="dxa"/>
            <w:vAlign w:val="center"/>
          </w:tcPr>
          <w:p>
            <w:pPr>
              <w:pStyle w:val="11"/>
            </w:pPr>
            <w:r>
              <w:t>393.15</w:t>
            </w:r>
          </w:p>
        </w:tc>
        <w:tc>
          <w:tcPr>
            <w:tcW w:w="1361" w:type="dxa"/>
            <w:vAlign w:val="center"/>
          </w:tcPr>
          <w:p>
            <w:pPr>
              <w:pStyle w:val="11"/>
            </w:pPr>
            <w:r>
              <w:t>273.15</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2014001</w:t>
            </w:r>
          </w:p>
        </w:tc>
        <w:tc>
          <w:tcPr>
            <w:tcW w:w="4536" w:type="dxa"/>
            <w:vAlign w:val="center"/>
          </w:tcPr>
          <w:p>
            <w:pPr>
              <w:pStyle w:val="12"/>
            </w:pPr>
            <w:r>
              <w:t>行政运行</w:t>
            </w:r>
          </w:p>
        </w:tc>
        <w:tc>
          <w:tcPr>
            <w:tcW w:w="1361" w:type="dxa"/>
            <w:vAlign w:val="center"/>
          </w:tcPr>
          <w:p>
            <w:pPr>
              <w:pStyle w:val="11"/>
            </w:pPr>
            <w:r>
              <w:t>273.15</w:t>
            </w:r>
          </w:p>
        </w:tc>
        <w:tc>
          <w:tcPr>
            <w:tcW w:w="1361" w:type="dxa"/>
            <w:vAlign w:val="center"/>
          </w:tcPr>
          <w:p>
            <w:pPr>
              <w:pStyle w:val="11"/>
            </w:pPr>
            <w:r>
              <w:t>273.15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2014004</w:t>
            </w:r>
          </w:p>
        </w:tc>
        <w:tc>
          <w:tcPr>
            <w:tcW w:w="4536" w:type="dxa"/>
            <w:vAlign w:val="center"/>
          </w:tcPr>
          <w:p>
            <w:pPr>
              <w:pStyle w:val="12"/>
            </w:pPr>
            <w:r>
              <w:t>信访业务</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2014099</w:t>
            </w:r>
          </w:p>
        </w:tc>
        <w:tc>
          <w:tcPr>
            <w:tcW w:w="4536" w:type="dxa"/>
            <w:vAlign w:val="center"/>
          </w:tcPr>
          <w:p>
            <w:pPr>
              <w:pStyle w:val="12"/>
            </w:pPr>
            <w:r>
              <w:t>其他信访事务支出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46.40</w:t>
            </w:r>
          </w:p>
        </w:tc>
        <w:tc>
          <w:tcPr>
            <w:tcW w:w="1361" w:type="dxa"/>
            <w:vAlign w:val="center"/>
          </w:tcPr>
          <w:p>
            <w:pPr>
              <w:pStyle w:val="11"/>
            </w:pPr>
            <w:r>
              <w:t>46.40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46.40</w:t>
            </w:r>
          </w:p>
        </w:tc>
        <w:tc>
          <w:tcPr>
            <w:tcW w:w="1361" w:type="dxa"/>
            <w:vAlign w:val="center"/>
          </w:tcPr>
          <w:p>
            <w:pPr>
              <w:pStyle w:val="11"/>
            </w:pPr>
            <w:r>
              <w:t>46.40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14.35</w:t>
            </w:r>
          </w:p>
        </w:tc>
        <w:tc>
          <w:tcPr>
            <w:tcW w:w="1361" w:type="dxa"/>
            <w:vAlign w:val="center"/>
          </w:tcPr>
          <w:p>
            <w:pPr>
              <w:pStyle w:val="11"/>
            </w:pPr>
            <w:r>
              <w:t>14.35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32.05</w:t>
            </w:r>
          </w:p>
        </w:tc>
        <w:tc>
          <w:tcPr>
            <w:tcW w:w="1361" w:type="dxa"/>
            <w:vAlign w:val="center"/>
          </w:tcPr>
          <w:p>
            <w:pPr>
              <w:pStyle w:val="11"/>
            </w:pPr>
            <w:r>
              <w:t>32.05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25.32</w:t>
            </w: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25.32</w:t>
            </w: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11.12</w:t>
            </w:r>
          </w:p>
        </w:tc>
        <w:tc>
          <w:tcPr>
            <w:tcW w:w="1361" w:type="dxa"/>
            <w:vAlign w:val="center"/>
          </w:tcPr>
          <w:p>
            <w:pPr>
              <w:pStyle w:val="11"/>
            </w:pPr>
            <w:r>
              <w:t>11.12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14.20</w:t>
            </w:r>
          </w:p>
        </w:tc>
        <w:tc>
          <w:tcPr>
            <w:tcW w:w="1361" w:type="dxa"/>
            <w:vAlign w:val="center"/>
          </w:tcPr>
          <w:p>
            <w:pPr>
              <w:pStyle w:val="11"/>
            </w:pPr>
            <w:r>
              <w:t>14.20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27.23</w:t>
            </w:r>
          </w:p>
        </w:tc>
        <w:tc>
          <w:tcPr>
            <w:tcW w:w="1361" w:type="dxa"/>
            <w:vAlign w:val="center"/>
          </w:tcPr>
          <w:p>
            <w:pPr>
              <w:pStyle w:val="11"/>
            </w:pPr>
            <w:r>
              <w:t>27.23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27.23</w:t>
            </w:r>
          </w:p>
        </w:tc>
        <w:tc>
          <w:tcPr>
            <w:tcW w:w="1361" w:type="dxa"/>
            <w:vAlign w:val="center"/>
          </w:tcPr>
          <w:p>
            <w:pPr>
              <w:pStyle w:val="11"/>
            </w:pPr>
            <w:r>
              <w:t>27.23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27.23</w:t>
            </w:r>
          </w:p>
        </w:tc>
        <w:tc>
          <w:tcPr>
            <w:tcW w:w="1361" w:type="dxa"/>
            <w:vAlign w:val="center"/>
          </w:tcPr>
          <w:p>
            <w:pPr>
              <w:pStyle w:val="11"/>
            </w:pPr>
            <w:r>
              <w:t>27.23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492.10</w:t>
            </w:r>
          </w:p>
        </w:tc>
        <w:tc>
          <w:tcPr>
            <w:tcW w:w="3402" w:type="dxa"/>
            <w:vAlign w:val="center"/>
          </w:tcPr>
          <w:p>
            <w:pPr>
              <w:pStyle w:val="12"/>
            </w:pPr>
            <w:r>
              <w:t>一、一般公共服务支出</w:t>
            </w:r>
          </w:p>
        </w:tc>
        <w:tc>
          <w:tcPr>
            <w:tcW w:w="1474" w:type="dxa"/>
            <w:vAlign w:val="center"/>
          </w:tcPr>
          <w:p>
            <w:pPr>
              <w:pStyle w:val="11"/>
            </w:pPr>
            <w:r>
              <w:t>393.15</w:t>
            </w:r>
          </w:p>
        </w:tc>
        <w:tc>
          <w:tcPr>
            <w:tcW w:w="1474" w:type="dxa"/>
            <w:vAlign w:val="center"/>
          </w:tcPr>
          <w:p>
            <w:pPr>
              <w:pStyle w:val="11"/>
            </w:pPr>
            <w:r>
              <w:t>393.15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46.40</w:t>
            </w:r>
          </w:p>
        </w:tc>
        <w:tc>
          <w:tcPr>
            <w:tcW w:w="1474" w:type="dxa"/>
            <w:vAlign w:val="center"/>
          </w:tcPr>
          <w:p>
            <w:pPr>
              <w:pStyle w:val="11"/>
            </w:pPr>
            <w:r>
              <w:t>46.40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25.32</w:t>
            </w:r>
          </w:p>
        </w:tc>
        <w:tc>
          <w:tcPr>
            <w:tcW w:w="1474" w:type="dxa"/>
            <w:vAlign w:val="center"/>
          </w:tcPr>
          <w:p>
            <w:pPr>
              <w:pStyle w:val="11"/>
            </w:pPr>
            <w:r>
              <w:t>25.32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27.23</w:t>
            </w:r>
          </w:p>
        </w:tc>
        <w:tc>
          <w:tcPr>
            <w:tcW w:w="1474" w:type="dxa"/>
            <w:vAlign w:val="center"/>
          </w:tcPr>
          <w:p>
            <w:pPr>
              <w:pStyle w:val="11"/>
            </w:pPr>
            <w:r>
              <w:t>27.23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492.10</w:t>
            </w:r>
          </w:p>
        </w:tc>
        <w:tc>
          <w:tcPr>
            <w:tcW w:w="3402" w:type="dxa"/>
            <w:vAlign w:val="center"/>
          </w:tcPr>
          <w:p>
            <w:pPr>
              <w:pStyle w:val="14"/>
            </w:pPr>
            <w:r>
              <w:t>本年支出合计</w:t>
            </w:r>
          </w:p>
        </w:tc>
        <w:tc>
          <w:tcPr>
            <w:tcW w:w="1474" w:type="dxa"/>
            <w:vAlign w:val="center"/>
          </w:tcPr>
          <w:p>
            <w:pPr>
              <w:pStyle w:val="15"/>
            </w:pPr>
            <w:r>
              <w:t>492.10</w:t>
            </w:r>
          </w:p>
        </w:tc>
        <w:tc>
          <w:tcPr>
            <w:tcW w:w="1474" w:type="dxa"/>
            <w:vAlign w:val="center"/>
          </w:tcPr>
          <w:p>
            <w:pPr>
              <w:pStyle w:val="15"/>
            </w:pPr>
            <w:r>
              <w:t>492.10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492.10</w:t>
            </w:r>
          </w:p>
        </w:tc>
        <w:tc>
          <w:tcPr>
            <w:tcW w:w="3402" w:type="dxa"/>
            <w:vAlign w:val="center"/>
          </w:tcPr>
          <w:p>
            <w:pPr>
              <w:pStyle w:val="14"/>
            </w:pPr>
            <w:r>
              <w:t>支出总计</w:t>
            </w:r>
          </w:p>
        </w:tc>
        <w:tc>
          <w:tcPr>
            <w:tcW w:w="1474" w:type="dxa"/>
            <w:vAlign w:val="center"/>
          </w:tcPr>
          <w:p>
            <w:pPr>
              <w:pStyle w:val="15"/>
            </w:pPr>
            <w:r>
              <w:t>492.10</w:t>
            </w:r>
          </w:p>
        </w:tc>
        <w:tc>
          <w:tcPr>
            <w:tcW w:w="1474" w:type="dxa"/>
            <w:vAlign w:val="center"/>
          </w:tcPr>
          <w:p>
            <w:pPr>
              <w:pStyle w:val="15"/>
            </w:pPr>
            <w:r>
              <w:t>492.10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492.10</w:t>
            </w:r>
          </w:p>
        </w:tc>
        <w:tc>
          <w:tcPr>
            <w:tcW w:w="2551" w:type="dxa"/>
            <w:vAlign w:val="center"/>
          </w:tcPr>
          <w:p>
            <w:pPr>
              <w:pStyle w:val="15"/>
            </w:pPr>
            <w:r>
              <w:t>372.10</w:t>
            </w: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393.15</w:t>
            </w:r>
          </w:p>
        </w:tc>
        <w:tc>
          <w:tcPr>
            <w:tcW w:w="2551" w:type="dxa"/>
            <w:vAlign w:val="center"/>
          </w:tcPr>
          <w:p>
            <w:pPr>
              <w:pStyle w:val="11"/>
            </w:pPr>
            <w:r>
              <w:t>273.15</w:t>
            </w:r>
          </w:p>
        </w:tc>
        <w:tc>
          <w:tcPr>
            <w:tcW w:w="2551"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393.15</w:t>
            </w:r>
          </w:p>
        </w:tc>
        <w:tc>
          <w:tcPr>
            <w:tcW w:w="2551" w:type="dxa"/>
            <w:vAlign w:val="center"/>
          </w:tcPr>
          <w:p>
            <w:pPr>
              <w:pStyle w:val="11"/>
            </w:pPr>
            <w:r>
              <w:t>273.15</w:t>
            </w:r>
          </w:p>
        </w:tc>
        <w:tc>
          <w:tcPr>
            <w:tcW w:w="2551"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273.15</w:t>
            </w:r>
          </w:p>
        </w:tc>
        <w:tc>
          <w:tcPr>
            <w:tcW w:w="2551" w:type="dxa"/>
            <w:vAlign w:val="center"/>
          </w:tcPr>
          <w:p>
            <w:pPr>
              <w:pStyle w:val="11"/>
            </w:pPr>
            <w:r>
              <w:t>273.15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2014099</w:t>
            </w:r>
          </w:p>
        </w:tc>
        <w:tc>
          <w:tcPr>
            <w:tcW w:w="4535" w:type="dxa"/>
            <w:vAlign w:val="center"/>
          </w:tcPr>
          <w:p>
            <w:pPr>
              <w:pStyle w:val="12"/>
            </w:pPr>
            <w:r>
              <w:t>其他信访事务支出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46.40</w:t>
            </w:r>
          </w:p>
        </w:tc>
        <w:tc>
          <w:tcPr>
            <w:tcW w:w="2551" w:type="dxa"/>
            <w:vAlign w:val="center"/>
          </w:tcPr>
          <w:p>
            <w:pPr>
              <w:pStyle w:val="11"/>
            </w:pPr>
            <w:r>
              <w:t>46.40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46.40</w:t>
            </w:r>
          </w:p>
        </w:tc>
        <w:tc>
          <w:tcPr>
            <w:tcW w:w="2551" w:type="dxa"/>
            <w:vAlign w:val="center"/>
          </w:tcPr>
          <w:p>
            <w:pPr>
              <w:pStyle w:val="11"/>
            </w:pPr>
            <w:r>
              <w:t>46.40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14.35</w:t>
            </w:r>
          </w:p>
        </w:tc>
        <w:tc>
          <w:tcPr>
            <w:tcW w:w="2551" w:type="dxa"/>
            <w:vAlign w:val="center"/>
          </w:tcPr>
          <w:p>
            <w:pPr>
              <w:pStyle w:val="11"/>
            </w:pPr>
            <w:r>
              <w:t>14.35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32.05</w:t>
            </w:r>
          </w:p>
        </w:tc>
        <w:tc>
          <w:tcPr>
            <w:tcW w:w="2551" w:type="dxa"/>
            <w:vAlign w:val="center"/>
          </w:tcPr>
          <w:p>
            <w:pPr>
              <w:pStyle w:val="11"/>
            </w:pPr>
            <w:r>
              <w:t>32.05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25.32</w:t>
            </w:r>
          </w:p>
        </w:tc>
        <w:tc>
          <w:tcPr>
            <w:tcW w:w="2551" w:type="dxa"/>
            <w:vAlign w:val="center"/>
          </w:tcPr>
          <w:p>
            <w:pPr>
              <w:pStyle w:val="11"/>
            </w:pPr>
            <w:r>
              <w:t>25.32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25.32</w:t>
            </w:r>
          </w:p>
        </w:tc>
        <w:tc>
          <w:tcPr>
            <w:tcW w:w="2551" w:type="dxa"/>
            <w:vAlign w:val="center"/>
          </w:tcPr>
          <w:p>
            <w:pPr>
              <w:pStyle w:val="11"/>
            </w:pPr>
            <w:r>
              <w:t>25.32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11.12</w:t>
            </w:r>
          </w:p>
        </w:tc>
        <w:tc>
          <w:tcPr>
            <w:tcW w:w="2551" w:type="dxa"/>
            <w:vAlign w:val="center"/>
          </w:tcPr>
          <w:p>
            <w:pPr>
              <w:pStyle w:val="11"/>
            </w:pPr>
            <w:r>
              <w:t>11.12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14.20</w:t>
            </w:r>
          </w:p>
        </w:tc>
        <w:tc>
          <w:tcPr>
            <w:tcW w:w="2551" w:type="dxa"/>
            <w:vAlign w:val="center"/>
          </w:tcPr>
          <w:p>
            <w:pPr>
              <w:pStyle w:val="11"/>
            </w:pPr>
            <w:r>
              <w:t>14.20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27.23</w:t>
            </w:r>
          </w:p>
        </w:tc>
        <w:tc>
          <w:tcPr>
            <w:tcW w:w="2551" w:type="dxa"/>
            <w:vAlign w:val="center"/>
          </w:tcPr>
          <w:p>
            <w:pPr>
              <w:pStyle w:val="11"/>
            </w:pPr>
            <w:r>
              <w:t>27.23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27.23</w:t>
            </w:r>
          </w:p>
        </w:tc>
        <w:tc>
          <w:tcPr>
            <w:tcW w:w="2551" w:type="dxa"/>
            <w:vAlign w:val="center"/>
          </w:tcPr>
          <w:p>
            <w:pPr>
              <w:pStyle w:val="11"/>
            </w:pPr>
            <w:r>
              <w:t>27.23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27.23</w:t>
            </w:r>
          </w:p>
        </w:tc>
        <w:tc>
          <w:tcPr>
            <w:tcW w:w="2551" w:type="dxa"/>
            <w:vAlign w:val="center"/>
          </w:tcPr>
          <w:p>
            <w:pPr>
              <w:pStyle w:val="11"/>
            </w:pPr>
            <w:r>
              <w:t>27.23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372.10</w:t>
            </w:r>
          </w:p>
        </w:tc>
        <w:tc>
          <w:tcPr>
            <w:tcW w:w="2551" w:type="dxa"/>
            <w:vAlign w:val="center"/>
          </w:tcPr>
          <w:p>
            <w:pPr>
              <w:pStyle w:val="15"/>
            </w:pPr>
            <w:r>
              <w:t>339.22</w:t>
            </w:r>
          </w:p>
        </w:tc>
        <w:tc>
          <w:tcPr>
            <w:tcW w:w="2552" w:type="dxa"/>
            <w:vAlign w:val="center"/>
          </w:tcPr>
          <w:p>
            <w:pPr>
              <w:pStyle w:val="15"/>
            </w:pPr>
            <w:r>
              <w:t>32.88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324.85</w:t>
            </w:r>
          </w:p>
        </w:tc>
        <w:tc>
          <w:tcPr>
            <w:tcW w:w="2551" w:type="dxa"/>
            <w:vAlign w:val="center"/>
          </w:tcPr>
          <w:p>
            <w:pPr>
              <w:pStyle w:val="11"/>
            </w:pPr>
            <w:r>
              <w:t>324.85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82.47</w:t>
            </w:r>
          </w:p>
        </w:tc>
        <w:tc>
          <w:tcPr>
            <w:tcW w:w="2551" w:type="dxa"/>
            <w:vAlign w:val="center"/>
          </w:tcPr>
          <w:p>
            <w:pPr>
              <w:pStyle w:val="11"/>
            </w:pPr>
            <w:r>
              <w:t>82.47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45.67</w:t>
            </w:r>
          </w:p>
        </w:tc>
        <w:tc>
          <w:tcPr>
            <w:tcW w:w="2551" w:type="dxa"/>
            <w:vAlign w:val="center"/>
          </w:tcPr>
          <w:p>
            <w:pPr>
              <w:pStyle w:val="11"/>
            </w:pPr>
            <w:r>
              <w:t>45.67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38.89</w:t>
            </w:r>
          </w:p>
        </w:tc>
        <w:tc>
          <w:tcPr>
            <w:tcW w:w="2551" w:type="dxa"/>
            <w:vAlign w:val="center"/>
          </w:tcPr>
          <w:p>
            <w:pPr>
              <w:pStyle w:val="11"/>
            </w:pPr>
            <w:r>
              <w:t>38.89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71.03</w:t>
            </w:r>
          </w:p>
        </w:tc>
        <w:tc>
          <w:tcPr>
            <w:tcW w:w="2551" w:type="dxa"/>
            <w:vAlign w:val="center"/>
          </w:tcPr>
          <w:p>
            <w:pPr>
              <w:pStyle w:val="11"/>
            </w:pPr>
            <w:r>
              <w:t>71.03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32.05</w:t>
            </w:r>
          </w:p>
        </w:tc>
        <w:tc>
          <w:tcPr>
            <w:tcW w:w="2551" w:type="dxa"/>
            <w:vAlign w:val="center"/>
          </w:tcPr>
          <w:p>
            <w:pPr>
              <w:pStyle w:val="11"/>
            </w:pPr>
            <w:r>
              <w:t>32.05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11.12</w:t>
            </w:r>
          </w:p>
        </w:tc>
        <w:tc>
          <w:tcPr>
            <w:tcW w:w="2551" w:type="dxa"/>
            <w:vAlign w:val="center"/>
          </w:tcPr>
          <w:p>
            <w:pPr>
              <w:pStyle w:val="11"/>
            </w:pPr>
            <w:r>
              <w:t>11.12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14.20</w:t>
            </w:r>
          </w:p>
        </w:tc>
        <w:tc>
          <w:tcPr>
            <w:tcW w:w="2551" w:type="dxa"/>
            <w:vAlign w:val="center"/>
          </w:tcPr>
          <w:p>
            <w:pPr>
              <w:pStyle w:val="11"/>
            </w:pPr>
            <w:r>
              <w:t>14.20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2.19</w:t>
            </w:r>
          </w:p>
        </w:tc>
        <w:tc>
          <w:tcPr>
            <w:tcW w:w="2551" w:type="dxa"/>
            <w:vAlign w:val="center"/>
          </w:tcPr>
          <w:p>
            <w:pPr>
              <w:pStyle w:val="11"/>
            </w:pPr>
            <w:r>
              <w:t>2.19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27.23</w:t>
            </w:r>
          </w:p>
        </w:tc>
        <w:tc>
          <w:tcPr>
            <w:tcW w:w="2551" w:type="dxa"/>
            <w:vAlign w:val="center"/>
          </w:tcPr>
          <w:p>
            <w:pPr>
              <w:pStyle w:val="11"/>
            </w:pPr>
            <w:r>
              <w:t>27.23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32.88</w:t>
            </w:r>
          </w:p>
        </w:tc>
        <w:tc>
          <w:tcPr>
            <w:tcW w:w="2551" w:type="dxa"/>
            <w:vAlign w:val="center"/>
          </w:tcPr>
          <w:p>
            <w:pPr>
              <w:pStyle w:val="11"/>
            </w:pPr>
          </w:p>
        </w:tc>
        <w:tc>
          <w:tcPr>
            <w:tcW w:w="2552" w:type="dxa"/>
            <w:vAlign w:val="center"/>
          </w:tcPr>
          <w:p>
            <w:pPr>
              <w:pStyle w:val="11"/>
            </w:pPr>
            <w:r>
              <w:t>32.88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5.25</w:t>
            </w:r>
          </w:p>
        </w:tc>
        <w:tc>
          <w:tcPr>
            <w:tcW w:w="2551" w:type="dxa"/>
            <w:vAlign w:val="center"/>
          </w:tcPr>
          <w:p>
            <w:pPr>
              <w:pStyle w:val="11"/>
            </w:pPr>
          </w:p>
        </w:tc>
        <w:tc>
          <w:tcPr>
            <w:tcW w:w="2552" w:type="dxa"/>
            <w:vAlign w:val="center"/>
          </w:tcPr>
          <w:p>
            <w:pPr>
              <w:pStyle w:val="11"/>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6.99</w:t>
            </w:r>
          </w:p>
        </w:tc>
        <w:tc>
          <w:tcPr>
            <w:tcW w:w="2551" w:type="dxa"/>
            <w:vAlign w:val="center"/>
          </w:tcPr>
          <w:p>
            <w:pPr>
              <w:pStyle w:val="11"/>
            </w:pPr>
          </w:p>
        </w:tc>
        <w:tc>
          <w:tcPr>
            <w:tcW w:w="2552" w:type="dxa"/>
            <w:vAlign w:val="center"/>
          </w:tcPr>
          <w:p>
            <w:pPr>
              <w:pStyle w:val="11"/>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4.38</w:t>
            </w:r>
          </w:p>
        </w:tc>
        <w:tc>
          <w:tcPr>
            <w:tcW w:w="2551" w:type="dxa"/>
            <w:vAlign w:val="center"/>
          </w:tcPr>
          <w:p>
            <w:pPr>
              <w:pStyle w:val="11"/>
            </w:pPr>
          </w:p>
        </w:tc>
        <w:tc>
          <w:tcPr>
            <w:tcW w:w="2552" w:type="dxa"/>
            <w:vAlign w:val="center"/>
          </w:tcPr>
          <w:p>
            <w:pPr>
              <w:pStyle w:val="11"/>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0.25</w:t>
            </w:r>
          </w:p>
        </w:tc>
        <w:tc>
          <w:tcPr>
            <w:tcW w:w="2551" w:type="dxa"/>
            <w:vAlign w:val="center"/>
          </w:tcPr>
          <w:p>
            <w:pPr>
              <w:pStyle w:val="11"/>
            </w:pPr>
          </w:p>
        </w:tc>
        <w:tc>
          <w:tcPr>
            <w:tcW w:w="2552"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3.18</w:t>
            </w:r>
          </w:p>
        </w:tc>
        <w:tc>
          <w:tcPr>
            <w:tcW w:w="2551" w:type="dxa"/>
            <w:vAlign w:val="center"/>
          </w:tcPr>
          <w:p>
            <w:pPr>
              <w:pStyle w:val="11"/>
            </w:pPr>
          </w:p>
        </w:tc>
        <w:tc>
          <w:tcPr>
            <w:tcW w:w="2552" w:type="dxa"/>
            <w:vAlign w:val="center"/>
          </w:tcPr>
          <w:p>
            <w:pPr>
              <w:pStyle w:val="11"/>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2.82</w:t>
            </w:r>
          </w:p>
        </w:tc>
        <w:tc>
          <w:tcPr>
            <w:tcW w:w="2551" w:type="dxa"/>
            <w:vAlign w:val="center"/>
          </w:tcPr>
          <w:p>
            <w:pPr>
              <w:pStyle w:val="11"/>
            </w:pPr>
          </w:p>
        </w:tc>
        <w:tc>
          <w:tcPr>
            <w:tcW w:w="2552" w:type="dxa"/>
            <w:vAlign w:val="center"/>
          </w:tcPr>
          <w:p>
            <w:pPr>
              <w:pStyle w:val="11"/>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4.51</w:t>
            </w:r>
          </w:p>
        </w:tc>
        <w:tc>
          <w:tcPr>
            <w:tcW w:w="2551" w:type="dxa"/>
            <w:vAlign w:val="center"/>
          </w:tcPr>
          <w:p>
            <w:pPr>
              <w:pStyle w:val="11"/>
            </w:pPr>
          </w:p>
        </w:tc>
        <w:tc>
          <w:tcPr>
            <w:tcW w:w="2552" w:type="dxa"/>
            <w:vAlign w:val="center"/>
          </w:tcPr>
          <w:p>
            <w:pPr>
              <w:pStyle w:val="11"/>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5.04</w:t>
            </w:r>
          </w:p>
        </w:tc>
        <w:tc>
          <w:tcPr>
            <w:tcW w:w="2551" w:type="dxa"/>
            <w:vAlign w:val="center"/>
          </w:tcPr>
          <w:p>
            <w:pPr>
              <w:pStyle w:val="11"/>
            </w:pPr>
          </w:p>
        </w:tc>
        <w:tc>
          <w:tcPr>
            <w:tcW w:w="2552"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0.46</w:t>
            </w:r>
          </w:p>
        </w:tc>
        <w:tc>
          <w:tcPr>
            <w:tcW w:w="2551" w:type="dxa"/>
            <w:vAlign w:val="center"/>
          </w:tcPr>
          <w:p>
            <w:pPr>
              <w:pStyle w:val="11"/>
            </w:pPr>
          </w:p>
        </w:tc>
        <w:tc>
          <w:tcPr>
            <w:tcW w:w="2552"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14.37</w:t>
            </w:r>
          </w:p>
        </w:tc>
        <w:tc>
          <w:tcPr>
            <w:tcW w:w="2551" w:type="dxa"/>
            <w:vAlign w:val="center"/>
          </w:tcPr>
          <w:p>
            <w:pPr>
              <w:pStyle w:val="11"/>
            </w:pPr>
            <w:r>
              <w:t>14.37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14.07</w:t>
            </w:r>
          </w:p>
        </w:tc>
        <w:tc>
          <w:tcPr>
            <w:tcW w:w="2551" w:type="dxa"/>
            <w:vAlign w:val="center"/>
          </w:tcPr>
          <w:p>
            <w:pPr>
              <w:pStyle w:val="11"/>
            </w:pPr>
            <w:r>
              <w:t>14.07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0.30</w:t>
            </w:r>
          </w:p>
        </w:tc>
        <w:tc>
          <w:tcPr>
            <w:tcW w:w="2551" w:type="dxa"/>
            <w:vAlign w:val="center"/>
          </w:tcPr>
          <w:p>
            <w:pPr>
              <w:pStyle w:val="11"/>
            </w:pPr>
            <w:r>
              <w:t>0.30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224" w:type="dxa"/>
            <w:vMerge w:val="restart"/>
            <w:vAlign w:val="center"/>
          </w:tcPr>
          <w:p>
            <w:pPr>
              <w:pStyle w:val="10"/>
            </w:pPr>
            <w:r>
              <w:t>项  目</w:t>
            </w:r>
          </w:p>
        </w:tc>
        <w:tc>
          <w:tcPr>
            <w:tcW w:w="909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4224" w:type="dxa"/>
            <w:vMerge w:val="continue"/>
          </w:tcPr>
          <w:p/>
        </w:tc>
        <w:tc>
          <w:tcPr>
            <w:tcW w:w="1956"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224" w:type="dxa"/>
            <w:vAlign w:val="center"/>
          </w:tcPr>
          <w:p>
            <w:pPr>
              <w:pStyle w:val="10"/>
            </w:pPr>
            <w:r>
              <w:t>1</w:t>
            </w:r>
          </w:p>
        </w:tc>
        <w:tc>
          <w:tcPr>
            <w:tcW w:w="1956"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1</w:t>
            </w:r>
          </w:p>
        </w:tc>
        <w:tc>
          <w:tcPr>
            <w:tcW w:w="4224" w:type="dxa"/>
            <w:vAlign w:val="center"/>
          </w:tcPr>
          <w:p>
            <w:pPr>
              <w:pStyle w:val="12"/>
              <w:jc w:val="both"/>
            </w:pPr>
            <w:r>
              <w:t>“</w:t>
            </w:r>
            <w:r>
              <w:rPr>
                <w:rFonts w:hint="eastAsia"/>
              </w:rPr>
              <w:t>三公</w:t>
            </w:r>
            <w:r>
              <w:t>”</w:t>
            </w:r>
            <w:r>
              <w:rPr>
                <w:rFonts w:hint="eastAsia"/>
              </w:rPr>
              <w:t>经费小计</w:t>
            </w:r>
          </w:p>
        </w:tc>
        <w:tc>
          <w:tcPr>
            <w:tcW w:w="1956" w:type="dxa"/>
            <w:vAlign w:val="center"/>
          </w:tcPr>
          <w:p>
            <w:pPr>
              <w:pStyle w:val="12"/>
              <w:jc w:val="right"/>
              <w:rPr>
                <w:rFonts w:hint="eastAsia"/>
              </w:rPr>
            </w:pPr>
            <w:r>
              <w:t>4.76</w:t>
            </w:r>
          </w:p>
        </w:tc>
        <w:tc>
          <w:tcPr>
            <w:tcW w:w="2381" w:type="dxa"/>
            <w:vAlign w:val="center"/>
          </w:tcPr>
          <w:p>
            <w:pPr>
              <w:pStyle w:val="12"/>
              <w:jc w:val="right"/>
            </w:pPr>
            <w:r>
              <w:t>4.76</w:t>
            </w:r>
          </w:p>
        </w:tc>
        <w:tc>
          <w:tcPr>
            <w:tcW w:w="2381" w:type="dxa"/>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2</w:t>
            </w:r>
          </w:p>
        </w:tc>
        <w:tc>
          <w:tcPr>
            <w:tcW w:w="4224" w:type="dxa"/>
            <w:vAlign w:val="center"/>
          </w:tcPr>
          <w:p>
            <w:pPr>
              <w:pStyle w:val="12"/>
              <w:jc w:val="both"/>
            </w:pPr>
            <w:r>
              <w:rPr>
                <w:rFonts w:hint="eastAsia"/>
              </w:rPr>
              <w:t>一、因公出国（境）费</w:t>
            </w:r>
          </w:p>
        </w:tc>
        <w:tc>
          <w:tcPr>
            <w:tcW w:w="1956" w:type="dxa"/>
            <w:vAlign w:val="center"/>
          </w:tcPr>
          <w:p>
            <w:pPr>
              <w:pStyle w:val="12"/>
              <w:jc w:val="right"/>
            </w:pPr>
            <w:r>
              <w:t>0</w:t>
            </w:r>
          </w:p>
        </w:tc>
        <w:tc>
          <w:tcPr>
            <w:tcW w:w="2381" w:type="dxa"/>
            <w:vAlign w:val="center"/>
          </w:tcPr>
          <w:p>
            <w:pPr>
              <w:pStyle w:val="12"/>
              <w:jc w:val="right"/>
            </w:pPr>
            <w:r>
              <w:t>0</w:t>
            </w:r>
          </w:p>
        </w:tc>
        <w:tc>
          <w:tcPr>
            <w:tcW w:w="2381" w:type="dxa"/>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3</w:t>
            </w:r>
          </w:p>
        </w:tc>
        <w:tc>
          <w:tcPr>
            <w:tcW w:w="4224" w:type="dxa"/>
            <w:vAlign w:val="center"/>
          </w:tcPr>
          <w:p>
            <w:pPr>
              <w:pStyle w:val="12"/>
              <w:jc w:val="both"/>
            </w:pPr>
            <w:r>
              <w:rPr>
                <w:rFonts w:hint="eastAsia"/>
              </w:rPr>
              <w:t>其中：教学科研人员因公出国（境）费</w:t>
            </w:r>
          </w:p>
        </w:tc>
        <w:tc>
          <w:tcPr>
            <w:tcW w:w="1956" w:type="dxa"/>
            <w:vAlign w:val="center"/>
          </w:tcPr>
          <w:p>
            <w:pPr>
              <w:pStyle w:val="12"/>
              <w:jc w:val="right"/>
            </w:pPr>
            <w:r>
              <w:t>0</w:t>
            </w:r>
          </w:p>
        </w:tc>
        <w:tc>
          <w:tcPr>
            <w:tcW w:w="2381" w:type="dxa"/>
            <w:vAlign w:val="center"/>
          </w:tcPr>
          <w:p>
            <w:pPr>
              <w:pStyle w:val="12"/>
              <w:jc w:val="right"/>
            </w:pPr>
            <w:r>
              <w:t>0</w:t>
            </w:r>
          </w:p>
        </w:tc>
        <w:tc>
          <w:tcPr>
            <w:tcW w:w="2381" w:type="dxa"/>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4</w:t>
            </w:r>
          </w:p>
        </w:tc>
        <w:tc>
          <w:tcPr>
            <w:tcW w:w="4224" w:type="dxa"/>
            <w:vAlign w:val="center"/>
          </w:tcPr>
          <w:p>
            <w:pPr>
              <w:pStyle w:val="12"/>
              <w:jc w:val="both"/>
            </w:pPr>
            <w:r>
              <w:rPr>
                <w:rFonts w:hint="eastAsia"/>
              </w:rPr>
              <w:t>其他因公出国（境）费</w:t>
            </w:r>
          </w:p>
        </w:tc>
        <w:tc>
          <w:tcPr>
            <w:tcW w:w="1956" w:type="dxa"/>
            <w:vAlign w:val="center"/>
          </w:tcPr>
          <w:p>
            <w:pPr>
              <w:pStyle w:val="12"/>
              <w:jc w:val="right"/>
            </w:pPr>
            <w:r>
              <w:t>0</w:t>
            </w:r>
          </w:p>
        </w:tc>
        <w:tc>
          <w:tcPr>
            <w:tcW w:w="2381" w:type="dxa"/>
            <w:vAlign w:val="center"/>
          </w:tcPr>
          <w:p>
            <w:pPr>
              <w:pStyle w:val="12"/>
              <w:jc w:val="right"/>
            </w:pPr>
            <w:r>
              <w:t>0</w:t>
            </w:r>
          </w:p>
        </w:tc>
        <w:tc>
          <w:tcPr>
            <w:tcW w:w="2381" w:type="dxa"/>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5</w:t>
            </w:r>
          </w:p>
        </w:tc>
        <w:tc>
          <w:tcPr>
            <w:tcW w:w="4224" w:type="dxa"/>
            <w:vAlign w:val="center"/>
          </w:tcPr>
          <w:p>
            <w:pPr>
              <w:pStyle w:val="12"/>
              <w:jc w:val="both"/>
            </w:pPr>
            <w:r>
              <w:rPr>
                <w:rFonts w:hint="eastAsia"/>
              </w:rPr>
              <w:t>二、公务用车购置及运维费</w:t>
            </w:r>
          </w:p>
        </w:tc>
        <w:tc>
          <w:tcPr>
            <w:tcW w:w="1956" w:type="dxa"/>
            <w:vAlign w:val="center"/>
          </w:tcPr>
          <w:p>
            <w:pPr>
              <w:pStyle w:val="12"/>
              <w:jc w:val="right"/>
            </w:pPr>
            <w:r>
              <w:t>4.51</w:t>
            </w:r>
          </w:p>
        </w:tc>
        <w:tc>
          <w:tcPr>
            <w:tcW w:w="2381" w:type="dxa"/>
            <w:vAlign w:val="center"/>
          </w:tcPr>
          <w:p>
            <w:pPr>
              <w:pStyle w:val="12"/>
              <w:jc w:val="right"/>
            </w:pPr>
            <w:r>
              <w:t>4.51</w:t>
            </w:r>
          </w:p>
        </w:tc>
        <w:tc>
          <w:tcPr>
            <w:tcW w:w="2381" w:type="dxa"/>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6</w:t>
            </w:r>
          </w:p>
        </w:tc>
        <w:tc>
          <w:tcPr>
            <w:tcW w:w="4224" w:type="dxa"/>
            <w:vAlign w:val="center"/>
          </w:tcPr>
          <w:p>
            <w:pPr>
              <w:pStyle w:val="12"/>
              <w:jc w:val="both"/>
            </w:pPr>
            <w:r>
              <w:rPr>
                <w:rFonts w:hint="eastAsia"/>
              </w:rPr>
              <w:t>其中：公务用车购置费</w:t>
            </w:r>
          </w:p>
        </w:tc>
        <w:tc>
          <w:tcPr>
            <w:tcW w:w="1956" w:type="dxa"/>
            <w:vAlign w:val="center"/>
          </w:tcPr>
          <w:p>
            <w:pPr>
              <w:pStyle w:val="12"/>
              <w:jc w:val="right"/>
            </w:pPr>
            <w:r>
              <w:t>0</w:t>
            </w:r>
          </w:p>
        </w:tc>
        <w:tc>
          <w:tcPr>
            <w:tcW w:w="2381" w:type="dxa"/>
            <w:vAlign w:val="center"/>
          </w:tcPr>
          <w:p>
            <w:pPr>
              <w:pStyle w:val="12"/>
              <w:jc w:val="right"/>
            </w:pPr>
            <w:r>
              <w:t>0</w:t>
            </w:r>
          </w:p>
        </w:tc>
        <w:tc>
          <w:tcPr>
            <w:tcW w:w="2381" w:type="dxa"/>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7</w:t>
            </w:r>
          </w:p>
        </w:tc>
        <w:tc>
          <w:tcPr>
            <w:tcW w:w="4224" w:type="dxa"/>
            <w:vAlign w:val="center"/>
          </w:tcPr>
          <w:p>
            <w:pPr>
              <w:pStyle w:val="12"/>
              <w:jc w:val="both"/>
            </w:pPr>
            <w:r>
              <w:rPr>
                <w:rFonts w:hint="eastAsia"/>
              </w:rPr>
              <w:t>公务用车运行维护费</w:t>
            </w:r>
          </w:p>
        </w:tc>
        <w:tc>
          <w:tcPr>
            <w:tcW w:w="1956" w:type="dxa"/>
            <w:vAlign w:val="center"/>
          </w:tcPr>
          <w:p>
            <w:pPr>
              <w:pStyle w:val="12"/>
              <w:jc w:val="right"/>
            </w:pPr>
            <w:r>
              <w:t>4.51</w:t>
            </w:r>
          </w:p>
        </w:tc>
        <w:tc>
          <w:tcPr>
            <w:tcW w:w="2381" w:type="dxa"/>
            <w:vAlign w:val="center"/>
          </w:tcPr>
          <w:p>
            <w:pPr>
              <w:pStyle w:val="12"/>
              <w:jc w:val="right"/>
            </w:pPr>
            <w:r>
              <w:t>4.51</w:t>
            </w:r>
          </w:p>
        </w:tc>
        <w:tc>
          <w:tcPr>
            <w:tcW w:w="2381" w:type="dxa"/>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jc w:val="center"/>
              <w:rPr>
                <w:rFonts w:hint="eastAsia"/>
              </w:rPr>
            </w:pPr>
            <w:r>
              <w:rPr>
                <w:rFonts w:hint="eastAsia"/>
              </w:rPr>
              <w:t>8</w:t>
            </w:r>
          </w:p>
        </w:tc>
        <w:tc>
          <w:tcPr>
            <w:tcW w:w="4224" w:type="dxa"/>
            <w:vAlign w:val="center"/>
          </w:tcPr>
          <w:p>
            <w:pPr>
              <w:pStyle w:val="12"/>
              <w:jc w:val="both"/>
            </w:pPr>
            <w:r>
              <w:rPr>
                <w:rFonts w:hint="eastAsia"/>
              </w:rPr>
              <w:t>三、公务接待费</w:t>
            </w:r>
          </w:p>
        </w:tc>
        <w:tc>
          <w:tcPr>
            <w:tcW w:w="1956" w:type="dxa"/>
            <w:vAlign w:val="center"/>
          </w:tcPr>
          <w:p>
            <w:pPr>
              <w:pStyle w:val="12"/>
              <w:jc w:val="right"/>
            </w:pPr>
            <w:r>
              <w:t>0.25</w:t>
            </w:r>
          </w:p>
        </w:tc>
        <w:tc>
          <w:tcPr>
            <w:tcW w:w="2381" w:type="dxa"/>
            <w:vAlign w:val="center"/>
          </w:tcPr>
          <w:p>
            <w:pPr>
              <w:pStyle w:val="12"/>
              <w:jc w:val="right"/>
            </w:pPr>
            <w:r>
              <w:t>0.25</w:t>
            </w:r>
          </w:p>
        </w:tc>
        <w:tc>
          <w:tcPr>
            <w:tcW w:w="2381" w:type="dxa"/>
            <w:vAlign w:val="center"/>
          </w:tcPr>
          <w:p>
            <w:pPr>
              <w:pStyle w:val="11"/>
              <w:jc w:val="center"/>
            </w:pPr>
          </w:p>
        </w:tc>
        <w:tc>
          <w:tcPr>
            <w:tcW w:w="2381" w:type="dxa"/>
            <w:vAlign w:val="center"/>
          </w:tcPr>
          <w:p>
            <w:pPr>
              <w:pStyle w:val="11"/>
              <w:jc w:val="center"/>
            </w:pPr>
          </w:p>
        </w:tc>
      </w:tr>
    </w:tbl>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44"/>
        </w:rPr>
        <w:t>秦皇岛市海港区信访局本级2024年单位预算信息公开情况说明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按照《中华人民共和国预算法》、《地方预决算公开操作规程》和《关于进一步推进预算公开工作的实施意见》规定，现将秦皇岛市海港区信访局本级2024年单位预算公开如下：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rPr>
          <w:rFonts w:hint="eastAsia"/>
        </w:rPr>
        <w:t>（一）贯彻落实上级有关信访工作的政策法规和决策部署，研究提出全区信访工作思路，制定具体落实措施。</w:t>
      </w:r>
    </w:p>
    <w:p>
      <w:pPr>
        <w:pStyle w:val="27"/>
      </w:pPr>
      <w:r>
        <w:rPr>
          <w:rFonts w:hint="eastAsia"/>
        </w:rPr>
        <w:t>（二）办理人民群众来信，接待群众来访，受理群众网上投诉，查办信访案件，受理信访事项复查复核，负责人民群众建议征集工作。</w:t>
      </w:r>
    </w:p>
    <w:p>
      <w:pPr>
        <w:pStyle w:val="27"/>
      </w:pPr>
      <w:r>
        <w:rPr>
          <w:rFonts w:hint="eastAsia"/>
        </w:rPr>
        <w:t>（三）调查研究和综合分析全区信访形势及信访工作状况，总结推广信访工作经验，提出改进和加强信访工作的意见和建议。</w:t>
      </w:r>
    </w:p>
    <w:p>
      <w:pPr>
        <w:pStyle w:val="27"/>
      </w:pPr>
      <w:r>
        <w:rPr>
          <w:rFonts w:hint="eastAsia"/>
        </w:rPr>
        <w:t>（四）参与全区社会治安综合治理和维护社会政治稳定工作，协助保障国家和省、市、区重大政治活动顺利进行，参与处理影响社会政治稳定的突发性、群体性事件。</w:t>
      </w:r>
    </w:p>
    <w:p>
      <w:pPr>
        <w:pStyle w:val="27"/>
      </w:pPr>
      <w:r>
        <w:rPr>
          <w:rFonts w:hint="eastAsia"/>
        </w:rPr>
        <w:t>（五）督促检查和指导全区各级党委、政府和区直部门的信访工作。对下级信访部门进行业务指导。负责全区信访工作年度责任目标的考核工作，对全区社会治安综合治理和维护社会政治稳定年度责任目标中有关信访工作进行考核。</w:t>
      </w:r>
    </w:p>
    <w:p>
      <w:pPr>
        <w:pStyle w:val="27"/>
      </w:pPr>
      <w:r>
        <w:rPr>
          <w:rFonts w:hint="eastAsia"/>
        </w:rPr>
        <w:t>（六）负责协调处理我区群众进京、赴省、到市上访工作，综合协调处理跨地区、跨部门、跨行业的重要信访问题。协助公安机关维护区委、区政府机关正常工作秩序。</w:t>
      </w:r>
    </w:p>
    <w:p>
      <w:pPr>
        <w:pStyle w:val="27"/>
      </w:pPr>
      <w:r>
        <w:rPr>
          <w:rFonts w:hint="eastAsia"/>
        </w:rPr>
        <w:t>（七）负责区级领导公开接访、包联案件的组织协调工作。指导镇（街）领导和区直部门领导公开接访和包联案件工作。</w:t>
      </w:r>
    </w:p>
    <w:p>
      <w:pPr>
        <w:pStyle w:val="27"/>
      </w:pPr>
      <w:r>
        <w:rPr>
          <w:rFonts w:hint="eastAsia"/>
        </w:rPr>
        <w:t>（八）承担区信访工作联席会议的日常工作，督促落实联席会议议定的事项。</w:t>
      </w:r>
    </w:p>
    <w:p>
      <w:pPr>
        <w:pStyle w:val="17"/>
      </w:pPr>
      <w:r>
        <w:rPr>
          <w:rFonts w:hint="eastAsia"/>
        </w:rPr>
        <w:t>（九）完成区委、区政府以及国家信访局、省信访局、市信访局交办的其他任务。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7"/>
        <w:rPr>
          <w:rFonts w:hint="eastAsia"/>
        </w:rPr>
      </w:pPr>
      <w:r>
        <w:rPr>
          <w:rFonts w:hint="eastAsia"/>
        </w:rPr>
        <w:t>按照预算管理有关规定，目前我省</w:t>
      </w:r>
      <w:r>
        <w:rPr>
          <w:rFonts w:hint="eastAsia"/>
          <w:lang w:eastAsia="zh-CN"/>
        </w:rPr>
        <w:t>单位</w:t>
      </w:r>
      <w:r>
        <w:rPr>
          <w:rFonts w:hint="eastAsia"/>
        </w:rPr>
        <w:t>预算的编制实行综合预算管理，即全部收入和支出都反映在预算中。</w:t>
      </w:r>
    </w:p>
    <w:p>
      <w:pPr>
        <w:pStyle w:val="18"/>
      </w:pPr>
    </w:p>
    <w:p>
      <w:pPr>
        <w:spacing w:before="10" w:after="10"/>
        <w:ind w:firstLine="640"/>
        <w:outlineLvl w:val="5"/>
      </w:pPr>
      <w:r>
        <w:rPr>
          <w:rFonts w:ascii="黑体" w:hAnsi="黑体" w:eastAsia="黑体" w:cs="黑体"/>
          <w:color w:val="000000"/>
          <w:sz w:val="32"/>
        </w:rPr>
        <w:t>三、机关运行经费安排情况</w:t>
      </w:r>
    </w:p>
    <w:p>
      <w:pPr>
        <w:pStyle w:val="27"/>
        <w:rPr>
          <w:rFonts w:hint="eastAsia"/>
          <w:lang w:eastAsia="zh-CN"/>
        </w:rPr>
      </w:pPr>
      <w:r>
        <w:rPr>
          <w:rFonts w:hint="eastAsia"/>
        </w:rPr>
        <w:t>机关运行经费共计安排32.88万元，主要用于单位日常办公运转所需支出。包括：办公费</w:t>
      </w:r>
      <w:r>
        <w:tab/>
      </w:r>
      <w:r>
        <w:t>5.25</w:t>
      </w:r>
      <w:r>
        <w:rPr>
          <w:rFonts w:hint="eastAsia"/>
        </w:rPr>
        <w:t>万元、电费</w:t>
      </w:r>
      <w:r>
        <w:t>6.99</w:t>
      </w:r>
      <w:r>
        <w:rPr>
          <w:rFonts w:hint="eastAsia"/>
        </w:rPr>
        <w:t>万元、邮电费</w:t>
      </w:r>
      <w:r>
        <w:t>4.38</w:t>
      </w:r>
      <w:r>
        <w:rPr>
          <w:rFonts w:hint="eastAsia"/>
        </w:rPr>
        <w:t>万元、公务接待费</w:t>
      </w:r>
      <w:r>
        <w:t>0.25</w:t>
      </w:r>
      <w:r>
        <w:rPr>
          <w:rFonts w:hint="eastAsia"/>
        </w:rPr>
        <w:t>万元、工会经费</w:t>
      </w:r>
      <w:r>
        <w:t>3.18</w:t>
      </w:r>
      <w:r>
        <w:rPr>
          <w:rFonts w:hint="eastAsia"/>
        </w:rPr>
        <w:t>万元、福利费</w:t>
      </w:r>
      <w:r>
        <w:tab/>
      </w:r>
      <w:r>
        <w:t>2.82</w:t>
      </w:r>
      <w:r>
        <w:rPr>
          <w:rFonts w:hint="eastAsia"/>
        </w:rPr>
        <w:t>万元、公务用车运行维护费</w:t>
      </w:r>
      <w:r>
        <w:t>4.51</w:t>
      </w:r>
      <w:r>
        <w:rPr>
          <w:rFonts w:hint="eastAsia"/>
        </w:rPr>
        <w:t>万元、其他交通费用</w:t>
      </w:r>
      <w:r>
        <w:t>5.04</w:t>
      </w:r>
      <w:r>
        <w:rPr>
          <w:rFonts w:hint="eastAsia"/>
        </w:rPr>
        <w:t>万元、其他商品和服务支出</w:t>
      </w:r>
      <w:r>
        <w:t>0.46</w:t>
      </w:r>
      <w:r>
        <w:rPr>
          <w:rFonts w:hint="eastAsia"/>
        </w:rPr>
        <w:t>万元。</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28"/>
        <w:rPr>
          <w:rFonts w:hint="eastAsia"/>
        </w:rPr>
      </w:pPr>
      <w:r>
        <w:rPr>
          <w:rFonts w:hint="eastAsia"/>
        </w:rPr>
        <w:t>2024年，我</w:t>
      </w:r>
      <w:r>
        <w:rPr>
          <w:rFonts w:hint="eastAsia"/>
          <w:lang w:eastAsia="zh-CN"/>
        </w:rPr>
        <w:t>单位</w:t>
      </w:r>
      <w:r>
        <w:rPr>
          <w:rFonts w:hint="eastAsia"/>
        </w:rPr>
        <w:t>财政拨款“三公”经费预算安排4.76万元，其中：因公出国（境）费0万元；公务用车购置及运维费4.51万元（其中：公务用车购置费为0万元，公务用车运行维护费4.51万元）；公务接待费0.25万元。与2023年相比较没有变化。</w:t>
      </w:r>
    </w:p>
    <w:p>
      <w:pPr>
        <w:spacing w:before="10" w:after="10"/>
        <w:ind w:firstLine="640"/>
        <w:outlineLvl w:val="5"/>
        <w:rPr>
          <w:rFonts w:hint="eastAsia"/>
          <w:lang w:eastAsia="zh-CN"/>
        </w:rPr>
      </w:pP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1、群众工作中心经费绩效目标表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13030224P00308P125802</w:t>
            </w:r>
          </w:p>
        </w:tc>
        <w:tc>
          <w:tcPr>
            <w:tcW w:w="2835" w:type="dxa"/>
            <w:vAlign w:val="center"/>
          </w:tcPr>
          <w:p>
            <w:pPr>
              <w:pStyle w:val="10"/>
            </w:pPr>
            <w:r>
              <w:t>项目名称</w:t>
            </w:r>
          </w:p>
        </w:tc>
        <w:tc>
          <w:tcPr>
            <w:tcW w:w="6095" w:type="dxa"/>
            <w:gridSpan w:val="3"/>
            <w:vAlign w:val="center"/>
          </w:tcPr>
          <w:p>
            <w:pPr>
              <w:pStyle w:val="12"/>
            </w:pPr>
            <w:r>
              <w:t>群众工作中心经费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全年支出总计10万元。明细如下：</w:t>
            </w:r>
          </w:p>
          <w:p>
            <w:pPr>
              <w:pStyle w:val="12"/>
            </w:pPr>
            <w:r>
              <w:t>1、涉密文件1万元。</w:t>
            </w:r>
          </w:p>
          <w:p>
            <w:pPr>
              <w:pStyle w:val="12"/>
            </w:pPr>
            <w:r>
              <w:t>2、中心环境修缮费3万元。</w:t>
            </w:r>
          </w:p>
          <w:p>
            <w:pPr>
              <w:pStyle w:val="12"/>
            </w:pPr>
            <w:r>
              <w:t>3、日常支出4万元。</w:t>
            </w:r>
          </w:p>
          <w:p>
            <w:pPr>
              <w:pStyle w:val="12"/>
            </w:pPr>
            <w:r>
              <w:t>4、网络维护、监控设备维护2万元。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1.通过受理信、电、网及来访案件，时限内完成三级答复，化解社会矛盾。</w:t>
            </w:r>
          </w:p>
          <w:p>
            <w:pPr>
              <w:pStyle w:val="12"/>
            </w:pPr>
            <w:r>
              <w:t>2.及时完成上级交办的转送任务，促进社会和谐进步。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群众来访接待受理人员人次</w:t>
            </w:r>
          </w:p>
        </w:tc>
        <w:tc>
          <w:tcPr>
            <w:tcW w:w="5386" w:type="dxa"/>
            <w:vAlign w:val="center"/>
          </w:tcPr>
          <w:p>
            <w:pPr>
              <w:pStyle w:val="12"/>
            </w:pPr>
            <w:r>
              <w:t>接待全部来访人员，依法依规进行解答</w:t>
            </w:r>
          </w:p>
        </w:tc>
        <w:tc>
          <w:tcPr>
            <w:tcW w:w="2268" w:type="dxa"/>
            <w:vAlign w:val="center"/>
          </w:tcPr>
          <w:p>
            <w:pPr>
              <w:pStyle w:val="12"/>
            </w:pPr>
            <w:r>
              <w:t>≥1500次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受理案件办理答复率</w:t>
            </w:r>
          </w:p>
        </w:tc>
        <w:tc>
          <w:tcPr>
            <w:tcW w:w="5386" w:type="dxa"/>
            <w:vAlign w:val="center"/>
          </w:tcPr>
          <w:p>
            <w:pPr>
              <w:pStyle w:val="12"/>
            </w:pPr>
            <w:r>
              <w:t>对受理案件按上级相关文件规定及时答复</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受理案件办理天数</w:t>
            </w:r>
          </w:p>
        </w:tc>
        <w:tc>
          <w:tcPr>
            <w:tcW w:w="5386" w:type="dxa"/>
            <w:vAlign w:val="center"/>
          </w:tcPr>
          <w:p>
            <w:pPr>
              <w:pStyle w:val="12"/>
            </w:pPr>
            <w:r>
              <w:t>对受理的案件在规定时限内完成三级答复</w:t>
            </w:r>
          </w:p>
        </w:tc>
        <w:tc>
          <w:tcPr>
            <w:tcW w:w="2268" w:type="dxa"/>
            <w:vAlign w:val="center"/>
          </w:tcPr>
          <w:p>
            <w:pPr>
              <w:pStyle w:val="12"/>
            </w:pPr>
            <w:r>
              <w:t>≤60天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按照计划及预算合理控制费用支出</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信访形势整体稳定</w:t>
            </w:r>
          </w:p>
        </w:tc>
        <w:tc>
          <w:tcPr>
            <w:tcW w:w="5386" w:type="dxa"/>
            <w:vAlign w:val="center"/>
          </w:tcPr>
          <w:p>
            <w:pPr>
              <w:pStyle w:val="12"/>
            </w:pPr>
            <w:r>
              <w:t>保持信访形势稳定</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越级上访率</w:t>
            </w:r>
          </w:p>
        </w:tc>
        <w:tc>
          <w:tcPr>
            <w:tcW w:w="5386" w:type="dxa"/>
            <w:vAlign w:val="center"/>
          </w:tcPr>
          <w:p>
            <w:pPr>
              <w:pStyle w:val="12"/>
            </w:pPr>
            <w:r>
              <w:t>吸附信访人在当地</w:t>
            </w:r>
          </w:p>
        </w:tc>
        <w:tc>
          <w:tcPr>
            <w:tcW w:w="2268" w:type="dxa"/>
            <w:vAlign w:val="center"/>
          </w:tcPr>
          <w:p>
            <w:pPr>
              <w:pStyle w:val="12"/>
            </w:pPr>
            <w:r>
              <w:t>下降60%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群众对信访工作处理的满意程度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2、信访救助金绩效目标表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13030224P00308P12584G</w:t>
            </w:r>
          </w:p>
        </w:tc>
        <w:tc>
          <w:tcPr>
            <w:tcW w:w="2835" w:type="dxa"/>
            <w:vAlign w:val="center"/>
          </w:tcPr>
          <w:p>
            <w:pPr>
              <w:pStyle w:val="10"/>
            </w:pPr>
            <w:r>
              <w:t>项目名称</w:t>
            </w:r>
          </w:p>
        </w:tc>
        <w:tc>
          <w:tcPr>
            <w:tcW w:w="6095" w:type="dxa"/>
            <w:gridSpan w:val="3"/>
            <w:vAlign w:val="center"/>
          </w:tcPr>
          <w:p>
            <w:pPr>
              <w:pStyle w:val="12"/>
            </w:pPr>
            <w:r>
              <w:t>信访救助金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拟申请经费10万元，救助对象不定。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1.1.通过及时发放救助金工作，解决疑难信访问题</w:t>
            </w:r>
          </w:p>
          <w:p>
            <w:pPr>
              <w:pStyle w:val="12"/>
            </w:pPr>
            <w:r>
              <w:t>2.2.通过化解矛盾，促使信访人对此信访案件息诉罢访，稳定社会秩序。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符合救助条件的信访人员数量</w:t>
            </w:r>
          </w:p>
        </w:tc>
        <w:tc>
          <w:tcPr>
            <w:tcW w:w="5386" w:type="dxa"/>
            <w:vAlign w:val="center"/>
          </w:tcPr>
          <w:p>
            <w:pPr>
              <w:pStyle w:val="12"/>
            </w:pPr>
            <w:r>
              <w:t>对符合文件规定条件的信访对象发放救助金</w:t>
            </w:r>
          </w:p>
        </w:tc>
        <w:tc>
          <w:tcPr>
            <w:tcW w:w="2268" w:type="dxa"/>
            <w:vAlign w:val="center"/>
          </w:tcPr>
          <w:p>
            <w:pPr>
              <w:pStyle w:val="12"/>
            </w:pPr>
            <w:r>
              <w:t>≤10人</w:t>
            </w:r>
          </w:p>
        </w:tc>
        <w:tc>
          <w:tcPr>
            <w:tcW w:w="1276" w:type="dxa"/>
            <w:vAlign w:val="center"/>
          </w:tcPr>
          <w:p>
            <w:pPr>
              <w:pStyle w:val="12"/>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救助金发放合规性</w:t>
            </w:r>
          </w:p>
        </w:tc>
        <w:tc>
          <w:tcPr>
            <w:tcW w:w="5386" w:type="dxa"/>
            <w:vAlign w:val="center"/>
          </w:tcPr>
          <w:p>
            <w:pPr>
              <w:pStyle w:val="12"/>
            </w:pPr>
            <w:r>
              <w:t>救助金发放严格按文件规定条件及标准执行</w:t>
            </w:r>
          </w:p>
        </w:tc>
        <w:tc>
          <w:tcPr>
            <w:tcW w:w="2268" w:type="dxa"/>
            <w:vAlign w:val="center"/>
          </w:tcPr>
          <w:p>
            <w:pPr>
              <w:pStyle w:val="12"/>
            </w:pPr>
            <w:r>
              <w:t>100%</w:t>
            </w:r>
          </w:p>
        </w:tc>
        <w:tc>
          <w:tcPr>
            <w:tcW w:w="1276" w:type="dxa"/>
            <w:vAlign w:val="center"/>
          </w:tcPr>
          <w:p>
            <w:pPr>
              <w:pStyle w:val="12"/>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救助工作及时率</w:t>
            </w:r>
          </w:p>
        </w:tc>
        <w:tc>
          <w:tcPr>
            <w:tcW w:w="5386" w:type="dxa"/>
            <w:vAlign w:val="center"/>
          </w:tcPr>
          <w:p>
            <w:pPr>
              <w:pStyle w:val="12"/>
            </w:pPr>
            <w:r>
              <w:t>对本年度需要救助的人，依法依规按时对其发放</w:t>
            </w:r>
          </w:p>
        </w:tc>
        <w:tc>
          <w:tcPr>
            <w:tcW w:w="2268" w:type="dxa"/>
            <w:vAlign w:val="center"/>
          </w:tcPr>
          <w:p>
            <w:pPr>
              <w:pStyle w:val="12"/>
            </w:pPr>
            <w:r>
              <w:t>100%</w:t>
            </w:r>
          </w:p>
        </w:tc>
        <w:tc>
          <w:tcPr>
            <w:tcW w:w="1276" w:type="dxa"/>
            <w:vAlign w:val="center"/>
          </w:tcPr>
          <w:p>
            <w:pPr>
              <w:pStyle w:val="12"/>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在年度预算额度合理控制救助金支出</w:t>
            </w:r>
          </w:p>
        </w:tc>
        <w:tc>
          <w:tcPr>
            <w:tcW w:w="2268" w:type="dxa"/>
            <w:vAlign w:val="center"/>
          </w:tcPr>
          <w:p>
            <w:pPr>
              <w:pStyle w:val="12"/>
            </w:pPr>
            <w:r>
              <w:t>≤10万元</w:t>
            </w:r>
          </w:p>
        </w:tc>
        <w:tc>
          <w:tcPr>
            <w:tcW w:w="1276" w:type="dxa"/>
            <w:vAlign w:val="center"/>
          </w:tcPr>
          <w:p>
            <w:pPr>
              <w:pStyle w:val="12"/>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信访形势整体稳定</w:t>
            </w:r>
          </w:p>
        </w:tc>
        <w:tc>
          <w:tcPr>
            <w:tcW w:w="5386" w:type="dxa"/>
            <w:vAlign w:val="center"/>
          </w:tcPr>
          <w:p>
            <w:pPr>
              <w:pStyle w:val="12"/>
            </w:pPr>
            <w:r>
              <w:t>保证信访形势整体稳定</w:t>
            </w:r>
          </w:p>
        </w:tc>
        <w:tc>
          <w:tcPr>
            <w:tcW w:w="2268" w:type="dxa"/>
            <w:vAlign w:val="center"/>
          </w:tcPr>
          <w:p>
            <w:pPr>
              <w:pStyle w:val="12"/>
            </w:pPr>
            <w:r>
              <w:t>100%</w:t>
            </w:r>
          </w:p>
        </w:tc>
        <w:tc>
          <w:tcPr>
            <w:tcW w:w="1276" w:type="dxa"/>
            <w:vAlign w:val="center"/>
          </w:tcPr>
          <w:p>
            <w:pPr>
              <w:pStyle w:val="12"/>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救助后息诉罢访率</w:t>
            </w:r>
          </w:p>
        </w:tc>
        <w:tc>
          <w:tcPr>
            <w:tcW w:w="5386" w:type="dxa"/>
            <w:vAlign w:val="center"/>
          </w:tcPr>
          <w:p>
            <w:pPr>
              <w:pStyle w:val="12"/>
            </w:pPr>
            <w:r>
              <w:t>严格把控，做到救助一人，息诉罢访一人</w:t>
            </w:r>
          </w:p>
        </w:tc>
        <w:tc>
          <w:tcPr>
            <w:tcW w:w="2268" w:type="dxa"/>
            <w:vAlign w:val="center"/>
          </w:tcPr>
          <w:p>
            <w:pPr>
              <w:pStyle w:val="12"/>
            </w:pPr>
            <w:r>
              <w:t>100%</w:t>
            </w:r>
          </w:p>
        </w:tc>
        <w:tc>
          <w:tcPr>
            <w:tcW w:w="1276" w:type="dxa"/>
            <w:vAlign w:val="center"/>
          </w:tcPr>
          <w:p>
            <w:pPr>
              <w:pStyle w:val="12"/>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救助对象对信信访救助工作满意程度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3、重点时段信访维稳经费绩效目标表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13030224P00308P12587B</w:t>
            </w:r>
          </w:p>
        </w:tc>
        <w:tc>
          <w:tcPr>
            <w:tcW w:w="2835" w:type="dxa"/>
            <w:vAlign w:val="center"/>
          </w:tcPr>
          <w:p>
            <w:pPr>
              <w:pStyle w:val="10"/>
            </w:pPr>
            <w:r>
              <w:t>项目名称</w:t>
            </w:r>
          </w:p>
        </w:tc>
        <w:tc>
          <w:tcPr>
            <w:tcW w:w="6095" w:type="dxa"/>
            <w:gridSpan w:val="3"/>
            <w:vAlign w:val="center"/>
          </w:tcPr>
          <w:p>
            <w:pPr>
              <w:pStyle w:val="12"/>
            </w:pPr>
            <w:r>
              <w:t>重点时段信访维稳经费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拟申请资金100万元，明细如下：</w:t>
            </w:r>
          </w:p>
          <w:p>
            <w:pPr>
              <w:pStyle w:val="12"/>
            </w:pPr>
            <w:r>
              <w:t>1、各个时期进京进京赴省值班人员火车票高速费1.5万元。</w:t>
            </w:r>
          </w:p>
          <w:p>
            <w:pPr>
              <w:pStyle w:val="12"/>
            </w:pPr>
            <w:r>
              <w:t>2、住宿费37.5万元，约合750人，0.05万元/人。</w:t>
            </w:r>
          </w:p>
          <w:p>
            <w:pPr>
              <w:pStyle w:val="12"/>
            </w:pPr>
            <w:r>
              <w:t>3、补助13.5万元。北京石家庄值班（约合750次，伙食补0.01万元/天，交通补0.008万元/天）。</w:t>
            </w:r>
          </w:p>
          <w:p>
            <w:pPr>
              <w:pStyle w:val="12"/>
            </w:pPr>
            <w:r>
              <w:t>4、交通费（汽油、过路过桥、停车）1.5万元。</w:t>
            </w:r>
          </w:p>
          <w:p>
            <w:pPr>
              <w:pStyle w:val="12"/>
            </w:pPr>
            <w:r>
              <w:t>5、租车费1.5万元。</w:t>
            </w:r>
          </w:p>
          <w:p>
            <w:pPr>
              <w:pStyle w:val="12"/>
            </w:pPr>
            <w:r>
              <w:t>6、安保费23.56万元</w:t>
            </w:r>
          </w:p>
          <w:p>
            <w:pPr>
              <w:pStyle w:val="12"/>
            </w:pPr>
            <w:r>
              <w:t>7、暑期北戴河值班住宿约62天，0.032万元/天，开6个房间。轮流值班。住宿费约12万元。</w:t>
            </w:r>
          </w:p>
          <w:p>
            <w:pPr>
              <w:pStyle w:val="12"/>
            </w:pPr>
            <w:r>
              <w:t>8、暑期慰问3万元</w:t>
            </w:r>
          </w:p>
          <w:p>
            <w:pPr>
              <w:pStyle w:val="12"/>
            </w:pPr>
            <w:r>
              <w:t>9、见习岗（3人，每人每月0.22万元，9个月）5.94万元</w:t>
            </w:r>
          </w:p>
          <w:p>
            <w:pPr>
              <w:pStyle w:val="12"/>
            </w:pPr>
            <w:r>
              <w:t>7、见习岗15.84万元（6人，每人每月0.22万元）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1.1.通过细化各项工作措施，确保全区没有影响较大的群众性事件发生。</w:t>
            </w:r>
          </w:p>
          <w:p>
            <w:pPr>
              <w:pStyle w:val="12"/>
            </w:pPr>
            <w:r>
              <w:t>2.2.控制全区非访越级总量，促进社会和谐进步。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突发性群众事件处置完成率</w:t>
            </w:r>
          </w:p>
        </w:tc>
        <w:tc>
          <w:tcPr>
            <w:tcW w:w="5386" w:type="dxa"/>
            <w:vAlign w:val="center"/>
          </w:tcPr>
          <w:p>
            <w:pPr>
              <w:pStyle w:val="12"/>
            </w:pPr>
            <w:r>
              <w:t>对突发性群体事件依法依规完成处置工作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非访越级总量控制率</w:t>
            </w:r>
          </w:p>
        </w:tc>
        <w:tc>
          <w:tcPr>
            <w:tcW w:w="5386" w:type="dxa"/>
            <w:vAlign w:val="center"/>
          </w:tcPr>
          <w:p>
            <w:pPr>
              <w:pStyle w:val="12"/>
            </w:pPr>
            <w:r>
              <w:t>全区非访越级事件总量控制在上级要求范围内</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非访及突发事件处理有效性</w:t>
            </w:r>
          </w:p>
        </w:tc>
        <w:tc>
          <w:tcPr>
            <w:tcW w:w="5386" w:type="dxa"/>
            <w:vAlign w:val="center"/>
          </w:tcPr>
          <w:p>
            <w:pPr>
              <w:pStyle w:val="12"/>
            </w:pPr>
            <w:r>
              <w:t>处置非访及突发性群体事件的效果，避免造成严重不良影响</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信访事项按期办结率</w:t>
            </w:r>
          </w:p>
        </w:tc>
        <w:tc>
          <w:tcPr>
            <w:tcW w:w="5386" w:type="dxa"/>
            <w:vAlign w:val="center"/>
          </w:tcPr>
          <w:p>
            <w:pPr>
              <w:pStyle w:val="12"/>
            </w:pPr>
            <w:r>
              <w:t>依法依规按时办理信访案件</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突发问题处理及时性</w:t>
            </w:r>
          </w:p>
        </w:tc>
        <w:tc>
          <w:tcPr>
            <w:tcW w:w="5386" w:type="dxa"/>
            <w:vAlign w:val="center"/>
          </w:tcPr>
          <w:p>
            <w:pPr>
              <w:pStyle w:val="12"/>
            </w:pPr>
            <w:r>
              <w:t>对于突发事件及时处理情况，避免造成严重不良影响</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按各项费用标准及预算合理控制支出</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信访形势整体稳定</w:t>
            </w:r>
          </w:p>
        </w:tc>
        <w:tc>
          <w:tcPr>
            <w:tcW w:w="5386" w:type="dxa"/>
            <w:vAlign w:val="center"/>
          </w:tcPr>
          <w:p>
            <w:pPr>
              <w:pStyle w:val="12"/>
            </w:pPr>
            <w:r>
              <w:t>保证信访形势整体稳定</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进京赴省访访量</w:t>
            </w:r>
          </w:p>
        </w:tc>
        <w:tc>
          <w:tcPr>
            <w:tcW w:w="5386" w:type="dxa"/>
            <w:vAlign w:val="center"/>
          </w:tcPr>
          <w:p>
            <w:pPr>
              <w:pStyle w:val="12"/>
            </w:pPr>
            <w:r>
              <w:t>吸附上访人，做好解释等相关工作</w:t>
            </w:r>
          </w:p>
        </w:tc>
        <w:tc>
          <w:tcPr>
            <w:tcW w:w="2268" w:type="dxa"/>
            <w:vAlign w:val="center"/>
          </w:tcPr>
          <w:p>
            <w:pPr>
              <w:pStyle w:val="12"/>
            </w:pPr>
            <w:r>
              <w:t>较上年降低</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群众对信访工作的满意程度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秦皇岛市海港区信访局本级上年末固定资产金额为</w:t>
      </w:r>
      <w:r>
        <w:rPr>
          <w:rFonts w:hint="eastAsia" w:eastAsia="方正仿宋_GBK"/>
          <w:color w:val="000000"/>
          <w:sz w:val="28"/>
          <w:lang w:val="en-US" w:eastAsia="zh-CN"/>
        </w:rPr>
        <w:t>124.39</w:t>
      </w:r>
      <w:bookmarkStart w:id="1" w:name="_GoBack"/>
      <w:bookmarkEnd w:id="1"/>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202001秦皇岛市海港区信访局本级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jc w:val="center"/>
            </w:pPr>
            <w:r>
              <w:rPr>
                <w:rFonts w:hint="eastAsia"/>
              </w:rPr>
              <w:t>资产总额</w:t>
            </w:r>
          </w:p>
        </w:tc>
        <w:tc>
          <w:tcPr>
            <w:tcW w:w="2835" w:type="dxa"/>
            <w:vAlign w:val="center"/>
          </w:tcPr>
          <w:p>
            <w:pPr>
              <w:pStyle w:val="13"/>
            </w:pPr>
            <w:r>
              <w:rPr>
                <w:rFonts w:hint="eastAsia"/>
              </w:rPr>
              <w:t>--</w:t>
            </w:r>
          </w:p>
        </w:tc>
        <w:tc>
          <w:tcPr>
            <w:tcW w:w="2835" w:type="dxa"/>
            <w:vAlign w:val="center"/>
          </w:tcPr>
          <w:p>
            <w:pPr>
              <w:pStyle w:val="11"/>
              <w:jc w:val="center"/>
            </w:pPr>
            <w:r>
              <w:rPr>
                <w:rFonts w:hint="eastAsia"/>
              </w:rPr>
              <w:t>124.39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1、房屋（平方米）</w:t>
            </w:r>
          </w:p>
        </w:tc>
        <w:tc>
          <w:tcPr>
            <w:tcW w:w="2835" w:type="dxa"/>
            <w:vAlign w:val="center"/>
          </w:tcPr>
          <w:p>
            <w:pPr>
              <w:pStyle w:val="13"/>
            </w:pPr>
            <w:r>
              <w:rPr>
                <w:rFonts w:hint="eastAsia"/>
              </w:rPr>
              <w:t>0</w:t>
            </w:r>
          </w:p>
        </w:tc>
        <w:tc>
          <w:tcPr>
            <w:tcW w:w="2835" w:type="dxa"/>
            <w:vAlign w:val="center"/>
          </w:tcPr>
          <w:p>
            <w:pPr>
              <w:pStyle w:val="11"/>
              <w:jc w:val="cente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其中：办公用房（平方米）</w:t>
            </w:r>
          </w:p>
        </w:tc>
        <w:tc>
          <w:tcPr>
            <w:tcW w:w="2835" w:type="dxa"/>
            <w:vAlign w:val="center"/>
          </w:tcPr>
          <w:p>
            <w:pPr>
              <w:pStyle w:val="13"/>
            </w:pPr>
            <w:r>
              <w:rPr>
                <w:rFonts w:hint="eastAsia"/>
              </w:rPr>
              <w:t>0</w:t>
            </w:r>
          </w:p>
        </w:tc>
        <w:tc>
          <w:tcPr>
            <w:tcW w:w="2835" w:type="dxa"/>
            <w:vAlign w:val="center"/>
          </w:tcPr>
          <w:p>
            <w:pPr>
              <w:pStyle w:val="11"/>
              <w:jc w:val="cente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2、车辆（台、辆）</w:t>
            </w:r>
          </w:p>
        </w:tc>
        <w:tc>
          <w:tcPr>
            <w:tcW w:w="2835" w:type="dxa"/>
            <w:vAlign w:val="center"/>
          </w:tcPr>
          <w:p>
            <w:pPr>
              <w:pStyle w:val="13"/>
            </w:pPr>
            <w:r>
              <w:rPr>
                <w:rFonts w:hint="eastAsia"/>
              </w:rPr>
              <w:t>2</w:t>
            </w:r>
          </w:p>
        </w:tc>
        <w:tc>
          <w:tcPr>
            <w:tcW w:w="2835" w:type="dxa"/>
            <w:vAlign w:val="center"/>
          </w:tcPr>
          <w:p>
            <w:pPr>
              <w:pStyle w:val="11"/>
              <w:jc w:val="center"/>
            </w:pPr>
            <w:r>
              <w:rPr>
                <w:rFonts w:hint="eastAsia"/>
              </w:rPr>
              <w:t>25.89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3、单价在50万元以上的设备</w:t>
            </w:r>
          </w:p>
        </w:tc>
        <w:tc>
          <w:tcPr>
            <w:tcW w:w="2835" w:type="dxa"/>
            <w:vAlign w:val="center"/>
          </w:tcPr>
          <w:p>
            <w:pPr>
              <w:pStyle w:val="13"/>
            </w:pPr>
            <w:r>
              <w:rPr>
                <w:rFonts w:hint="eastAsia"/>
              </w:rPr>
              <w:t>0</w:t>
            </w:r>
          </w:p>
        </w:tc>
        <w:tc>
          <w:tcPr>
            <w:tcW w:w="2835" w:type="dxa"/>
            <w:vAlign w:val="center"/>
          </w:tcPr>
          <w:p>
            <w:pPr>
              <w:pStyle w:val="11"/>
              <w:jc w:val="cente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4、其他固定资产</w:t>
            </w:r>
          </w:p>
        </w:tc>
        <w:tc>
          <w:tcPr>
            <w:tcW w:w="2835" w:type="dxa"/>
            <w:vAlign w:val="center"/>
          </w:tcPr>
          <w:p>
            <w:pPr>
              <w:pStyle w:val="13"/>
              <w:rPr>
                <w:rFonts w:hint="eastAsia" w:eastAsia="方正书宋_GBK"/>
                <w:lang w:val="en-US" w:eastAsia="zh-CN"/>
              </w:rPr>
            </w:pPr>
            <w:r>
              <w:rPr>
                <w:rFonts w:hint="eastAsia"/>
                <w:lang w:val="en-US" w:eastAsia="zh-CN"/>
              </w:rPr>
              <w:t>274</w:t>
            </w:r>
          </w:p>
        </w:tc>
        <w:tc>
          <w:tcPr>
            <w:tcW w:w="2835" w:type="dxa"/>
            <w:vAlign w:val="center"/>
          </w:tcPr>
          <w:p>
            <w:pPr>
              <w:pStyle w:val="11"/>
              <w:jc w:val="center"/>
            </w:pPr>
            <w:r>
              <w:rPr>
                <w:rFonts w:hint="eastAsia"/>
              </w:rPr>
              <w:t>98.50</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B7635"/>
    <w:rsid w:val="0019108D"/>
    <w:rsid w:val="002924D5"/>
    <w:rsid w:val="003D2537"/>
    <w:rsid w:val="006630AC"/>
    <w:rsid w:val="006E2656"/>
    <w:rsid w:val="007C209C"/>
    <w:rsid w:val="009B7635"/>
    <w:rsid w:val="00A35166"/>
    <w:rsid w:val="00A81925"/>
    <w:rsid w:val="00B26D22"/>
    <w:rsid w:val="00B83821"/>
    <w:rsid w:val="00D0378E"/>
    <w:rsid w:val="00DC2EF6"/>
    <w:rsid w:val="00EC3010"/>
    <w:rsid w:val="00ED76FD"/>
    <w:rsid w:val="00F435D4"/>
    <w:rsid w:val="00FB080A"/>
    <w:rsid w:val="00FC173E"/>
    <w:rsid w:val="19E47768"/>
    <w:rsid w:val="2FB619CB"/>
    <w:rsid w:val="607E2212"/>
    <w:rsid w:val="648D13B7"/>
    <w:rsid w:val="65FC2ACE"/>
    <w:rsid w:val="6CA02F02"/>
    <w:rsid w:val="7EBF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4"/>
    <w:link w:val="3"/>
    <w:semiHidden/>
    <w:uiPriority w:val="99"/>
    <w:rPr>
      <w:rFonts w:eastAsia="Times New Roman"/>
      <w:sz w:val="18"/>
      <w:szCs w:val="18"/>
      <w:lang w:eastAsia="uk-UA"/>
    </w:rPr>
  </w:style>
  <w:style w:type="character" w:customStyle="1" w:styleId="25">
    <w:name w:val="页脚 Char"/>
    <w:basedOn w:val="4"/>
    <w:link w:val="2"/>
    <w:semiHidden/>
    <w:qFormat/>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2024-02-20T14:22:48Z</dcterms:created>
  <dcterms:modified xsi:type="dcterms:W3CDTF">2024-02-20T06:22:48Z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2024-02-20T14:22:48Z</dcterms:created>
  <dcterms:modified xsi:type="dcterms:W3CDTF">2024-02-20T06:22:48Z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2024-02-20T14:22:45Z</dcterms:created>
  <dcterms:modified xsi:type="dcterms:W3CDTF">2024-02-20T06:22:45Z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2024-02-20T14:22:47Z</dcterms:created>
  <dcterms:modified xsi:type="dcterms:W3CDTF">2024-02-20T06:22:47Z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2024-02-20T14:22:48Z</dcterms:created>
  <dcterms:modified xsi:type="dcterms:W3CDTF">2024-02-20T06:22:48Z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2024-02-20T14:22:48Z</dcterms:created>
  <dcterms:modified xsi:type="dcterms:W3CDTF">2024-02-20T06:22:48Z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54D72D6-6E61-44A9-AF98-F2D6F83F9EC2}">
  <ds:schemaRefs/>
</ds:datastoreItem>
</file>

<file path=customXml/itemProps11.xml><?xml version="1.0" encoding="utf-8"?>
<ds:datastoreItem xmlns:ds="http://schemas.openxmlformats.org/officeDocument/2006/customXml" ds:itemID="{B43AC693-6CB8-4C3C-BEF1-F69993656A66}">
  <ds:schemaRefs/>
</ds:datastoreItem>
</file>

<file path=customXml/itemProps12.xml><?xml version="1.0" encoding="utf-8"?>
<ds:datastoreItem xmlns:ds="http://schemas.openxmlformats.org/officeDocument/2006/customXml" ds:itemID="{E62BB639-F9CE-4E98-8D46-B35AB47E0679}">
  <ds:schemaRefs/>
</ds:datastoreItem>
</file>

<file path=customXml/itemProps13.xml><?xml version="1.0" encoding="utf-8"?>
<ds:datastoreItem xmlns:ds="http://schemas.openxmlformats.org/officeDocument/2006/customXml" ds:itemID="{D7C06ADF-6C20-4E52-9009-F7CF0F69283A}">
  <ds:schemaRefs/>
</ds:datastoreItem>
</file>

<file path=customXml/itemProps2.xml><?xml version="1.0" encoding="utf-8"?>
<ds:datastoreItem xmlns:ds="http://schemas.openxmlformats.org/officeDocument/2006/customXml" ds:itemID="{1C59F609-A97A-414A-967A-A1D2EAA7562E}">
  <ds:schemaRefs/>
</ds:datastoreItem>
</file>

<file path=customXml/itemProps3.xml><?xml version="1.0" encoding="utf-8"?>
<ds:datastoreItem xmlns:ds="http://schemas.openxmlformats.org/officeDocument/2006/customXml" ds:itemID="{A11E10C8-9FBE-43BC-96AD-A53DD6F81EA2}">
  <ds:schemaRefs/>
</ds:datastoreItem>
</file>

<file path=customXml/itemProps4.xml><?xml version="1.0" encoding="utf-8"?>
<ds:datastoreItem xmlns:ds="http://schemas.openxmlformats.org/officeDocument/2006/customXml" ds:itemID="{C7C18547-16A4-449F-8DAC-B0BF1FCCC3AF}">
  <ds:schemaRefs/>
</ds:datastoreItem>
</file>

<file path=customXml/itemProps5.xml><?xml version="1.0" encoding="utf-8"?>
<ds:datastoreItem xmlns:ds="http://schemas.openxmlformats.org/officeDocument/2006/customXml" ds:itemID="{307665AC-AA1C-4169-8C29-026BF63022C1}">
  <ds:schemaRefs/>
</ds:datastoreItem>
</file>

<file path=customXml/itemProps6.xml><?xml version="1.0" encoding="utf-8"?>
<ds:datastoreItem xmlns:ds="http://schemas.openxmlformats.org/officeDocument/2006/customXml" ds:itemID="{3FBD2529-E245-43AC-AD4E-453EDAB7B631}">
  <ds:schemaRefs/>
</ds:datastoreItem>
</file>

<file path=customXml/itemProps7.xml><?xml version="1.0" encoding="utf-8"?>
<ds:datastoreItem xmlns:ds="http://schemas.openxmlformats.org/officeDocument/2006/customXml" ds:itemID="{D528FDF1-04C6-4A6C-8E8A-439B1ED8E97C}">
  <ds:schemaRefs/>
</ds:datastoreItem>
</file>

<file path=customXml/itemProps8.xml><?xml version="1.0" encoding="utf-8"?>
<ds:datastoreItem xmlns:ds="http://schemas.openxmlformats.org/officeDocument/2006/customXml" ds:itemID="{F16BC637-C7BC-499E-9F93-32D500ACB271}">
  <ds:schemaRefs/>
</ds:datastoreItem>
</file>

<file path=customXml/itemProps9.xml><?xml version="1.0" encoding="utf-8"?>
<ds:datastoreItem xmlns:ds="http://schemas.openxmlformats.org/officeDocument/2006/customXml" ds:itemID="{C2233CAB-1D19-4936-B80D-C0436EC797C2}">
  <ds:schemaRefs/>
</ds:datastoreItem>
</file>

<file path=docProps/app.xml><?xml version="1.0" encoding="utf-8"?>
<Properties xmlns="http://schemas.openxmlformats.org/officeDocument/2006/extended-properties" xmlns:vt="http://schemas.openxmlformats.org/officeDocument/2006/docPropsVTypes">
  <Template>Normal</Template>
  <Pages>24</Pages>
  <Words>1566</Words>
  <Characters>8929</Characters>
  <Lines>74</Lines>
  <Paragraphs>20</Paragraphs>
  <TotalTime>1</TotalTime>
  <ScaleCrop>false</ScaleCrop>
  <LinksUpToDate>false</LinksUpToDate>
  <CharactersWithSpaces>10475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2024-02-20T06:18:00Z</dcterms:created>
  <dc:creator>Administrator</dc:creator>
  <cp:lastModifiedBy>Zero.</cp:lastModifiedBy>
  <dcterms:modified xsi:type="dcterms:W3CDTF">2024-08-15T07:08:38Z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