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一、秦皇岛市海港区档案馆本级收支预算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245.08</w:t>
            </w:r>
          </w:p>
        </w:tc>
        <w:tc>
          <w:tcPr>
            <w:tcW w:w="4535" w:type="dxa"/>
            <w:vAlign w:val="center"/>
          </w:tcPr>
          <w:p>
            <w:pPr>
              <w:pStyle w:val="12"/>
            </w:pPr>
            <w:r>
              <w:t>一、一般公共服务支出</w:t>
            </w:r>
          </w:p>
        </w:tc>
        <w:tc>
          <w:tcPr>
            <w:tcW w:w="2126" w:type="dxa"/>
            <w:vAlign w:val="center"/>
          </w:tcPr>
          <w:p>
            <w:pPr>
              <w:pStyle w:val="11"/>
            </w:pPr>
            <w:r>
              <w:t>176.87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245.08</w:t>
            </w:r>
          </w:p>
        </w:tc>
        <w:tc>
          <w:tcPr>
            <w:tcW w:w="4535" w:type="dxa"/>
            <w:vAlign w:val="center"/>
          </w:tcPr>
          <w:p>
            <w:pPr>
              <w:pStyle w:val="14"/>
            </w:pPr>
            <w:r>
              <w:t>本年支出合计</w:t>
            </w:r>
          </w:p>
        </w:tc>
        <w:tc>
          <w:tcPr>
            <w:tcW w:w="2126" w:type="dxa"/>
            <w:vAlign w:val="center"/>
          </w:tcPr>
          <w:p>
            <w:pPr>
              <w:pStyle w:val="15"/>
            </w:pPr>
            <w:r>
              <w:t>245.08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245.08</w:t>
            </w:r>
          </w:p>
        </w:tc>
        <w:tc>
          <w:tcPr>
            <w:tcW w:w="4535" w:type="dxa"/>
            <w:vAlign w:val="center"/>
          </w:tcPr>
          <w:p>
            <w:pPr>
              <w:pStyle w:val="14"/>
            </w:pPr>
            <w:r>
              <w:t>支出总计</w:t>
            </w:r>
          </w:p>
        </w:tc>
        <w:tc>
          <w:tcPr>
            <w:tcW w:w="2126" w:type="dxa"/>
            <w:vAlign w:val="center"/>
          </w:tcPr>
          <w:p>
            <w:pPr>
              <w:pStyle w:val="15"/>
            </w:pPr>
            <w:r>
              <w:t>245.08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245.08</w:t>
            </w:r>
          </w:p>
        </w:tc>
        <w:tc>
          <w:tcPr>
            <w:tcW w:w="1134" w:type="dxa"/>
            <w:vAlign w:val="center"/>
          </w:tcPr>
          <w:p>
            <w:pPr>
              <w:pStyle w:val="15"/>
            </w:pPr>
            <w:r>
              <w:t>245.08</w:t>
            </w:r>
          </w:p>
        </w:tc>
        <w:tc>
          <w:tcPr>
            <w:tcW w:w="1134" w:type="dxa"/>
            <w:vAlign w:val="center"/>
          </w:tcPr>
          <w:p>
            <w:pPr>
              <w:pStyle w:val="15"/>
            </w:pPr>
            <w:r>
              <w:t>245.08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176.87</w:t>
            </w:r>
          </w:p>
        </w:tc>
        <w:tc>
          <w:tcPr>
            <w:tcW w:w="1134" w:type="dxa"/>
            <w:vAlign w:val="center"/>
          </w:tcPr>
          <w:p>
            <w:pPr>
              <w:pStyle w:val="11"/>
            </w:pPr>
            <w:r>
              <w:t>176.87</w:t>
            </w:r>
          </w:p>
        </w:tc>
        <w:tc>
          <w:tcPr>
            <w:tcW w:w="1134" w:type="dxa"/>
            <w:vAlign w:val="center"/>
          </w:tcPr>
          <w:p>
            <w:pPr>
              <w:pStyle w:val="11"/>
            </w:pPr>
            <w:r>
              <w:t>176.87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176.87</w:t>
            </w:r>
          </w:p>
        </w:tc>
        <w:tc>
          <w:tcPr>
            <w:tcW w:w="1134" w:type="dxa"/>
            <w:vAlign w:val="center"/>
          </w:tcPr>
          <w:p>
            <w:pPr>
              <w:pStyle w:val="11"/>
            </w:pPr>
            <w:r>
              <w:t>176.87</w:t>
            </w:r>
          </w:p>
        </w:tc>
        <w:tc>
          <w:tcPr>
            <w:tcW w:w="1134" w:type="dxa"/>
            <w:vAlign w:val="center"/>
          </w:tcPr>
          <w:p>
            <w:pPr>
              <w:pStyle w:val="11"/>
            </w:pPr>
            <w:r>
              <w:t>176.87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161.87</w:t>
            </w:r>
          </w:p>
        </w:tc>
        <w:tc>
          <w:tcPr>
            <w:tcW w:w="1134" w:type="dxa"/>
            <w:vAlign w:val="center"/>
          </w:tcPr>
          <w:p>
            <w:pPr>
              <w:pStyle w:val="11"/>
            </w:pPr>
            <w:r>
              <w:t>161.87</w:t>
            </w:r>
          </w:p>
        </w:tc>
        <w:tc>
          <w:tcPr>
            <w:tcW w:w="1134" w:type="dxa"/>
            <w:vAlign w:val="center"/>
          </w:tcPr>
          <w:p>
            <w:pPr>
              <w:pStyle w:val="11"/>
            </w:pPr>
            <w:r>
              <w:t>161.87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2012602</w:t>
            </w:r>
          </w:p>
        </w:tc>
        <w:tc>
          <w:tcPr>
            <w:tcW w:w="1559" w:type="dxa"/>
            <w:vAlign w:val="center"/>
          </w:tcPr>
          <w:p>
            <w:pPr>
              <w:pStyle w:val="12"/>
            </w:pPr>
            <w:r>
              <w:t>一般行政管理事务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41.90</w:t>
            </w:r>
          </w:p>
        </w:tc>
        <w:tc>
          <w:tcPr>
            <w:tcW w:w="1134" w:type="dxa"/>
            <w:vAlign w:val="center"/>
          </w:tcPr>
          <w:p>
            <w:pPr>
              <w:pStyle w:val="11"/>
            </w:pPr>
            <w:r>
              <w:t>41.90</w:t>
            </w:r>
          </w:p>
        </w:tc>
        <w:tc>
          <w:tcPr>
            <w:tcW w:w="1134" w:type="dxa"/>
            <w:vAlign w:val="center"/>
          </w:tcPr>
          <w:p>
            <w:pPr>
              <w:pStyle w:val="11"/>
            </w:pPr>
            <w:r>
              <w:t>41.90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41.90</w:t>
            </w:r>
          </w:p>
        </w:tc>
        <w:tc>
          <w:tcPr>
            <w:tcW w:w="1134" w:type="dxa"/>
            <w:vAlign w:val="center"/>
          </w:tcPr>
          <w:p>
            <w:pPr>
              <w:pStyle w:val="11"/>
            </w:pPr>
            <w:r>
              <w:t>41.90</w:t>
            </w:r>
          </w:p>
        </w:tc>
        <w:tc>
          <w:tcPr>
            <w:tcW w:w="1134" w:type="dxa"/>
            <w:vAlign w:val="center"/>
          </w:tcPr>
          <w:p>
            <w:pPr>
              <w:pStyle w:val="11"/>
            </w:pPr>
            <w:r>
              <w:t>41.90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24.37</w:t>
            </w:r>
          </w:p>
        </w:tc>
        <w:tc>
          <w:tcPr>
            <w:tcW w:w="1134" w:type="dxa"/>
            <w:vAlign w:val="center"/>
          </w:tcPr>
          <w:p>
            <w:pPr>
              <w:pStyle w:val="11"/>
            </w:pPr>
            <w:r>
              <w:t>24.37</w:t>
            </w:r>
          </w:p>
        </w:tc>
        <w:tc>
          <w:tcPr>
            <w:tcW w:w="1134" w:type="dxa"/>
            <w:vAlign w:val="center"/>
          </w:tcPr>
          <w:p>
            <w:pPr>
              <w:pStyle w:val="11"/>
            </w:pPr>
            <w:r>
              <w:t>24.37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12.75</w:t>
            </w:r>
          </w:p>
        </w:tc>
        <w:tc>
          <w:tcPr>
            <w:tcW w:w="1134" w:type="dxa"/>
            <w:vAlign w:val="center"/>
          </w:tcPr>
          <w:p>
            <w:pPr>
              <w:pStyle w:val="11"/>
            </w:pPr>
            <w:r>
              <w:t>12.75</w:t>
            </w:r>
          </w:p>
        </w:tc>
        <w:tc>
          <w:tcPr>
            <w:tcW w:w="1134" w:type="dxa"/>
            <w:vAlign w:val="center"/>
          </w:tcPr>
          <w:p>
            <w:pPr>
              <w:pStyle w:val="11"/>
            </w:pPr>
            <w:r>
              <w:t>12.75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12.75</w:t>
            </w:r>
          </w:p>
        </w:tc>
        <w:tc>
          <w:tcPr>
            <w:tcW w:w="1134" w:type="dxa"/>
            <w:vAlign w:val="center"/>
          </w:tcPr>
          <w:p>
            <w:pPr>
              <w:pStyle w:val="11"/>
            </w:pPr>
            <w:r>
              <w:t>12.75</w:t>
            </w:r>
          </w:p>
        </w:tc>
        <w:tc>
          <w:tcPr>
            <w:tcW w:w="1134" w:type="dxa"/>
            <w:vAlign w:val="center"/>
          </w:tcPr>
          <w:p>
            <w:pPr>
              <w:pStyle w:val="11"/>
            </w:pPr>
            <w:r>
              <w:t>12.75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5.99</w:t>
            </w:r>
          </w:p>
        </w:tc>
        <w:tc>
          <w:tcPr>
            <w:tcW w:w="1134" w:type="dxa"/>
            <w:vAlign w:val="center"/>
          </w:tcPr>
          <w:p>
            <w:pPr>
              <w:pStyle w:val="11"/>
            </w:pPr>
            <w:r>
              <w:t>5.99</w:t>
            </w:r>
          </w:p>
        </w:tc>
        <w:tc>
          <w:tcPr>
            <w:tcW w:w="1134" w:type="dxa"/>
            <w:vAlign w:val="center"/>
          </w:tcPr>
          <w:p>
            <w:pPr>
              <w:pStyle w:val="11"/>
            </w:pPr>
            <w:r>
              <w:t>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6.76</w:t>
            </w:r>
          </w:p>
        </w:tc>
        <w:tc>
          <w:tcPr>
            <w:tcW w:w="1134" w:type="dxa"/>
            <w:vAlign w:val="center"/>
          </w:tcPr>
          <w:p>
            <w:pPr>
              <w:pStyle w:val="11"/>
            </w:pPr>
            <w:r>
              <w:t>6.76</w:t>
            </w:r>
          </w:p>
        </w:tc>
        <w:tc>
          <w:tcPr>
            <w:tcW w:w="1134" w:type="dxa"/>
            <w:vAlign w:val="center"/>
          </w:tcPr>
          <w:p>
            <w:pPr>
              <w:pStyle w:val="11"/>
            </w:pPr>
            <w:r>
              <w:t>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r>
              <w:t>13.56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245.08</w:t>
            </w:r>
          </w:p>
        </w:tc>
        <w:tc>
          <w:tcPr>
            <w:tcW w:w="1361" w:type="dxa"/>
            <w:vAlign w:val="center"/>
          </w:tcPr>
          <w:p>
            <w:pPr>
              <w:pStyle w:val="15"/>
            </w:pPr>
            <w:r>
              <w:t>230.08</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176.87</w:t>
            </w:r>
          </w:p>
        </w:tc>
        <w:tc>
          <w:tcPr>
            <w:tcW w:w="1361" w:type="dxa"/>
            <w:vAlign w:val="center"/>
          </w:tcPr>
          <w:p>
            <w:pPr>
              <w:pStyle w:val="11"/>
            </w:pPr>
            <w:r>
              <w:t>161.87</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176.87</w:t>
            </w:r>
          </w:p>
        </w:tc>
        <w:tc>
          <w:tcPr>
            <w:tcW w:w="1361" w:type="dxa"/>
            <w:vAlign w:val="center"/>
          </w:tcPr>
          <w:p>
            <w:pPr>
              <w:pStyle w:val="11"/>
            </w:pPr>
            <w:r>
              <w:t>161.87</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161.87</w:t>
            </w:r>
          </w:p>
        </w:tc>
        <w:tc>
          <w:tcPr>
            <w:tcW w:w="1361" w:type="dxa"/>
            <w:vAlign w:val="center"/>
          </w:tcPr>
          <w:p>
            <w:pPr>
              <w:pStyle w:val="11"/>
            </w:pPr>
            <w:r>
              <w:t>161.87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2012602</w:t>
            </w:r>
          </w:p>
        </w:tc>
        <w:tc>
          <w:tcPr>
            <w:tcW w:w="4535" w:type="dxa"/>
            <w:vAlign w:val="center"/>
          </w:tcPr>
          <w:p>
            <w:pPr>
              <w:pStyle w:val="12"/>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41.90</w:t>
            </w:r>
          </w:p>
        </w:tc>
        <w:tc>
          <w:tcPr>
            <w:tcW w:w="1361" w:type="dxa"/>
            <w:vAlign w:val="center"/>
          </w:tcPr>
          <w:p>
            <w:pPr>
              <w:pStyle w:val="11"/>
            </w:pPr>
            <w:r>
              <w:t>41.90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41.90</w:t>
            </w:r>
          </w:p>
        </w:tc>
        <w:tc>
          <w:tcPr>
            <w:tcW w:w="1361" w:type="dxa"/>
            <w:vAlign w:val="center"/>
          </w:tcPr>
          <w:p>
            <w:pPr>
              <w:pStyle w:val="11"/>
            </w:pPr>
            <w:r>
              <w:t>41.90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24.37</w:t>
            </w:r>
          </w:p>
        </w:tc>
        <w:tc>
          <w:tcPr>
            <w:tcW w:w="1361" w:type="dxa"/>
            <w:vAlign w:val="center"/>
          </w:tcPr>
          <w:p>
            <w:pPr>
              <w:pStyle w:val="11"/>
            </w:pPr>
            <w:r>
              <w:t>24.37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17.53</w:t>
            </w:r>
          </w:p>
        </w:tc>
        <w:tc>
          <w:tcPr>
            <w:tcW w:w="1361" w:type="dxa"/>
            <w:vAlign w:val="center"/>
          </w:tcPr>
          <w:p>
            <w:pPr>
              <w:pStyle w:val="11"/>
            </w:pPr>
            <w:r>
              <w:t>17.53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12.75</w:t>
            </w:r>
          </w:p>
        </w:tc>
        <w:tc>
          <w:tcPr>
            <w:tcW w:w="1361" w:type="dxa"/>
            <w:vAlign w:val="center"/>
          </w:tcPr>
          <w:p>
            <w:pPr>
              <w:pStyle w:val="11"/>
            </w:pPr>
            <w:r>
              <w:t>12.75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12.75</w:t>
            </w:r>
          </w:p>
        </w:tc>
        <w:tc>
          <w:tcPr>
            <w:tcW w:w="1361" w:type="dxa"/>
            <w:vAlign w:val="center"/>
          </w:tcPr>
          <w:p>
            <w:pPr>
              <w:pStyle w:val="11"/>
            </w:pPr>
            <w:r>
              <w:t>12.75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5.99</w:t>
            </w:r>
          </w:p>
        </w:tc>
        <w:tc>
          <w:tcPr>
            <w:tcW w:w="1361" w:type="dxa"/>
            <w:vAlign w:val="center"/>
          </w:tcPr>
          <w:p>
            <w:pPr>
              <w:pStyle w:val="11"/>
            </w:pPr>
            <w:r>
              <w:t>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6.76</w:t>
            </w:r>
          </w:p>
        </w:tc>
        <w:tc>
          <w:tcPr>
            <w:tcW w:w="1361" w:type="dxa"/>
            <w:vAlign w:val="center"/>
          </w:tcPr>
          <w:p>
            <w:pPr>
              <w:pStyle w:val="11"/>
            </w:pPr>
            <w:r>
              <w:t>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13.56</w:t>
            </w:r>
          </w:p>
        </w:tc>
        <w:tc>
          <w:tcPr>
            <w:tcW w:w="1361" w:type="dxa"/>
            <w:vAlign w:val="center"/>
          </w:tcPr>
          <w:p>
            <w:pPr>
              <w:pStyle w:val="11"/>
            </w:pPr>
            <w:r>
              <w:t>13.56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13.56</w:t>
            </w:r>
          </w:p>
        </w:tc>
        <w:tc>
          <w:tcPr>
            <w:tcW w:w="1361" w:type="dxa"/>
            <w:vAlign w:val="center"/>
          </w:tcPr>
          <w:p>
            <w:pPr>
              <w:pStyle w:val="11"/>
            </w:pPr>
            <w:r>
              <w:t>13.56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13.56</w:t>
            </w:r>
          </w:p>
        </w:tc>
        <w:tc>
          <w:tcPr>
            <w:tcW w:w="1361" w:type="dxa"/>
            <w:vAlign w:val="center"/>
          </w:tcPr>
          <w:p>
            <w:pPr>
              <w:pStyle w:val="11"/>
            </w:pPr>
            <w:r>
              <w:t>13.56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245.08</w:t>
            </w:r>
          </w:p>
        </w:tc>
        <w:tc>
          <w:tcPr>
            <w:tcW w:w="3402" w:type="dxa"/>
            <w:vAlign w:val="center"/>
          </w:tcPr>
          <w:p>
            <w:pPr>
              <w:pStyle w:val="12"/>
            </w:pPr>
            <w:r>
              <w:t>一、一般公共服务支出</w:t>
            </w:r>
          </w:p>
        </w:tc>
        <w:tc>
          <w:tcPr>
            <w:tcW w:w="1474" w:type="dxa"/>
            <w:vAlign w:val="center"/>
          </w:tcPr>
          <w:p>
            <w:pPr>
              <w:pStyle w:val="11"/>
            </w:pPr>
            <w:r>
              <w:t>176.87</w:t>
            </w:r>
          </w:p>
        </w:tc>
        <w:tc>
          <w:tcPr>
            <w:tcW w:w="1474" w:type="dxa"/>
            <w:vAlign w:val="center"/>
          </w:tcPr>
          <w:p>
            <w:pPr>
              <w:pStyle w:val="11"/>
            </w:pPr>
            <w:r>
              <w:t>176.87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41.90</w:t>
            </w:r>
          </w:p>
        </w:tc>
        <w:tc>
          <w:tcPr>
            <w:tcW w:w="1474" w:type="dxa"/>
            <w:vAlign w:val="center"/>
          </w:tcPr>
          <w:p>
            <w:pPr>
              <w:pStyle w:val="11"/>
            </w:pPr>
            <w:r>
              <w:t>41.90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12.75</w:t>
            </w:r>
          </w:p>
        </w:tc>
        <w:tc>
          <w:tcPr>
            <w:tcW w:w="1474" w:type="dxa"/>
            <w:vAlign w:val="center"/>
          </w:tcPr>
          <w:p>
            <w:pPr>
              <w:pStyle w:val="11"/>
            </w:pPr>
            <w:r>
              <w:t>12.75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13.56</w:t>
            </w:r>
          </w:p>
        </w:tc>
        <w:tc>
          <w:tcPr>
            <w:tcW w:w="1474" w:type="dxa"/>
            <w:vAlign w:val="center"/>
          </w:tcPr>
          <w:p>
            <w:pPr>
              <w:pStyle w:val="11"/>
            </w:pPr>
            <w:r>
              <w:t>13.56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245.08</w:t>
            </w:r>
          </w:p>
        </w:tc>
        <w:tc>
          <w:tcPr>
            <w:tcW w:w="3402" w:type="dxa"/>
            <w:vAlign w:val="center"/>
          </w:tcPr>
          <w:p>
            <w:pPr>
              <w:pStyle w:val="14"/>
            </w:pPr>
            <w:r>
              <w:t>本年支出合计</w:t>
            </w:r>
          </w:p>
        </w:tc>
        <w:tc>
          <w:tcPr>
            <w:tcW w:w="1474" w:type="dxa"/>
            <w:vAlign w:val="center"/>
          </w:tcPr>
          <w:p>
            <w:pPr>
              <w:pStyle w:val="15"/>
            </w:pPr>
            <w:r>
              <w:t>245.08</w:t>
            </w:r>
          </w:p>
        </w:tc>
        <w:tc>
          <w:tcPr>
            <w:tcW w:w="1474" w:type="dxa"/>
            <w:vAlign w:val="center"/>
          </w:tcPr>
          <w:p>
            <w:pPr>
              <w:pStyle w:val="15"/>
            </w:pPr>
            <w:r>
              <w:t>245.08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245.08</w:t>
            </w:r>
          </w:p>
        </w:tc>
        <w:tc>
          <w:tcPr>
            <w:tcW w:w="3402" w:type="dxa"/>
            <w:vAlign w:val="center"/>
          </w:tcPr>
          <w:p>
            <w:pPr>
              <w:pStyle w:val="14"/>
            </w:pPr>
            <w:r>
              <w:t>支出总计</w:t>
            </w:r>
          </w:p>
        </w:tc>
        <w:tc>
          <w:tcPr>
            <w:tcW w:w="1474" w:type="dxa"/>
            <w:vAlign w:val="center"/>
          </w:tcPr>
          <w:p>
            <w:pPr>
              <w:pStyle w:val="15"/>
            </w:pPr>
            <w:r>
              <w:t>245.08</w:t>
            </w:r>
          </w:p>
        </w:tc>
        <w:tc>
          <w:tcPr>
            <w:tcW w:w="1474" w:type="dxa"/>
            <w:vAlign w:val="center"/>
          </w:tcPr>
          <w:p>
            <w:pPr>
              <w:pStyle w:val="15"/>
            </w:pPr>
            <w:r>
              <w:t>245.08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245.08</w:t>
            </w:r>
          </w:p>
        </w:tc>
        <w:tc>
          <w:tcPr>
            <w:tcW w:w="2551" w:type="dxa"/>
            <w:vAlign w:val="center"/>
          </w:tcPr>
          <w:p>
            <w:pPr>
              <w:pStyle w:val="15"/>
            </w:pPr>
            <w:r>
              <w:t>230.08</w:t>
            </w:r>
          </w:p>
        </w:tc>
        <w:tc>
          <w:tcPr>
            <w:tcW w:w="2551" w:type="dxa"/>
            <w:vAlign w:val="center"/>
          </w:tcPr>
          <w:p>
            <w:pPr>
              <w:pStyle w:val="15"/>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176.87</w:t>
            </w:r>
          </w:p>
        </w:tc>
        <w:tc>
          <w:tcPr>
            <w:tcW w:w="2551" w:type="dxa"/>
            <w:vAlign w:val="center"/>
          </w:tcPr>
          <w:p>
            <w:pPr>
              <w:pStyle w:val="11"/>
            </w:pPr>
            <w:r>
              <w:t>161.87</w:t>
            </w: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176.87</w:t>
            </w:r>
          </w:p>
        </w:tc>
        <w:tc>
          <w:tcPr>
            <w:tcW w:w="2551" w:type="dxa"/>
            <w:vAlign w:val="center"/>
          </w:tcPr>
          <w:p>
            <w:pPr>
              <w:pStyle w:val="11"/>
            </w:pPr>
            <w:r>
              <w:t>161.87</w:t>
            </w: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161.87</w:t>
            </w:r>
          </w:p>
        </w:tc>
        <w:tc>
          <w:tcPr>
            <w:tcW w:w="2551" w:type="dxa"/>
            <w:vAlign w:val="center"/>
          </w:tcPr>
          <w:p>
            <w:pPr>
              <w:pStyle w:val="11"/>
            </w:pPr>
            <w:r>
              <w:t>161.87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2012602</w:t>
            </w:r>
          </w:p>
        </w:tc>
        <w:tc>
          <w:tcPr>
            <w:tcW w:w="4535" w:type="dxa"/>
            <w:vAlign w:val="center"/>
          </w:tcPr>
          <w:p>
            <w:pPr>
              <w:pStyle w:val="12"/>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41.90</w:t>
            </w:r>
          </w:p>
        </w:tc>
        <w:tc>
          <w:tcPr>
            <w:tcW w:w="2551" w:type="dxa"/>
            <w:vAlign w:val="center"/>
          </w:tcPr>
          <w:p>
            <w:pPr>
              <w:pStyle w:val="11"/>
            </w:pPr>
            <w:r>
              <w:t>41.90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41.90</w:t>
            </w:r>
          </w:p>
        </w:tc>
        <w:tc>
          <w:tcPr>
            <w:tcW w:w="2551" w:type="dxa"/>
            <w:vAlign w:val="center"/>
          </w:tcPr>
          <w:p>
            <w:pPr>
              <w:pStyle w:val="11"/>
            </w:pPr>
            <w:r>
              <w:t>41.90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24.37</w:t>
            </w:r>
          </w:p>
        </w:tc>
        <w:tc>
          <w:tcPr>
            <w:tcW w:w="2551" w:type="dxa"/>
            <w:vAlign w:val="center"/>
          </w:tcPr>
          <w:p>
            <w:pPr>
              <w:pStyle w:val="11"/>
            </w:pPr>
            <w:r>
              <w:t>24.37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17.53</w:t>
            </w:r>
          </w:p>
        </w:tc>
        <w:tc>
          <w:tcPr>
            <w:tcW w:w="2551" w:type="dxa"/>
            <w:vAlign w:val="center"/>
          </w:tcPr>
          <w:p>
            <w:pPr>
              <w:pStyle w:val="11"/>
            </w:pPr>
            <w:r>
              <w:t>17.53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12.75</w:t>
            </w:r>
          </w:p>
        </w:tc>
        <w:tc>
          <w:tcPr>
            <w:tcW w:w="2551" w:type="dxa"/>
            <w:vAlign w:val="center"/>
          </w:tcPr>
          <w:p>
            <w:pPr>
              <w:pStyle w:val="11"/>
            </w:pPr>
            <w:r>
              <w:t>12.75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12.75</w:t>
            </w:r>
          </w:p>
        </w:tc>
        <w:tc>
          <w:tcPr>
            <w:tcW w:w="2551" w:type="dxa"/>
            <w:vAlign w:val="center"/>
          </w:tcPr>
          <w:p>
            <w:pPr>
              <w:pStyle w:val="11"/>
            </w:pPr>
            <w:r>
              <w:t>12.75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5.99</w:t>
            </w:r>
          </w:p>
        </w:tc>
        <w:tc>
          <w:tcPr>
            <w:tcW w:w="2551" w:type="dxa"/>
            <w:vAlign w:val="center"/>
          </w:tcPr>
          <w:p>
            <w:pPr>
              <w:pStyle w:val="11"/>
            </w:pPr>
            <w:r>
              <w:t>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6.76</w:t>
            </w:r>
          </w:p>
        </w:tc>
        <w:tc>
          <w:tcPr>
            <w:tcW w:w="2551" w:type="dxa"/>
            <w:vAlign w:val="center"/>
          </w:tcPr>
          <w:p>
            <w:pPr>
              <w:pStyle w:val="11"/>
            </w:pPr>
            <w:r>
              <w:t>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13.56</w:t>
            </w:r>
          </w:p>
        </w:tc>
        <w:tc>
          <w:tcPr>
            <w:tcW w:w="2551" w:type="dxa"/>
            <w:vAlign w:val="center"/>
          </w:tcPr>
          <w:p>
            <w:pPr>
              <w:pStyle w:val="11"/>
            </w:pPr>
            <w:r>
              <w:t>13.56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13.56</w:t>
            </w:r>
          </w:p>
        </w:tc>
        <w:tc>
          <w:tcPr>
            <w:tcW w:w="2551" w:type="dxa"/>
            <w:vAlign w:val="center"/>
          </w:tcPr>
          <w:p>
            <w:pPr>
              <w:pStyle w:val="11"/>
            </w:pPr>
            <w:r>
              <w:t>13.56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13.56</w:t>
            </w:r>
          </w:p>
        </w:tc>
        <w:tc>
          <w:tcPr>
            <w:tcW w:w="2551" w:type="dxa"/>
            <w:vAlign w:val="center"/>
          </w:tcPr>
          <w:p>
            <w:pPr>
              <w:pStyle w:val="11"/>
            </w:pPr>
            <w:r>
              <w:t>13.56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230.08</w:t>
            </w:r>
          </w:p>
        </w:tc>
        <w:tc>
          <w:tcPr>
            <w:tcW w:w="2551" w:type="dxa"/>
            <w:vAlign w:val="center"/>
          </w:tcPr>
          <w:p>
            <w:pPr>
              <w:pStyle w:val="15"/>
            </w:pPr>
            <w:r>
              <w:t>198.25</w:t>
            </w:r>
          </w:p>
        </w:tc>
        <w:tc>
          <w:tcPr>
            <w:tcW w:w="2551" w:type="dxa"/>
            <w:vAlign w:val="center"/>
          </w:tcPr>
          <w:p>
            <w:pPr>
              <w:pStyle w:val="15"/>
            </w:pPr>
            <w:r>
              <w:t>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173.88</w:t>
            </w:r>
          </w:p>
        </w:tc>
        <w:tc>
          <w:tcPr>
            <w:tcW w:w="2551" w:type="dxa"/>
            <w:vAlign w:val="center"/>
          </w:tcPr>
          <w:p>
            <w:pPr>
              <w:pStyle w:val="11"/>
            </w:pPr>
            <w:r>
              <w:t>173.88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48.97</w:t>
            </w:r>
          </w:p>
        </w:tc>
        <w:tc>
          <w:tcPr>
            <w:tcW w:w="2551" w:type="dxa"/>
            <w:vAlign w:val="center"/>
          </w:tcPr>
          <w:p>
            <w:pPr>
              <w:pStyle w:val="11"/>
            </w:pPr>
            <w:r>
              <w:t>48.97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10.04</w:t>
            </w:r>
          </w:p>
        </w:tc>
        <w:tc>
          <w:tcPr>
            <w:tcW w:w="2551" w:type="dxa"/>
            <w:vAlign w:val="center"/>
          </w:tcPr>
          <w:p>
            <w:pPr>
              <w:pStyle w:val="11"/>
            </w:pPr>
            <w:r>
              <w:t>10.04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69.95</w:t>
            </w:r>
          </w:p>
        </w:tc>
        <w:tc>
          <w:tcPr>
            <w:tcW w:w="2551" w:type="dxa"/>
            <w:vAlign w:val="center"/>
          </w:tcPr>
          <w:p>
            <w:pPr>
              <w:pStyle w:val="11"/>
            </w:pPr>
            <w:r>
              <w:t>69.95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17.53</w:t>
            </w:r>
          </w:p>
        </w:tc>
        <w:tc>
          <w:tcPr>
            <w:tcW w:w="2551" w:type="dxa"/>
            <w:vAlign w:val="center"/>
          </w:tcPr>
          <w:p>
            <w:pPr>
              <w:pStyle w:val="11"/>
            </w:pPr>
            <w:r>
              <w:t>17.53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5.99</w:t>
            </w:r>
          </w:p>
        </w:tc>
        <w:tc>
          <w:tcPr>
            <w:tcW w:w="2551" w:type="dxa"/>
            <w:vAlign w:val="center"/>
          </w:tcPr>
          <w:p>
            <w:pPr>
              <w:pStyle w:val="11"/>
            </w:pPr>
            <w:r>
              <w:t>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6.76</w:t>
            </w:r>
          </w:p>
        </w:tc>
        <w:tc>
          <w:tcPr>
            <w:tcW w:w="2551" w:type="dxa"/>
            <w:vAlign w:val="center"/>
          </w:tcPr>
          <w:p>
            <w:pPr>
              <w:pStyle w:val="11"/>
            </w:pPr>
            <w:r>
              <w:t>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13.56</w:t>
            </w:r>
          </w:p>
        </w:tc>
        <w:tc>
          <w:tcPr>
            <w:tcW w:w="2551" w:type="dxa"/>
            <w:vAlign w:val="center"/>
          </w:tcPr>
          <w:p>
            <w:pPr>
              <w:pStyle w:val="11"/>
            </w:pPr>
            <w:r>
              <w:t>13.56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31.83</w:t>
            </w:r>
          </w:p>
        </w:tc>
        <w:tc>
          <w:tcPr>
            <w:tcW w:w="2551" w:type="dxa"/>
            <w:vAlign w:val="center"/>
          </w:tcPr>
          <w:p>
            <w:pPr>
              <w:pStyle w:val="11"/>
            </w:pPr>
          </w:p>
        </w:tc>
        <w:tc>
          <w:tcPr>
            <w:tcW w:w="2551" w:type="dxa"/>
            <w:vAlign w:val="center"/>
          </w:tcPr>
          <w:p>
            <w:pPr>
              <w:pStyle w:val="11"/>
            </w:pPr>
            <w:r>
              <w:t>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1.91</w:t>
            </w:r>
          </w:p>
        </w:tc>
        <w:tc>
          <w:tcPr>
            <w:tcW w:w="2551" w:type="dxa"/>
            <w:vAlign w:val="center"/>
          </w:tcPr>
          <w:p>
            <w:pPr>
              <w:pStyle w:val="11"/>
            </w:pPr>
          </w:p>
        </w:tc>
        <w:tc>
          <w:tcPr>
            <w:tcW w:w="2551" w:type="dxa"/>
            <w:vAlign w:val="center"/>
          </w:tcPr>
          <w:p>
            <w:pPr>
              <w:pStyle w:val="11"/>
            </w:pPr>
            <w: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24.37</w:t>
            </w:r>
          </w:p>
        </w:tc>
        <w:tc>
          <w:tcPr>
            <w:tcW w:w="2551" w:type="dxa"/>
            <w:vAlign w:val="center"/>
          </w:tcPr>
          <w:p>
            <w:pPr>
              <w:pStyle w:val="11"/>
            </w:pPr>
            <w:r>
              <w:t>24.37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24.37</w:t>
            </w:r>
          </w:p>
        </w:tc>
        <w:tc>
          <w:tcPr>
            <w:tcW w:w="2551" w:type="dxa"/>
            <w:vAlign w:val="center"/>
          </w:tcPr>
          <w:p>
            <w:pPr>
              <w:pStyle w:val="11"/>
            </w:pPr>
            <w:r>
              <w:t>24.37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0.04</w:t>
            </w:r>
          </w:p>
        </w:tc>
        <w:tc>
          <w:tcPr>
            <w:tcW w:w="2381" w:type="dxa"/>
            <w:vAlign w:val="center"/>
          </w:tcPr>
          <w:p>
            <w:pPr>
              <w:pStyle w:val="15"/>
            </w:pPr>
            <w:r>
              <w:t>0.04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秦皇岛市海港区档案馆本级2025年单位预算信息公开情况说明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按照《中华人民共和国预算法》、《地方预决算公开操作规程》和《关于进一步推进预算公开工作的实施意见》规定，现将秦皇岛市海港区档案馆本级2025年单位预算公开如下：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一、档案收集保管与开发利用</w:t>
      </w:r>
    </w:p>
    <w:p>
      <w:pPr>
        <w:pStyle w:val="17"/>
      </w:pPr>
      <w: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pStyle w:val="17"/>
      </w:pPr>
      <w:r>
        <w:t>二、档案政务管理</w:t>
      </w:r>
    </w:p>
    <w:p>
      <w:pPr>
        <w:pStyle w:val="17"/>
      </w:pPr>
      <w: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245.08万元，其中：一般公共预算收入245.08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海港区档案馆本级年度单位预算中支出预算的总体情况。2025年支出预算245.08万元，其中基本支出230.08万元，包括人员经费198.25万元和日常公用经费31.83万元；项目支出15.00万元，主要为爱国主义教育基在工作经费2万元，档案工作经费（含企业人事档案管理经费）13万元。</w:t>
      </w:r>
    </w:p>
    <w:p>
      <w:pPr>
        <w:pStyle w:val="18"/>
      </w:pPr>
      <w:r>
        <w:t>3、比上年增减情况</w:t>
      </w:r>
    </w:p>
    <w:p>
      <w:pPr>
        <w:pStyle w:val="18"/>
      </w:pPr>
      <w:r>
        <w:t>2025年预算收支安排245.08万元，较2024年预算减少8.70万元，其中：基本支出减少6.70万元，主要为社会保障缴费减少及正常公用经费压减。项目支出减少2.00万元，主要为档案工作经费（含企业人事档案管理经费）压减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2025年，我单位机关运行经费共计安排31.83万元，主要用于日常维修、办公用房水电费、办公用房取暖费、办公用房物业管理费等日常运行支出。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0.04万元，其中因公出国（境）费0.00万元；公务用车购置及运维费0.00万元（其中：公务用车购置费为0.00万元，公务用车运维费0.00万元)；公务接待费0.04万元。与2024年相比</w:t>
      </w:r>
      <w:r>
        <w:rPr>
          <w:rFonts w:hint="eastAsia"/>
          <w:lang w:eastAsia="zh-CN"/>
        </w:rPr>
        <w:t>减少</w:t>
      </w:r>
      <w:r>
        <w:t>0.</w:t>
      </w:r>
      <w:r>
        <w:rPr>
          <w:rFonts w:hint="eastAsia"/>
          <w:lang w:val="en-US" w:eastAsia="zh-CN"/>
        </w:rPr>
        <w:t>13</w:t>
      </w:r>
      <w:r>
        <w:t>万元，增减变化的主要原因是公务接待费</w:t>
      </w:r>
      <w:r>
        <w:rPr>
          <w:rFonts w:hint="eastAsia"/>
          <w:lang w:eastAsia="zh-CN"/>
        </w:rPr>
        <w:t>预算</w:t>
      </w:r>
      <w:r>
        <w:t>减少。</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1、爱国主义教育基地工作经费绩效目标表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13030225P00001810002L</w:t>
            </w:r>
          </w:p>
        </w:tc>
        <w:tc>
          <w:tcPr>
            <w:tcW w:w="2835" w:type="dxa"/>
            <w:vAlign w:val="center"/>
          </w:tcPr>
          <w:p>
            <w:pPr>
              <w:pStyle w:val="10"/>
            </w:pPr>
            <w:r>
              <w:t>项目名称</w:t>
            </w:r>
          </w:p>
        </w:tc>
        <w:tc>
          <w:tcPr>
            <w:tcW w:w="6095" w:type="dxa"/>
            <w:gridSpan w:val="3"/>
            <w:vAlign w:val="center"/>
          </w:tcPr>
          <w:p>
            <w:pPr>
              <w:pStyle w:val="12"/>
            </w:pPr>
            <w:r>
              <w:t>爱国主义教育基地工作经费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维护爱国主义教育基地基础设施，收集有价值的档案资料，丰富爱国主义教育基地馆藏内容，举办爱国主义教育展览，并免费向社会开放。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0.10</w:t>
            </w:r>
          </w:p>
        </w:tc>
        <w:tc>
          <w:tcPr>
            <w:tcW w:w="2835" w:type="dxa"/>
            <w:vAlign w:val="center"/>
          </w:tcPr>
          <w:p>
            <w:pPr>
              <w:pStyle w:val="13"/>
            </w:pPr>
            <w:r>
              <w:t>2.00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1.维护爱国主义教育基地基础设施</w:t>
            </w:r>
          </w:p>
          <w:p>
            <w:pPr>
              <w:pStyle w:val="12"/>
            </w:pPr>
            <w:r>
              <w:t>2.举办爱国主义教育展览，并免费向社会开放</w:t>
            </w:r>
          </w:p>
          <w:p>
            <w:pPr>
              <w:pStyle w:val="12"/>
            </w:pPr>
            <w:r>
              <w:t>3.通过举办展览提升参观群众热情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基地设施维护完成率</w:t>
            </w:r>
          </w:p>
        </w:tc>
        <w:tc>
          <w:tcPr>
            <w:tcW w:w="5386" w:type="dxa"/>
            <w:vAlign w:val="center"/>
          </w:tcPr>
          <w:p>
            <w:pPr>
              <w:pStyle w:val="12"/>
            </w:pPr>
            <w:r>
              <w:t>维护爱国主义教育基地基础设施</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年度接待参观人次</w:t>
            </w:r>
          </w:p>
        </w:tc>
        <w:tc>
          <w:tcPr>
            <w:tcW w:w="5386" w:type="dxa"/>
            <w:vAlign w:val="center"/>
          </w:tcPr>
          <w:p>
            <w:pPr>
              <w:pStyle w:val="12"/>
            </w:pPr>
            <w:r>
              <w:t>爱国主人次义教育基地面向社会开放，年度参观</w:t>
            </w:r>
          </w:p>
        </w:tc>
        <w:tc>
          <w:tcPr>
            <w:tcW w:w="2268" w:type="dxa"/>
            <w:vAlign w:val="center"/>
          </w:tcPr>
          <w:p>
            <w:pPr>
              <w:pStyle w:val="12"/>
            </w:pPr>
            <w:r>
              <w:t>≥50人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设施设备正常运转率</w:t>
            </w:r>
          </w:p>
        </w:tc>
        <w:tc>
          <w:tcPr>
            <w:tcW w:w="5386" w:type="dxa"/>
            <w:vAlign w:val="center"/>
          </w:tcPr>
          <w:p>
            <w:pPr>
              <w:pStyle w:val="12"/>
            </w:pPr>
            <w:r>
              <w:t>对爱国主义教育基地设施设备进行维护，保证正常运转</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按计划时间完成展览、设备设施维护等工作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≤20000元</w:t>
            </w:r>
          </w:p>
        </w:tc>
        <w:tc>
          <w:tcPr>
            <w:tcW w:w="1276" w:type="dxa"/>
            <w:vAlign w:val="center"/>
          </w:tcPr>
          <w:p>
            <w:pPr>
              <w:pStyle w:val="12"/>
            </w:pPr>
            <w:r>
              <w:t>年度工作计划及预算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基础设施完好率</w:t>
            </w:r>
          </w:p>
        </w:tc>
        <w:tc>
          <w:tcPr>
            <w:tcW w:w="5386" w:type="dxa"/>
            <w:vAlign w:val="center"/>
          </w:tcPr>
          <w:p>
            <w:pPr>
              <w:pStyle w:val="12"/>
            </w:pPr>
            <w:r>
              <w:t>爱国主义教育基地基础设施完好率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提升参观群众爱国热情</w:t>
            </w:r>
          </w:p>
        </w:tc>
        <w:tc>
          <w:tcPr>
            <w:tcW w:w="5386" w:type="dxa"/>
            <w:vAlign w:val="center"/>
          </w:tcPr>
          <w:p>
            <w:pPr>
              <w:pStyle w:val="12"/>
            </w:pPr>
            <w:r>
              <w:t>爱国主义教育基地免费向社会开放促进群众提升爱国热情</w:t>
            </w:r>
          </w:p>
          <w:p>
            <w:pPr>
              <w:pStyle w:val="12"/>
            </w:pP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参观对象满意度</w:t>
            </w:r>
          </w:p>
        </w:tc>
        <w:tc>
          <w:tcPr>
            <w:tcW w:w="5386" w:type="dxa"/>
            <w:vAlign w:val="center"/>
          </w:tcPr>
          <w:p>
            <w:pPr>
              <w:pStyle w:val="12"/>
            </w:pPr>
            <w:r>
              <w:t>社会及群众对宣传展览活动满意程度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2、档案工作经费（含企业人事档案管理经费）绩效目标表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13030225P000018100011</w:t>
            </w:r>
          </w:p>
        </w:tc>
        <w:tc>
          <w:tcPr>
            <w:tcW w:w="2835" w:type="dxa"/>
            <w:vAlign w:val="center"/>
          </w:tcPr>
          <w:p>
            <w:pPr>
              <w:pStyle w:val="10"/>
            </w:pPr>
            <w:r>
              <w:t>项目名称</w:t>
            </w:r>
          </w:p>
        </w:tc>
        <w:tc>
          <w:tcPr>
            <w:tcW w:w="6095" w:type="dxa"/>
            <w:gridSpan w:val="3"/>
            <w:vAlign w:val="center"/>
          </w:tcPr>
          <w:p>
            <w:pPr>
              <w:pStyle w:val="12"/>
            </w:pPr>
            <w:r>
              <w:t>档案工作经费（含企业人事档案管理经费）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档案库房管理，提高全区档案馆室建设水平,做好重点档案抢救和保护。依据规定对档案进行征集、接收和整理，对相关单位纸质、电子、专题档案进行收集、整理和保存。包括：1、档案日常管理；2、档案装具；3、档案保护；4、档案抢修；5、档案收集与整理；6、档案扫描，数字化转换、备份，信息安全等级保护工作及特殊载体保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6.00</w:t>
            </w:r>
          </w:p>
        </w:tc>
        <w:tc>
          <w:tcPr>
            <w:tcW w:w="2551" w:type="dxa"/>
            <w:vAlign w:val="center"/>
          </w:tcPr>
          <w:p>
            <w:pPr>
              <w:pStyle w:val="13"/>
            </w:pPr>
            <w:r>
              <w:t>12.00</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1.丰富馆藏内容，方便保管和利用，完成档案修复、复制、开发等抢救保护工作。</w:t>
            </w:r>
          </w:p>
          <w:p>
            <w:pPr>
              <w:pStyle w:val="12"/>
            </w:pPr>
            <w:r>
              <w:t>2.完成档案扫描任务并实现对档案的数据化备份。</w:t>
            </w:r>
          </w:p>
          <w:p>
            <w:pPr>
              <w:pStyle w:val="12"/>
            </w:pPr>
            <w:r>
              <w:t>3.档案利用，把“死档案”变成“活信息”，更好的为各级党委、政府及民众服务。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档案数字化转换完成率</w:t>
            </w:r>
          </w:p>
          <w:p>
            <w:pPr>
              <w:pStyle w:val="12"/>
            </w:pPr>
          </w:p>
        </w:tc>
        <w:tc>
          <w:tcPr>
            <w:tcW w:w="5386" w:type="dxa"/>
            <w:vAlign w:val="center"/>
          </w:tcPr>
          <w:p>
            <w:pPr>
              <w:pStyle w:val="12"/>
            </w:pPr>
            <w:r>
              <w:t>档案扫描及数字化转换、备份工作完成情况</w:t>
            </w: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保护档案数量</w:t>
            </w:r>
          </w:p>
        </w:tc>
        <w:tc>
          <w:tcPr>
            <w:tcW w:w="5386" w:type="dxa"/>
            <w:vAlign w:val="center"/>
          </w:tcPr>
          <w:p>
            <w:pPr>
              <w:pStyle w:val="12"/>
            </w:pPr>
            <w:r>
              <w:t>年度内馆藏档案保护工作完成率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整理移交接收工作完成率</w:t>
            </w:r>
          </w:p>
        </w:tc>
        <w:tc>
          <w:tcPr>
            <w:tcW w:w="5386" w:type="dxa"/>
            <w:vAlign w:val="center"/>
          </w:tcPr>
          <w:p>
            <w:pPr>
              <w:pStyle w:val="12"/>
            </w:pPr>
            <w:r>
              <w:t>档案整理、移交、接收工作完成率</w:t>
            </w:r>
          </w:p>
          <w:p>
            <w:pPr>
              <w:pStyle w:val="12"/>
            </w:pPr>
          </w:p>
        </w:tc>
        <w:tc>
          <w:tcPr>
            <w:tcW w:w="2268" w:type="dxa"/>
            <w:vAlign w:val="center"/>
          </w:tcPr>
          <w:p>
            <w:pPr>
              <w:pStyle w:val="12"/>
            </w:pPr>
            <w:r>
              <w:t>≥80%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整理移交接收工作质量</w:t>
            </w:r>
          </w:p>
        </w:tc>
        <w:tc>
          <w:tcPr>
            <w:tcW w:w="5386" w:type="dxa"/>
            <w:vAlign w:val="center"/>
          </w:tcPr>
          <w:p>
            <w:pPr>
              <w:pStyle w:val="12"/>
            </w:pPr>
            <w:r>
              <w:t>档案整理及移交验收规范化程度</w:t>
            </w: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档案保护工作质量</w:t>
            </w:r>
          </w:p>
          <w:p>
            <w:pPr>
              <w:pStyle w:val="12"/>
            </w:pPr>
          </w:p>
        </w:tc>
        <w:tc>
          <w:tcPr>
            <w:tcW w:w="5386" w:type="dxa"/>
            <w:vAlign w:val="center"/>
          </w:tcPr>
          <w:p>
            <w:pPr>
              <w:pStyle w:val="12"/>
            </w:pPr>
            <w:r>
              <w:t>确保档案库房资料及外借档案安全完整</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档案设施设备完好率</w:t>
            </w:r>
          </w:p>
          <w:p>
            <w:pPr>
              <w:pStyle w:val="12"/>
            </w:pPr>
          </w:p>
        </w:tc>
        <w:tc>
          <w:tcPr>
            <w:tcW w:w="5386" w:type="dxa"/>
            <w:vAlign w:val="center"/>
          </w:tcPr>
          <w:p>
            <w:pPr>
              <w:pStyle w:val="12"/>
            </w:pPr>
            <w:r>
              <w:t>档案库房设施设备完好程度</w:t>
            </w:r>
          </w:p>
          <w:p>
            <w:pPr>
              <w:pStyle w:val="12"/>
            </w:pP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档案数字化质量</w:t>
            </w:r>
          </w:p>
        </w:tc>
        <w:tc>
          <w:tcPr>
            <w:tcW w:w="5386" w:type="dxa"/>
            <w:vAlign w:val="center"/>
          </w:tcPr>
          <w:p>
            <w:pPr>
              <w:pStyle w:val="12"/>
            </w:pPr>
            <w:r>
              <w:t>保证数字化过程中档案内容完整性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管理工作完成及时性</w:t>
            </w:r>
          </w:p>
          <w:p>
            <w:pPr>
              <w:pStyle w:val="12"/>
            </w:pPr>
          </w:p>
        </w:tc>
        <w:tc>
          <w:tcPr>
            <w:tcW w:w="5386" w:type="dxa"/>
            <w:vAlign w:val="center"/>
          </w:tcPr>
          <w:p>
            <w:pPr>
              <w:pStyle w:val="12"/>
            </w:pPr>
            <w:r>
              <w:t>年度内档案管理各项工作按时完成情况</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5386" w:type="dxa"/>
            <w:vAlign w:val="center"/>
          </w:tcPr>
          <w:p>
            <w:pPr>
              <w:pStyle w:val="12"/>
            </w:pPr>
            <w:r>
              <w:t>按预算合理控制费用支出</w:t>
            </w:r>
          </w:p>
          <w:p>
            <w:pPr>
              <w:pStyle w:val="12"/>
            </w:pPr>
          </w:p>
          <w:p>
            <w:pPr>
              <w:pStyle w:val="12"/>
            </w:pPr>
          </w:p>
        </w:tc>
        <w:tc>
          <w:tcPr>
            <w:tcW w:w="2268" w:type="dxa"/>
            <w:vAlign w:val="center"/>
          </w:tcPr>
          <w:p>
            <w:pPr>
              <w:pStyle w:val="12"/>
            </w:pPr>
            <w:r>
              <w:t>≤130000元</w:t>
            </w:r>
          </w:p>
        </w:tc>
        <w:tc>
          <w:tcPr>
            <w:tcW w:w="1276" w:type="dxa"/>
            <w:vAlign w:val="center"/>
          </w:tcPr>
          <w:p>
            <w:pPr>
              <w:pStyle w:val="12"/>
            </w:pPr>
            <w:r>
              <w:t>年度工作计划与预算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查准率持续提升</w:t>
            </w:r>
          </w:p>
          <w:p>
            <w:pPr>
              <w:pStyle w:val="12"/>
            </w:pPr>
          </w:p>
        </w:tc>
        <w:tc>
          <w:tcPr>
            <w:tcW w:w="5386" w:type="dxa"/>
            <w:vAlign w:val="center"/>
          </w:tcPr>
          <w:p>
            <w:pPr>
              <w:pStyle w:val="12"/>
            </w:pPr>
            <w:r>
              <w:t>档案查询、利用准确度逐年提升</w:t>
            </w:r>
          </w:p>
          <w:p>
            <w:pPr>
              <w:pStyle w:val="12"/>
            </w:pPr>
          </w:p>
        </w:tc>
        <w:tc>
          <w:tcPr>
            <w:tcW w:w="2268" w:type="dxa"/>
            <w:vAlign w:val="center"/>
          </w:tcPr>
          <w:p>
            <w:pPr>
              <w:pStyle w:val="12"/>
            </w:pPr>
            <w:r>
              <w:t>较上年明显提升</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增加利用档案的人次</w:t>
            </w:r>
          </w:p>
          <w:p>
            <w:pPr>
              <w:pStyle w:val="12"/>
            </w:pPr>
          </w:p>
        </w:tc>
        <w:tc>
          <w:tcPr>
            <w:tcW w:w="5386" w:type="dxa"/>
            <w:vAlign w:val="center"/>
          </w:tcPr>
          <w:p>
            <w:pPr>
              <w:pStyle w:val="12"/>
            </w:pPr>
            <w:r>
              <w:t>社会及单位查询利用档案数量。</w:t>
            </w:r>
          </w:p>
          <w:p>
            <w:pPr>
              <w:pStyle w:val="12"/>
            </w:pPr>
          </w:p>
        </w:tc>
        <w:tc>
          <w:tcPr>
            <w:tcW w:w="2268" w:type="dxa"/>
            <w:vAlign w:val="center"/>
          </w:tcPr>
          <w:p>
            <w:pPr>
              <w:pStyle w:val="12"/>
            </w:pPr>
            <w:r>
              <w:t>≥500人</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档案利用对象满意度</w:t>
            </w:r>
          </w:p>
        </w:tc>
        <w:tc>
          <w:tcPr>
            <w:tcW w:w="5386" w:type="dxa"/>
            <w:vAlign w:val="center"/>
          </w:tcPr>
          <w:p>
            <w:pPr>
              <w:pStyle w:val="12"/>
            </w:pPr>
            <w:r>
              <w:t>社会及单位查询、利用档案满意程度</w:t>
            </w:r>
          </w:p>
          <w:p>
            <w:pPr>
              <w:pStyle w:val="12"/>
            </w:pP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18.60</w:t>
            </w:r>
          </w:p>
        </w:tc>
        <w:tc>
          <w:tcPr>
            <w:tcW w:w="964" w:type="dxa"/>
            <w:vAlign w:val="center"/>
          </w:tcPr>
          <w:p>
            <w:pPr>
              <w:pStyle w:val="15"/>
            </w:pPr>
            <w:r>
              <w:t>18.60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秦皇岛市海港区档案馆本级小计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18.60</w:t>
            </w:r>
          </w:p>
        </w:tc>
        <w:tc>
          <w:tcPr>
            <w:tcW w:w="964" w:type="dxa"/>
            <w:vAlign w:val="center"/>
          </w:tcPr>
          <w:p>
            <w:pPr>
              <w:pStyle w:val="15"/>
            </w:pPr>
            <w:r>
              <w:t>18.60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20.82</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11.01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11.01</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1.43</w:t>
            </w:r>
          </w:p>
        </w:tc>
        <w:tc>
          <w:tcPr>
            <w:tcW w:w="964" w:type="dxa"/>
            <w:vAlign w:val="center"/>
          </w:tcPr>
          <w:p>
            <w:pPr>
              <w:pStyle w:val="11"/>
            </w:pPr>
            <w:r>
              <w:t>1.43</w:t>
            </w:r>
          </w:p>
        </w:tc>
        <w:tc>
          <w:tcPr>
            <w:tcW w:w="964" w:type="dxa"/>
            <w:vAlign w:val="center"/>
          </w:tcPr>
          <w:p>
            <w:pPr>
              <w:pStyle w:val="11"/>
            </w:pPr>
            <w:r>
              <w:t>1.43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档案工作经费（含企业人事档案管理经费）</w:t>
            </w:r>
          </w:p>
        </w:tc>
        <w:tc>
          <w:tcPr>
            <w:tcW w:w="964" w:type="dxa"/>
            <w:vAlign w:val="center"/>
          </w:tcPr>
          <w:p>
            <w:pPr>
              <w:pStyle w:val="11"/>
            </w:pPr>
            <w:r>
              <w:t>13.00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秦皇岛市海港区档案馆本级上年末固定资产金额为143.00万元（详见下表）。本年度拟购置固定资产总额为0.00万元，已按要求列入政府采购预算，详见政府采购预算表。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241001秦皇岛市海港区档案馆本级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611</w:t>
            </w:r>
          </w:p>
        </w:tc>
        <w:tc>
          <w:tcPr>
            <w:tcW w:w="2835" w:type="dxa"/>
            <w:vAlign w:val="center"/>
          </w:tcPr>
          <w:p>
            <w:pPr>
              <w:pStyle w:val="11"/>
            </w:pPr>
            <w:r>
              <w:t>143.00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3C76D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2025-04-03T08:27:00Z</dcterms:created>
  <dc:creator>Administrator</dc:creator>
  <cp:lastModifiedBy>Administrator</cp:lastModifiedBy>
  <dcterms:modified xsi:type="dcterms:W3CDTF">2025-04-03T00:41:35Z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0EA7E627D7A242BD89F05D7837499BE6</vt:lpwstr>
  </property>
</Properties>
</file>