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42</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414秦皇岛市海港区市场监督管理局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3796.79</w:t>
            </w:r>
          </w:p>
        </w:tc>
        <w:tc>
          <w:tcPr>
            <w:tcW w:w="4535" w:type="dxa"/>
            <w:vAlign w:val="center"/>
          </w:tcPr>
          <w:p>
            <w:pPr>
              <w:pStyle w:val="13"/>
            </w:pPr>
            <w:r>
              <w:t>一、一般公共服务支出</w:t>
            </w:r>
          </w:p>
        </w:tc>
        <w:tc>
          <w:tcPr>
            <w:tcW w:w="2126" w:type="dxa"/>
            <w:vAlign w:val="center"/>
          </w:tcPr>
          <w:p>
            <w:pPr>
              <w:pStyle w:val="12"/>
            </w:pPr>
            <w:r>
              <w:t>2596.10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794.74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207.40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198.55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3796.79</w:t>
            </w:r>
          </w:p>
        </w:tc>
        <w:tc>
          <w:tcPr>
            <w:tcW w:w="4535" w:type="dxa"/>
            <w:vAlign w:val="center"/>
          </w:tcPr>
          <w:p>
            <w:pPr>
              <w:pStyle w:val="15"/>
            </w:pPr>
            <w:r>
              <w:t>本年支出合计</w:t>
            </w:r>
          </w:p>
        </w:tc>
        <w:tc>
          <w:tcPr>
            <w:tcW w:w="2126" w:type="dxa"/>
            <w:vAlign w:val="center"/>
          </w:tcPr>
          <w:p>
            <w:pPr>
              <w:pStyle w:val="16"/>
            </w:pPr>
            <w:r>
              <w:t>3796.79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3796.79</w:t>
            </w:r>
          </w:p>
        </w:tc>
        <w:tc>
          <w:tcPr>
            <w:tcW w:w="4535" w:type="dxa"/>
            <w:vAlign w:val="center"/>
          </w:tcPr>
          <w:p>
            <w:pPr>
              <w:pStyle w:val="15"/>
            </w:pPr>
            <w:r>
              <w:t>支出总计</w:t>
            </w:r>
          </w:p>
        </w:tc>
        <w:tc>
          <w:tcPr>
            <w:tcW w:w="2126" w:type="dxa"/>
            <w:vAlign w:val="center"/>
          </w:tcPr>
          <w:p>
            <w:pPr>
              <w:pStyle w:val="16"/>
            </w:pPr>
            <w:r>
              <w:t>3796.79</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414秦皇岛市海港区市场监督管理局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3796.79</w:t>
            </w:r>
          </w:p>
        </w:tc>
        <w:tc>
          <w:tcPr>
            <w:tcW w:w="1134" w:type="dxa"/>
            <w:vAlign w:val="center"/>
          </w:tcPr>
          <w:p>
            <w:pPr>
              <w:pStyle w:val="16"/>
            </w:pPr>
            <w:r>
              <w:t>3796.79</w:t>
            </w:r>
          </w:p>
        </w:tc>
        <w:tc>
          <w:tcPr>
            <w:tcW w:w="1134" w:type="dxa"/>
            <w:vAlign w:val="center"/>
          </w:tcPr>
          <w:p>
            <w:pPr>
              <w:pStyle w:val="16"/>
            </w:pPr>
            <w:r>
              <w:t>3796.79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2596.10</w:t>
            </w:r>
          </w:p>
        </w:tc>
        <w:tc>
          <w:tcPr>
            <w:tcW w:w="1134" w:type="dxa"/>
            <w:vAlign w:val="center"/>
          </w:tcPr>
          <w:p>
            <w:pPr>
              <w:pStyle w:val="12"/>
            </w:pPr>
            <w:r>
              <w:t>2596.10</w:t>
            </w:r>
          </w:p>
        </w:tc>
        <w:tc>
          <w:tcPr>
            <w:tcW w:w="1134" w:type="dxa"/>
            <w:vAlign w:val="center"/>
          </w:tcPr>
          <w:p>
            <w:pPr>
              <w:pStyle w:val="12"/>
            </w:pPr>
            <w:r>
              <w:t>2596.10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20138</w:t>
            </w:r>
          </w:p>
        </w:tc>
        <w:tc>
          <w:tcPr>
            <w:tcW w:w="1559" w:type="dxa"/>
            <w:vAlign w:val="center"/>
          </w:tcPr>
          <w:p>
            <w:pPr>
              <w:pStyle w:val="13"/>
            </w:pPr>
            <w:r>
              <w:t>市场监督管理事务</w:t>
            </w:r>
          </w:p>
        </w:tc>
        <w:tc>
          <w:tcPr>
            <w:tcW w:w="1134" w:type="dxa"/>
            <w:vAlign w:val="center"/>
          </w:tcPr>
          <w:p>
            <w:pPr>
              <w:pStyle w:val="12"/>
            </w:pPr>
            <w:r>
              <w:t>2596.10</w:t>
            </w:r>
          </w:p>
        </w:tc>
        <w:tc>
          <w:tcPr>
            <w:tcW w:w="1134" w:type="dxa"/>
            <w:vAlign w:val="center"/>
          </w:tcPr>
          <w:p>
            <w:pPr>
              <w:pStyle w:val="12"/>
            </w:pPr>
            <w:r>
              <w:t>2596.10</w:t>
            </w:r>
          </w:p>
        </w:tc>
        <w:tc>
          <w:tcPr>
            <w:tcW w:w="1134" w:type="dxa"/>
            <w:vAlign w:val="center"/>
          </w:tcPr>
          <w:p>
            <w:pPr>
              <w:pStyle w:val="12"/>
            </w:pPr>
            <w:r>
              <w:t>2596.10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2013801</w:t>
            </w:r>
          </w:p>
        </w:tc>
        <w:tc>
          <w:tcPr>
            <w:tcW w:w="1559" w:type="dxa"/>
            <w:vAlign w:val="center"/>
          </w:tcPr>
          <w:p>
            <w:pPr>
              <w:pStyle w:val="13"/>
            </w:pPr>
            <w:r>
              <w:t>行政运行</w:t>
            </w:r>
          </w:p>
        </w:tc>
        <w:tc>
          <w:tcPr>
            <w:tcW w:w="1134" w:type="dxa"/>
            <w:vAlign w:val="center"/>
          </w:tcPr>
          <w:p>
            <w:pPr>
              <w:pStyle w:val="12"/>
            </w:pPr>
            <w:r>
              <w:t>2262.30</w:t>
            </w:r>
          </w:p>
        </w:tc>
        <w:tc>
          <w:tcPr>
            <w:tcW w:w="1134" w:type="dxa"/>
            <w:vAlign w:val="center"/>
          </w:tcPr>
          <w:p>
            <w:pPr>
              <w:pStyle w:val="12"/>
            </w:pPr>
            <w:r>
              <w:t>2262.30</w:t>
            </w:r>
          </w:p>
        </w:tc>
        <w:tc>
          <w:tcPr>
            <w:tcW w:w="1134" w:type="dxa"/>
            <w:vAlign w:val="center"/>
          </w:tcPr>
          <w:p>
            <w:pPr>
              <w:pStyle w:val="12"/>
            </w:pPr>
            <w:r>
              <w:t>2262.30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2013804</w:t>
            </w:r>
          </w:p>
        </w:tc>
        <w:tc>
          <w:tcPr>
            <w:tcW w:w="1559" w:type="dxa"/>
            <w:vAlign w:val="center"/>
          </w:tcPr>
          <w:p>
            <w:pPr>
              <w:pStyle w:val="13"/>
            </w:pPr>
            <w:r>
              <w:t>经营主体管理</w:t>
            </w:r>
          </w:p>
        </w:tc>
        <w:tc>
          <w:tcPr>
            <w:tcW w:w="1134" w:type="dxa"/>
            <w:vAlign w:val="center"/>
          </w:tcPr>
          <w:p>
            <w:pPr>
              <w:pStyle w:val="12"/>
            </w:pPr>
            <w:r>
              <w:t>186.00</w:t>
            </w:r>
          </w:p>
        </w:tc>
        <w:tc>
          <w:tcPr>
            <w:tcW w:w="1134" w:type="dxa"/>
            <w:vAlign w:val="center"/>
          </w:tcPr>
          <w:p>
            <w:pPr>
              <w:pStyle w:val="12"/>
            </w:pPr>
            <w:r>
              <w:t>186.00</w:t>
            </w:r>
          </w:p>
        </w:tc>
        <w:tc>
          <w:tcPr>
            <w:tcW w:w="1134" w:type="dxa"/>
            <w:vAlign w:val="center"/>
          </w:tcPr>
          <w:p>
            <w:pPr>
              <w:pStyle w:val="12"/>
            </w:pPr>
            <w:r>
              <w:t>186.00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2013805</w:t>
            </w:r>
          </w:p>
        </w:tc>
        <w:tc>
          <w:tcPr>
            <w:tcW w:w="1559" w:type="dxa"/>
            <w:vAlign w:val="center"/>
          </w:tcPr>
          <w:p>
            <w:pPr>
              <w:pStyle w:val="13"/>
            </w:pPr>
            <w:r>
              <w:t>市场秩序执法</w:t>
            </w:r>
          </w:p>
        </w:tc>
        <w:tc>
          <w:tcPr>
            <w:tcW w:w="1134" w:type="dxa"/>
            <w:vAlign w:val="center"/>
          </w:tcPr>
          <w:p>
            <w:pPr>
              <w:pStyle w:val="12"/>
            </w:pPr>
            <w:r>
              <w:t>147.80</w:t>
            </w:r>
          </w:p>
        </w:tc>
        <w:tc>
          <w:tcPr>
            <w:tcW w:w="1134" w:type="dxa"/>
            <w:vAlign w:val="center"/>
          </w:tcPr>
          <w:p>
            <w:pPr>
              <w:pStyle w:val="12"/>
            </w:pPr>
            <w:r>
              <w:t>147.80</w:t>
            </w:r>
          </w:p>
        </w:tc>
        <w:tc>
          <w:tcPr>
            <w:tcW w:w="1134" w:type="dxa"/>
            <w:vAlign w:val="center"/>
          </w:tcPr>
          <w:p>
            <w:pPr>
              <w:pStyle w:val="12"/>
            </w:pPr>
            <w:r>
              <w:t>147.80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794.74</w:t>
            </w:r>
          </w:p>
        </w:tc>
        <w:tc>
          <w:tcPr>
            <w:tcW w:w="1134" w:type="dxa"/>
            <w:vAlign w:val="center"/>
          </w:tcPr>
          <w:p>
            <w:pPr>
              <w:pStyle w:val="12"/>
            </w:pPr>
            <w:r>
              <w:t>794.74</w:t>
            </w:r>
          </w:p>
        </w:tc>
        <w:tc>
          <w:tcPr>
            <w:tcW w:w="1134" w:type="dxa"/>
            <w:vAlign w:val="center"/>
          </w:tcPr>
          <w:p>
            <w:pPr>
              <w:pStyle w:val="12"/>
            </w:pPr>
            <w:r>
              <w:t>794.74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794.74</w:t>
            </w:r>
          </w:p>
        </w:tc>
        <w:tc>
          <w:tcPr>
            <w:tcW w:w="1134" w:type="dxa"/>
            <w:vAlign w:val="center"/>
          </w:tcPr>
          <w:p>
            <w:pPr>
              <w:pStyle w:val="12"/>
            </w:pPr>
            <w:r>
              <w:t>794.74</w:t>
            </w:r>
          </w:p>
        </w:tc>
        <w:tc>
          <w:tcPr>
            <w:tcW w:w="1134" w:type="dxa"/>
            <w:vAlign w:val="center"/>
          </w:tcPr>
          <w:p>
            <w:pPr>
              <w:pStyle w:val="12"/>
            </w:pPr>
            <w:r>
              <w:t>794.74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537.43</w:t>
            </w:r>
          </w:p>
        </w:tc>
        <w:tc>
          <w:tcPr>
            <w:tcW w:w="1134" w:type="dxa"/>
            <w:vAlign w:val="center"/>
          </w:tcPr>
          <w:p>
            <w:pPr>
              <w:pStyle w:val="12"/>
            </w:pPr>
            <w:r>
              <w:t>537.43</w:t>
            </w:r>
          </w:p>
        </w:tc>
        <w:tc>
          <w:tcPr>
            <w:tcW w:w="1134" w:type="dxa"/>
            <w:vAlign w:val="center"/>
          </w:tcPr>
          <w:p>
            <w:pPr>
              <w:pStyle w:val="12"/>
            </w:pPr>
            <w:r>
              <w:t>537.43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257.31</w:t>
            </w:r>
          </w:p>
        </w:tc>
        <w:tc>
          <w:tcPr>
            <w:tcW w:w="1134" w:type="dxa"/>
            <w:vAlign w:val="center"/>
          </w:tcPr>
          <w:p>
            <w:pPr>
              <w:pStyle w:val="12"/>
            </w:pPr>
            <w:r>
              <w:t>257.31</w:t>
            </w:r>
          </w:p>
        </w:tc>
        <w:tc>
          <w:tcPr>
            <w:tcW w:w="1134" w:type="dxa"/>
            <w:vAlign w:val="center"/>
          </w:tcPr>
          <w:p>
            <w:pPr>
              <w:pStyle w:val="12"/>
            </w:pPr>
            <w:r>
              <w:t>257.31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207.40</w:t>
            </w:r>
          </w:p>
        </w:tc>
        <w:tc>
          <w:tcPr>
            <w:tcW w:w="1134" w:type="dxa"/>
            <w:vAlign w:val="center"/>
          </w:tcPr>
          <w:p>
            <w:pPr>
              <w:pStyle w:val="12"/>
            </w:pPr>
            <w:r>
              <w:t>207.40</w:t>
            </w:r>
          </w:p>
        </w:tc>
        <w:tc>
          <w:tcPr>
            <w:tcW w:w="1134" w:type="dxa"/>
            <w:vAlign w:val="center"/>
          </w:tcPr>
          <w:p>
            <w:pPr>
              <w:pStyle w:val="12"/>
            </w:pPr>
            <w:r>
              <w:t>207.40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207.40</w:t>
            </w:r>
          </w:p>
        </w:tc>
        <w:tc>
          <w:tcPr>
            <w:tcW w:w="1134" w:type="dxa"/>
            <w:vAlign w:val="center"/>
          </w:tcPr>
          <w:p>
            <w:pPr>
              <w:pStyle w:val="12"/>
            </w:pPr>
            <w:r>
              <w:t>207.40</w:t>
            </w:r>
          </w:p>
        </w:tc>
        <w:tc>
          <w:tcPr>
            <w:tcW w:w="1134" w:type="dxa"/>
            <w:vAlign w:val="center"/>
          </w:tcPr>
          <w:p>
            <w:pPr>
              <w:pStyle w:val="12"/>
            </w:pPr>
            <w:r>
              <w:t>207.40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88.94</w:t>
            </w:r>
          </w:p>
        </w:tc>
        <w:tc>
          <w:tcPr>
            <w:tcW w:w="1134" w:type="dxa"/>
            <w:vAlign w:val="center"/>
          </w:tcPr>
          <w:p>
            <w:pPr>
              <w:pStyle w:val="12"/>
            </w:pPr>
            <w:r>
              <w:t>88.94</w:t>
            </w:r>
          </w:p>
        </w:tc>
        <w:tc>
          <w:tcPr>
            <w:tcW w:w="1134" w:type="dxa"/>
            <w:vAlign w:val="center"/>
          </w:tcPr>
          <w:p>
            <w:pPr>
              <w:pStyle w:val="12"/>
            </w:pPr>
            <w:r>
              <w:t>88.94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118.46</w:t>
            </w:r>
          </w:p>
        </w:tc>
        <w:tc>
          <w:tcPr>
            <w:tcW w:w="1134" w:type="dxa"/>
            <w:vAlign w:val="center"/>
          </w:tcPr>
          <w:p>
            <w:pPr>
              <w:pStyle w:val="12"/>
            </w:pPr>
            <w:r>
              <w:t>118.46</w:t>
            </w:r>
          </w:p>
        </w:tc>
        <w:tc>
          <w:tcPr>
            <w:tcW w:w="1134" w:type="dxa"/>
            <w:vAlign w:val="center"/>
          </w:tcPr>
          <w:p>
            <w:pPr>
              <w:pStyle w:val="12"/>
            </w:pPr>
            <w:r>
              <w:t>118.46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198.55</w:t>
            </w:r>
          </w:p>
        </w:tc>
        <w:tc>
          <w:tcPr>
            <w:tcW w:w="1134" w:type="dxa"/>
            <w:vAlign w:val="center"/>
          </w:tcPr>
          <w:p>
            <w:pPr>
              <w:pStyle w:val="12"/>
            </w:pPr>
            <w:r>
              <w:t>198.55</w:t>
            </w:r>
          </w:p>
        </w:tc>
        <w:tc>
          <w:tcPr>
            <w:tcW w:w="1134" w:type="dxa"/>
            <w:vAlign w:val="center"/>
          </w:tcPr>
          <w:p>
            <w:pPr>
              <w:pStyle w:val="12"/>
            </w:pPr>
            <w:r>
              <w:t>198.55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198.55</w:t>
            </w:r>
          </w:p>
        </w:tc>
        <w:tc>
          <w:tcPr>
            <w:tcW w:w="1134" w:type="dxa"/>
            <w:vAlign w:val="center"/>
          </w:tcPr>
          <w:p>
            <w:pPr>
              <w:pStyle w:val="12"/>
            </w:pPr>
            <w:r>
              <w:t>198.55</w:t>
            </w:r>
          </w:p>
        </w:tc>
        <w:tc>
          <w:tcPr>
            <w:tcW w:w="1134" w:type="dxa"/>
            <w:vAlign w:val="center"/>
          </w:tcPr>
          <w:p>
            <w:pPr>
              <w:pStyle w:val="12"/>
            </w:pPr>
            <w:r>
              <w:t>198.55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198.55</w:t>
            </w:r>
          </w:p>
        </w:tc>
        <w:tc>
          <w:tcPr>
            <w:tcW w:w="1134" w:type="dxa"/>
            <w:vAlign w:val="center"/>
          </w:tcPr>
          <w:p>
            <w:pPr>
              <w:pStyle w:val="12"/>
            </w:pPr>
            <w:r>
              <w:t>198.55</w:t>
            </w:r>
          </w:p>
        </w:tc>
        <w:tc>
          <w:tcPr>
            <w:tcW w:w="1134" w:type="dxa"/>
            <w:vAlign w:val="center"/>
          </w:tcPr>
          <w:p>
            <w:pPr>
              <w:pStyle w:val="12"/>
            </w:pPr>
            <w:r>
              <w:t>198.55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414秦皇岛市海港区市场监督管理局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3796.79</w:t>
            </w:r>
          </w:p>
        </w:tc>
        <w:tc>
          <w:tcPr>
            <w:tcW w:w="1361" w:type="dxa"/>
            <w:vAlign w:val="center"/>
          </w:tcPr>
          <w:p>
            <w:pPr>
              <w:pStyle w:val="16"/>
            </w:pPr>
            <w:r>
              <w:t>3462.99</w:t>
            </w:r>
          </w:p>
        </w:tc>
        <w:tc>
          <w:tcPr>
            <w:tcW w:w="1361" w:type="dxa"/>
            <w:vAlign w:val="center"/>
          </w:tcPr>
          <w:p>
            <w:pPr>
              <w:pStyle w:val="16"/>
            </w:pPr>
            <w:r>
              <w:t>333.80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2596.10</w:t>
            </w:r>
          </w:p>
        </w:tc>
        <w:tc>
          <w:tcPr>
            <w:tcW w:w="1361" w:type="dxa"/>
            <w:vAlign w:val="center"/>
          </w:tcPr>
          <w:p>
            <w:pPr>
              <w:pStyle w:val="12"/>
            </w:pPr>
            <w:r>
              <w:t>2262.30</w:t>
            </w:r>
          </w:p>
        </w:tc>
        <w:tc>
          <w:tcPr>
            <w:tcW w:w="1361" w:type="dxa"/>
            <w:vAlign w:val="center"/>
          </w:tcPr>
          <w:p>
            <w:pPr>
              <w:pStyle w:val="12"/>
            </w:pPr>
            <w:r>
              <w:t>333.80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20138</w:t>
            </w:r>
          </w:p>
        </w:tc>
        <w:tc>
          <w:tcPr>
            <w:tcW w:w="4535" w:type="dxa"/>
            <w:vAlign w:val="center"/>
          </w:tcPr>
          <w:p>
            <w:pPr>
              <w:pStyle w:val="13"/>
            </w:pPr>
            <w:r>
              <w:t>市场监督管理事务</w:t>
            </w:r>
          </w:p>
        </w:tc>
        <w:tc>
          <w:tcPr>
            <w:tcW w:w="1361" w:type="dxa"/>
            <w:vAlign w:val="center"/>
          </w:tcPr>
          <w:p>
            <w:pPr>
              <w:pStyle w:val="12"/>
            </w:pPr>
            <w:r>
              <w:t>2596.10</w:t>
            </w:r>
          </w:p>
        </w:tc>
        <w:tc>
          <w:tcPr>
            <w:tcW w:w="1361" w:type="dxa"/>
            <w:vAlign w:val="center"/>
          </w:tcPr>
          <w:p>
            <w:pPr>
              <w:pStyle w:val="12"/>
            </w:pPr>
            <w:r>
              <w:t>2262.30</w:t>
            </w:r>
          </w:p>
        </w:tc>
        <w:tc>
          <w:tcPr>
            <w:tcW w:w="1361" w:type="dxa"/>
            <w:vAlign w:val="center"/>
          </w:tcPr>
          <w:p>
            <w:pPr>
              <w:pStyle w:val="12"/>
            </w:pPr>
            <w:r>
              <w:t>333.80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2013801</w:t>
            </w:r>
          </w:p>
        </w:tc>
        <w:tc>
          <w:tcPr>
            <w:tcW w:w="4535" w:type="dxa"/>
            <w:vAlign w:val="center"/>
          </w:tcPr>
          <w:p>
            <w:pPr>
              <w:pStyle w:val="13"/>
            </w:pPr>
            <w:r>
              <w:t>行政运行</w:t>
            </w:r>
          </w:p>
        </w:tc>
        <w:tc>
          <w:tcPr>
            <w:tcW w:w="1361" w:type="dxa"/>
            <w:vAlign w:val="center"/>
          </w:tcPr>
          <w:p>
            <w:pPr>
              <w:pStyle w:val="12"/>
            </w:pPr>
            <w:r>
              <w:t>2262.30</w:t>
            </w:r>
          </w:p>
        </w:tc>
        <w:tc>
          <w:tcPr>
            <w:tcW w:w="1361" w:type="dxa"/>
            <w:vAlign w:val="center"/>
          </w:tcPr>
          <w:p>
            <w:pPr>
              <w:pStyle w:val="12"/>
            </w:pPr>
            <w:r>
              <w:t>2262.30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2013804</w:t>
            </w:r>
          </w:p>
        </w:tc>
        <w:tc>
          <w:tcPr>
            <w:tcW w:w="4535" w:type="dxa"/>
            <w:vAlign w:val="center"/>
          </w:tcPr>
          <w:p>
            <w:pPr>
              <w:pStyle w:val="13"/>
            </w:pPr>
            <w:r>
              <w:t>经营主体管理</w:t>
            </w:r>
          </w:p>
        </w:tc>
        <w:tc>
          <w:tcPr>
            <w:tcW w:w="1361" w:type="dxa"/>
            <w:vAlign w:val="center"/>
          </w:tcPr>
          <w:p>
            <w:pPr>
              <w:pStyle w:val="12"/>
            </w:pPr>
            <w:r>
              <w:t>186.00</w:t>
            </w:r>
          </w:p>
        </w:tc>
        <w:tc>
          <w:tcPr>
            <w:tcW w:w="1361" w:type="dxa"/>
            <w:vAlign w:val="center"/>
          </w:tcPr>
          <w:p>
            <w:pPr>
              <w:pStyle w:val="12"/>
            </w:pPr>
          </w:p>
        </w:tc>
        <w:tc>
          <w:tcPr>
            <w:tcW w:w="1361" w:type="dxa"/>
            <w:vAlign w:val="center"/>
          </w:tcPr>
          <w:p>
            <w:pPr>
              <w:pStyle w:val="12"/>
            </w:pPr>
            <w:r>
              <w:t>186.00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2013805</w:t>
            </w:r>
          </w:p>
        </w:tc>
        <w:tc>
          <w:tcPr>
            <w:tcW w:w="4535" w:type="dxa"/>
            <w:vAlign w:val="center"/>
          </w:tcPr>
          <w:p>
            <w:pPr>
              <w:pStyle w:val="13"/>
            </w:pPr>
            <w:r>
              <w:t>市场秩序执法</w:t>
            </w:r>
          </w:p>
        </w:tc>
        <w:tc>
          <w:tcPr>
            <w:tcW w:w="1361" w:type="dxa"/>
            <w:vAlign w:val="center"/>
          </w:tcPr>
          <w:p>
            <w:pPr>
              <w:pStyle w:val="12"/>
            </w:pPr>
            <w:r>
              <w:t>147.80</w:t>
            </w:r>
          </w:p>
        </w:tc>
        <w:tc>
          <w:tcPr>
            <w:tcW w:w="1361" w:type="dxa"/>
            <w:vAlign w:val="center"/>
          </w:tcPr>
          <w:p>
            <w:pPr>
              <w:pStyle w:val="12"/>
            </w:pPr>
          </w:p>
        </w:tc>
        <w:tc>
          <w:tcPr>
            <w:tcW w:w="1361" w:type="dxa"/>
            <w:vAlign w:val="center"/>
          </w:tcPr>
          <w:p>
            <w:pPr>
              <w:pStyle w:val="12"/>
            </w:pPr>
            <w:r>
              <w:t>147.80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794.74</w:t>
            </w:r>
          </w:p>
        </w:tc>
        <w:tc>
          <w:tcPr>
            <w:tcW w:w="1361" w:type="dxa"/>
            <w:vAlign w:val="center"/>
          </w:tcPr>
          <w:p>
            <w:pPr>
              <w:pStyle w:val="12"/>
            </w:pPr>
            <w:r>
              <w:t>794.74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794.74</w:t>
            </w:r>
          </w:p>
        </w:tc>
        <w:tc>
          <w:tcPr>
            <w:tcW w:w="1361" w:type="dxa"/>
            <w:vAlign w:val="center"/>
          </w:tcPr>
          <w:p>
            <w:pPr>
              <w:pStyle w:val="12"/>
            </w:pPr>
            <w:r>
              <w:t>794.74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537.43</w:t>
            </w:r>
          </w:p>
        </w:tc>
        <w:tc>
          <w:tcPr>
            <w:tcW w:w="1361" w:type="dxa"/>
            <w:vAlign w:val="center"/>
          </w:tcPr>
          <w:p>
            <w:pPr>
              <w:pStyle w:val="12"/>
            </w:pPr>
            <w:r>
              <w:t>537.43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257.31</w:t>
            </w:r>
          </w:p>
        </w:tc>
        <w:tc>
          <w:tcPr>
            <w:tcW w:w="1361" w:type="dxa"/>
            <w:vAlign w:val="center"/>
          </w:tcPr>
          <w:p>
            <w:pPr>
              <w:pStyle w:val="12"/>
            </w:pPr>
            <w:r>
              <w:t>257.31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207.40</w:t>
            </w:r>
          </w:p>
        </w:tc>
        <w:tc>
          <w:tcPr>
            <w:tcW w:w="1361" w:type="dxa"/>
            <w:vAlign w:val="center"/>
          </w:tcPr>
          <w:p>
            <w:pPr>
              <w:pStyle w:val="12"/>
            </w:pPr>
            <w:r>
              <w:t>207.40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207.40</w:t>
            </w:r>
          </w:p>
        </w:tc>
        <w:tc>
          <w:tcPr>
            <w:tcW w:w="1361" w:type="dxa"/>
            <w:vAlign w:val="center"/>
          </w:tcPr>
          <w:p>
            <w:pPr>
              <w:pStyle w:val="12"/>
            </w:pPr>
            <w:r>
              <w:t>207.40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88.94</w:t>
            </w:r>
          </w:p>
        </w:tc>
        <w:tc>
          <w:tcPr>
            <w:tcW w:w="1361" w:type="dxa"/>
            <w:vAlign w:val="center"/>
          </w:tcPr>
          <w:p>
            <w:pPr>
              <w:pStyle w:val="12"/>
            </w:pPr>
            <w:r>
              <w:t>88.94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118.46</w:t>
            </w:r>
          </w:p>
        </w:tc>
        <w:tc>
          <w:tcPr>
            <w:tcW w:w="1361" w:type="dxa"/>
            <w:vAlign w:val="center"/>
          </w:tcPr>
          <w:p>
            <w:pPr>
              <w:pStyle w:val="12"/>
            </w:pPr>
            <w:r>
              <w:t>118.46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198.55</w:t>
            </w:r>
          </w:p>
        </w:tc>
        <w:tc>
          <w:tcPr>
            <w:tcW w:w="1361" w:type="dxa"/>
            <w:vAlign w:val="center"/>
          </w:tcPr>
          <w:p>
            <w:pPr>
              <w:pStyle w:val="12"/>
            </w:pPr>
            <w:r>
              <w:t>198.55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198.55</w:t>
            </w:r>
          </w:p>
        </w:tc>
        <w:tc>
          <w:tcPr>
            <w:tcW w:w="1361" w:type="dxa"/>
            <w:vAlign w:val="center"/>
          </w:tcPr>
          <w:p>
            <w:pPr>
              <w:pStyle w:val="12"/>
            </w:pPr>
            <w:r>
              <w:t>198.55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198.55</w:t>
            </w:r>
          </w:p>
        </w:tc>
        <w:tc>
          <w:tcPr>
            <w:tcW w:w="1361" w:type="dxa"/>
            <w:vAlign w:val="center"/>
          </w:tcPr>
          <w:p>
            <w:pPr>
              <w:pStyle w:val="12"/>
            </w:pPr>
            <w:r>
              <w:t>198.55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414秦皇岛市海港区市场监督管理局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3796.79</w:t>
            </w:r>
          </w:p>
        </w:tc>
        <w:tc>
          <w:tcPr>
            <w:tcW w:w="3402" w:type="dxa"/>
            <w:vAlign w:val="center"/>
          </w:tcPr>
          <w:p>
            <w:pPr>
              <w:pStyle w:val="13"/>
            </w:pPr>
            <w:r>
              <w:t>一、一般公共服务支出</w:t>
            </w:r>
          </w:p>
        </w:tc>
        <w:tc>
          <w:tcPr>
            <w:tcW w:w="1474" w:type="dxa"/>
            <w:vAlign w:val="center"/>
          </w:tcPr>
          <w:p>
            <w:pPr>
              <w:pStyle w:val="12"/>
            </w:pPr>
            <w:r>
              <w:t>2596.10</w:t>
            </w:r>
          </w:p>
        </w:tc>
        <w:tc>
          <w:tcPr>
            <w:tcW w:w="1474" w:type="dxa"/>
            <w:vAlign w:val="center"/>
          </w:tcPr>
          <w:p>
            <w:pPr>
              <w:pStyle w:val="12"/>
            </w:pPr>
            <w:r>
              <w:t>2596.10</w:t>
            </w:r>
          </w:p>
        </w:tc>
        <w:tc>
          <w:tcPr>
            <w:tcW w:w="1474" w:type="dxa"/>
            <w:vAlign w:val="center"/>
          </w:tcPr>
          <w:p>
            <w:pPr>
              <w:pStyle w:val="12"/>
            </w:pPr>
          </w:p>
        </w:tc>
        <w:tc>
          <w:tcPr>
            <w:tcW w:w="147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794.74</w:t>
            </w:r>
          </w:p>
        </w:tc>
        <w:tc>
          <w:tcPr>
            <w:tcW w:w="1474" w:type="dxa"/>
            <w:vAlign w:val="center"/>
          </w:tcPr>
          <w:p>
            <w:pPr>
              <w:pStyle w:val="12"/>
            </w:pPr>
            <w:r>
              <w:t>794.74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207.40</w:t>
            </w:r>
          </w:p>
        </w:tc>
        <w:tc>
          <w:tcPr>
            <w:tcW w:w="1474" w:type="dxa"/>
            <w:vAlign w:val="center"/>
          </w:tcPr>
          <w:p>
            <w:pPr>
              <w:pStyle w:val="12"/>
            </w:pPr>
            <w:r>
              <w:t>207.40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198.55</w:t>
            </w:r>
          </w:p>
        </w:tc>
        <w:tc>
          <w:tcPr>
            <w:tcW w:w="1474" w:type="dxa"/>
            <w:vAlign w:val="center"/>
          </w:tcPr>
          <w:p>
            <w:pPr>
              <w:pStyle w:val="12"/>
            </w:pPr>
            <w:r>
              <w:t>198.55</w:t>
            </w:r>
          </w:p>
        </w:tc>
        <w:tc>
          <w:tcPr>
            <w:tcW w:w="1474" w:type="dxa"/>
            <w:vAlign w:val="center"/>
          </w:tcPr>
          <w:p>
            <w:pPr>
              <w:pStyle w:val="12"/>
            </w:pPr>
          </w:p>
        </w:tc>
        <w:tc>
          <w:tcPr>
            <w:tcW w:w="147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3796.79</w:t>
            </w:r>
          </w:p>
        </w:tc>
        <w:tc>
          <w:tcPr>
            <w:tcW w:w="3402" w:type="dxa"/>
            <w:vAlign w:val="center"/>
          </w:tcPr>
          <w:p>
            <w:pPr>
              <w:pStyle w:val="15"/>
            </w:pPr>
            <w:r>
              <w:t>本年支出合计</w:t>
            </w:r>
          </w:p>
        </w:tc>
        <w:tc>
          <w:tcPr>
            <w:tcW w:w="1474" w:type="dxa"/>
            <w:vAlign w:val="center"/>
          </w:tcPr>
          <w:p>
            <w:pPr>
              <w:pStyle w:val="16"/>
            </w:pPr>
            <w:r>
              <w:t>3796.79</w:t>
            </w:r>
          </w:p>
        </w:tc>
        <w:tc>
          <w:tcPr>
            <w:tcW w:w="1474" w:type="dxa"/>
            <w:vAlign w:val="center"/>
          </w:tcPr>
          <w:p>
            <w:pPr>
              <w:pStyle w:val="16"/>
            </w:pPr>
            <w:r>
              <w:t>3796.79</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3796.79</w:t>
            </w:r>
          </w:p>
        </w:tc>
        <w:tc>
          <w:tcPr>
            <w:tcW w:w="3402" w:type="dxa"/>
            <w:vAlign w:val="center"/>
          </w:tcPr>
          <w:p>
            <w:pPr>
              <w:pStyle w:val="15"/>
            </w:pPr>
            <w:r>
              <w:t>支出总计</w:t>
            </w:r>
          </w:p>
        </w:tc>
        <w:tc>
          <w:tcPr>
            <w:tcW w:w="1474" w:type="dxa"/>
            <w:vAlign w:val="center"/>
          </w:tcPr>
          <w:p>
            <w:pPr>
              <w:pStyle w:val="16"/>
            </w:pPr>
            <w:r>
              <w:t>3796.79</w:t>
            </w:r>
          </w:p>
        </w:tc>
        <w:tc>
          <w:tcPr>
            <w:tcW w:w="1474" w:type="dxa"/>
            <w:vAlign w:val="center"/>
          </w:tcPr>
          <w:p>
            <w:pPr>
              <w:pStyle w:val="16"/>
            </w:pPr>
            <w:r>
              <w:t>3796.79</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414秦皇岛市海港区市场监督管理局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3796.79</w:t>
            </w:r>
          </w:p>
        </w:tc>
        <w:tc>
          <w:tcPr>
            <w:tcW w:w="2551" w:type="dxa"/>
            <w:vAlign w:val="center"/>
          </w:tcPr>
          <w:p>
            <w:pPr>
              <w:pStyle w:val="16"/>
            </w:pPr>
            <w:r>
              <w:t>3462.99</w:t>
            </w:r>
          </w:p>
        </w:tc>
        <w:tc>
          <w:tcPr>
            <w:tcW w:w="2551" w:type="dxa"/>
            <w:vAlign w:val="center"/>
          </w:tcPr>
          <w:p>
            <w:pPr>
              <w:pStyle w:val="16"/>
            </w:pPr>
            <w:r>
              <w:t>333.80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2596.10</w:t>
            </w:r>
          </w:p>
        </w:tc>
        <w:tc>
          <w:tcPr>
            <w:tcW w:w="2551" w:type="dxa"/>
            <w:vAlign w:val="center"/>
          </w:tcPr>
          <w:p>
            <w:pPr>
              <w:pStyle w:val="12"/>
            </w:pPr>
            <w:r>
              <w:t>2262.30</w:t>
            </w:r>
          </w:p>
        </w:tc>
        <w:tc>
          <w:tcPr>
            <w:tcW w:w="2551" w:type="dxa"/>
            <w:vAlign w:val="center"/>
          </w:tcPr>
          <w:p>
            <w:pPr>
              <w:pStyle w:val="12"/>
            </w:pPr>
            <w:r>
              <w:t>333.80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20138</w:t>
            </w:r>
          </w:p>
        </w:tc>
        <w:tc>
          <w:tcPr>
            <w:tcW w:w="4535" w:type="dxa"/>
            <w:vAlign w:val="center"/>
          </w:tcPr>
          <w:p>
            <w:pPr>
              <w:pStyle w:val="13"/>
            </w:pPr>
            <w:r>
              <w:t>市场监督管理事务</w:t>
            </w:r>
          </w:p>
        </w:tc>
        <w:tc>
          <w:tcPr>
            <w:tcW w:w="2551" w:type="dxa"/>
            <w:vAlign w:val="center"/>
          </w:tcPr>
          <w:p>
            <w:pPr>
              <w:pStyle w:val="12"/>
            </w:pPr>
            <w:r>
              <w:t>2596.10</w:t>
            </w:r>
          </w:p>
        </w:tc>
        <w:tc>
          <w:tcPr>
            <w:tcW w:w="2551" w:type="dxa"/>
            <w:vAlign w:val="center"/>
          </w:tcPr>
          <w:p>
            <w:pPr>
              <w:pStyle w:val="12"/>
            </w:pPr>
            <w:r>
              <w:t>2262.30</w:t>
            </w:r>
          </w:p>
        </w:tc>
        <w:tc>
          <w:tcPr>
            <w:tcW w:w="2551" w:type="dxa"/>
            <w:vAlign w:val="center"/>
          </w:tcPr>
          <w:p>
            <w:pPr>
              <w:pStyle w:val="12"/>
            </w:pPr>
            <w:r>
              <w:t>333.80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2013801</w:t>
            </w:r>
          </w:p>
        </w:tc>
        <w:tc>
          <w:tcPr>
            <w:tcW w:w="4535" w:type="dxa"/>
            <w:vAlign w:val="center"/>
          </w:tcPr>
          <w:p>
            <w:pPr>
              <w:pStyle w:val="13"/>
            </w:pPr>
            <w:r>
              <w:t>行政运行</w:t>
            </w:r>
          </w:p>
        </w:tc>
        <w:tc>
          <w:tcPr>
            <w:tcW w:w="2551" w:type="dxa"/>
            <w:vAlign w:val="center"/>
          </w:tcPr>
          <w:p>
            <w:pPr>
              <w:pStyle w:val="12"/>
            </w:pPr>
            <w:r>
              <w:t>2262.30</w:t>
            </w:r>
          </w:p>
        </w:tc>
        <w:tc>
          <w:tcPr>
            <w:tcW w:w="2551" w:type="dxa"/>
            <w:vAlign w:val="center"/>
          </w:tcPr>
          <w:p>
            <w:pPr>
              <w:pStyle w:val="12"/>
            </w:pPr>
            <w:r>
              <w:t>2262.30</w:t>
            </w:r>
          </w:p>
        </w:tc>
        <w:tc>
          <w:tcPr>
            <w:tcW w:w="255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2013804</w:t>
            </w:r>
          </w:p>
        </w:tc>
        <w:tc>
          <w:tcPr>
            <w:tcW w:w="4535" w:type="dxa"/>
            <w:vAlign w:val="center"/>
          </w:tcPr>
          <w:p>
            <w:pPr>
              <w:pStyle w:val="13"/>
            </w:pPr>
            <w:r>
              <w:t>经营主体管理</w:t>
            </w:r>
          </w:p>
        </w:tc>
        <w:tc>
          <w:tcPr>
            <w:tcW w:w="2551" w:type="dxa"/>
            <w:vAlign w:val="center"/>
          </w:tcPr>
          <w:p>
            <w:pPr>
              <w:pStyle w:val="12"/>
            </w:pPr>
            <w:r>
              <w:t>186.00</w:t>
            </w:r>
          </w:p>
        </w:tc>
        <w:tc>
          <w:tcPr>
            <w:tcW w:w="2551" w:type="dxa"/>
            <w:vAlign w:val="center"/>
          </w:tcPr>
          <w:p>
            <w:pPr>
              <w:pStyle w:val="12"/>
            </w:pPr>
          </w:p>
        </w:tc>
        <w:tc>
          <w:tcPr>
            <w:tcW w:w="2551" w:type="dxa"/>
            <w:vAlign w:val="center"/>
          </w:tcPr>
          <w:p>
            <w:pPr>
              <w:pStyle w:val="12"/>
            </w:pPr>
            <w:r>
              <w:t>186.00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2013805</w:t>
            </w:r>
          </w:p>
        </w:tc>
        <w:tc>
          <w:tcPr>
            <w:tcW w:w="4535" w:type="dxa"/>
            <w:vAlign w:val="center"/>
          </w:tcPr>
          <w:p>
            <w:pPr>
              <w:pStyle w:val="13"/>
            </w:pPr>
            <w:r>
              <w:t>市场秩序执法</w:t>
            </w:r>
          </w:p>
        </w:tc>
        <w:tc>
          <w:tcPr>
            <w:tcW w:w="2551" w:type="dxa"/>
            <w:vAlign w:val="center"/>
          </w:tcPr>
          <w:p>
            <w:pPr>
              <w:pStyle w:val="12"/>
            </w:pPr>
            <w:r>
              <w:t>147.80</w:t>
            </w:r>
          </w:p>
        </w:tc>
        <w:tc>
          <w:tcPr>
            <w:tcW w:w="2551" w:type="dxa"/>
            <w:vAlign w:val="center"/>
          </w:tcPr>
          <w:p>
            <w:pPr>
              <w:pStyle w:val="12"/>
            </w:pPr>
          </w:p>
        </w:tc>
        <w:tc>
          <w:tcPr>
            <w:tcW w:w="2551" w:type="dxa"/>
            <w:vAlign w:val="center"/>
          </w:tcPr>
          <w:p>
            <w:pPr>
              <w:pStyle w:val="12"/>
            </w:pPr>
            <w:r>
              <w:t>147.80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794.74</w:t>
            </w:r>
          </w:p>
        </w:tc>
        <w:tc>
          <w:tcPr>
            <w:tcW w:w="2551" w:type="dxa"/>
            <w:vAlign w:val="center"/>
          </w:tcPr>
          <w:p>
            <w:pPr>
              <w:pStyle w:val="12"/>
            </w:pPr>
            <w:r>
              <w:t>794.74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794.74</w:t>
            </w:r>
          </w:p>
        </w:tc>
        <w:tc>
          <w:tcPr>
            <w:tcW w:w="2551" w:type="dxa"/>
            <w:vAlign w:val="center"/>
          </w:tcPr>
          <w:p>
            <w:pPr>
              <w:pStyle w:val="12"/>
            </w:pPr>
            <w:r>
              <w:t>794.74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537.43</w:t>
            </w:r>
          </w:p>
        </w:tc>
        <w:tc>
          <w:tcPr>
            <w:tcW w:w="2551" w:type="dxa"/>
            <w:vAlign w:val="center"/>
          </w:tcPr>
          <w:p>
            <w:pPr>
              <w:pStyle w:val="12"/>
            </w:pPr>
            <w:r>
              <w:t>537.43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257.31</w:t>
            </w:r>
          </w:p>
        </w:tc>
        <w:tc>
          <w:tcPr>
            <w:tcW w:w="2551" w:type="dxa"/>
            <w:vAlign w:val="center"/>
          </w:tcPr>
          <w:p>
            <w:pPr>
              <w:pStyle w:val="12"/>
            </w:pPr>
            <w:r>
              <w:t>257.31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207.40</w:t>
            </w:r>
          </w:p>
        </w:tc>
        <w:tc>
          <w:tcPr>
            <w:tcW w:w="2551" w:type="dxa"/>
            <w:vAlign w:val="center"/>
          </w:tcPr>
          <w:p>
            <w:pPr>
              <w:pStyle w:val="12"/>
            </w:pPr>
            <w:r>
              <w:t>207.40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207.40</w:t>
            </w:r>
          </w:p>
        </w:tc>
        <w:tc>
          <w:tcPr>
            <w:tcW w:w="2551" w:type="dxa"/>
            <w:vAlign w:val="center"/>
          </w:tcPr>
          <w:p>
            <w:pPr>
              <w:pStyle w:val="12"/>
            </w:pPr>
            <w:r>
              <w:t>207.40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88.94</w:t>
            </w:r>
          </w:p>
        </w:tc>
        <w:tc>
          <w:tcPr>
            <w:tcW w:w="2551" w:type="dxa"/>
            <w:vAlign w:val="center"/>
          </w:tcPr>
          <w:p>
            <w:pPr>
              <w:pStyle w:val="12"/>
            </w:pPr>
            <w:r>
              <w:t>88.94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118.46</w:t>
            </w:r>
          </w:p>
        </w:tc>
        <w:tc>
          <w:tcPr>
            <w:tcW w:w="2551" w:type="dxa"/>
            <w:vAlign w:val="center"/>
          </w:tcPr>
          <w:p>
            <w:pPr>
              <w:pStyle w:val="12"/>
            </w:pPr>
            <w:r>
              <w:t>118.46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198.55</w:t>
            </w:r>
          </w:p>
        </w:tc>
        <w:tc>
          <w:tcPr>
            <w:tcW w:w="2551" w:type="dxa"/>
            <w:vAlign w:val="center"/>
          </w:tcPr>
          <w:p>
            <w:pPr>
              <w:pStyle w:val="12"/>
            </w:pPr>
            <w:r>
              <w:t>198.55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198.55</w:t>
            </w:r>
          </w:p>
        </w:tc>
        <w:tc>
          <w:tcPr>
            <w:tcW w:w="2551" w:type="dxa"/>
            <w:vAlign w:val="center"/>
          </w:tcPr>
          <w:p>
            <w:pPr>
              <w:pStyle w:val="12"/>
            </w:pPr>
            <w:r>
              <w:t>198.55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198.55</w:t>
            </w:r>
          </w:p>
        </w:tc>
        <w:tc>
          <w:tcPr>
            <w:tcW w:w="2551" w:type="dxa"/>
            <w:vAlign w:val="center"/>
          </w:tcPr>
          <w:p>
            <w:pPr>
              <w:pStyle w:val="12"/>
            </w:pPr>
            <w:r>
              <w:t>198.55</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414秦皇岛市海港区市场监督管理局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3462.99</w:t>
            </w:r>
          </w:p>
        </w:tc>
        <w:tc>
          <w:tcPr>
            <w:tcW w:w="2551" w:type="dxa"/>
            <w:vAlign w:val="center"/>
          </w:tcPr>
          <w:p>
            <w:pPr>
              <w:pStyle w:val="16"/>
            </w:pPr>
            <w:r>
              <w:t>3124.62</w:t>
            </w:r>
          </w:p>
        </w:tc>
        <w:tc>
          <w:tcPr>
            <w:tcW w:w="2551" w:type="dxa"/>
            <w:vAlign w:val="center"/>
          </w:tcPr>
          <w:p>
            <w:pPr>
              <w:pStyle w:val="16"/>
            </w:pPr>
            <w:r>
              <w:t>338.37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2585.26</w:t>
            </w:r>
          </w:p>
        </w:tc>
        <w:tc>
          <w:tcPr>
            <w:tcW w:w="2551" w:type="dxa"/>
            <w:vAlign w:val="center"/>
          </w:tcPr>
          <w:p>
            <w:pPr>
              <w:pStyle w:val="12"/>
            </w:pPr>
            <w:r>
              <w:t>2585.26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724.18</w:t>
            </w:r>
          </w:p>
        </w:tc>
        <w:tc>
          <w:tcPr>
            <w:tcW w:w="2551" w:type="dxa"/>
            <w:vAlign w:val="center"/>
          </w:tcPr>
          <w:p>
            <w:pPr>
              <w:pStyle w:val="12"/>
            </w:pPr>
            <w:r>
              <w:t>724.18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494.53</w:t>
            </w:r>
          </w:p>
        </w:tc>
        <w:tc>
          <w:tcPr>
            <w:tcW w:w="2551" w:type="dxa"/>
            <w:vAlign w:val="center"/>
          </w:tcPr>
          <w:p>
            <w:pPr>
              <w:pStyle w:val="12"/>
            </w:pPr>
            <w:r>
              <w:t>494.53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300.60</w:t>
            </w:r>
          </w:p>
        </w:tc>
        <w:tc>
          <w:tcPr>
            <w:tcW w:w="2551" w:type="dxa"/>
            <w:vAlign w:val="center"/>
          </w:tcPr>
          <w:p>
            <w:pPr>
              <w:pStyle w:val="12"/>
            </w:pPr>
            <w:r>
              <w:t>300.60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30106</w:t>
            </w:r>
          </w:p>
        </w:tc>
        <w:tc>
          <w:tcPr>
            <w:tcW w:w="4535" w:type="dxa"/>
            <w:vAlign w:val="center"/>
          </w:tcPr>
          <w:p>
            <w:pPr>
              <w:pStyle w:val="13"/>
            </w:pPr>
            <w:r>
              <w:t>伙食补助费</w:t>
            </w:r>
          </w:p>
        </w:tc>
        <w:tc>
          <w:tcPr>
            <w:tcW w:w="2551" w:type="dxa"/>
            <w:vAlign w:val="center"/>
          </w:tcPr>
          <w:p>
            <w:pPr>
              <w:pStyle w:val="12"/>
            </w:pPr>
            <w:r>
              <w:t>0.01</w:t>
            </w:r>
          </w:p>
        </w:tc>
        <w:tc>
          <w:tcPr>
            <w:tcW w:w="2551" w:type="dxa"/>
            <w:vAlign w:val="center"/>
          </w:tcPr>
          <w:p>
            <w:pPr>
              <w:pStyle w:val="12"/>
            </w:pPr>
            <w:r>
              <w:t>0.01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392.64</w:t>
            </w:r>
          </w:p>
        </w:tc>
        <w:tc>
          <w:tcPr>
            <w:tcW w:w="2551" w:type="dxa"/>
            <w:vAlign w:val="center"/>
          </w:tcPr>
          <w:p>
            <w:pPr>
              <w:pStyle w:val="12"/>
            </w:pPr>
            <w:r>
              <w:t>392.64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257.31</w:t>
            </w:r>
          </w:p>
        </w:tc>
        <w:tc>
          <w:tcPr>
            <w:tcW w:w="2551" w:type="dxa"/>
            <w:vAlign w:val="center"/>
          </w:tcPr>
          <w:p>
            <w:pPr>
              <w:pStyle w:val="12"/>
            </w:pPr>
            <w:r>
              <w:t>257.31</w:t>
            </w:r>
          </w:p>
        </w:tc>
        <w:tc>
          <w:tcPr>
            <w:tcW w:w="255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88.94</w:t>
            </w:r>
          </w:p>
        </w:tc>
        <w:tc>
          <w:tcPr>
            <w:tcW w:w="2551" w:type="dxa"/>
            <w:vAlign w:val="center"/>
          </w:tcPr>
          <w:p>
            <w:pPr>
              <w:pStyle w:val="12"/>
            </w:pPr>
            <w:r>
              <w:t>88.94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118.46</w:t>
            </w:r>
          </w:p>
        </w:tc>
        <w:tc>
          <w:tcPr>
            <w:tcW w:w="2551" w:type="dxa"/>
            <w:vAlign w:val="center"/>
          </w:tcPr>
          <w:p>
            <w:pPr>
              <w:pStyle w:val="12"/>
            </w:pPr>
            <w:r>
              <w:t>118.46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10.04</w:t>
            </w:r>
          </w:p>
        </w:tc>
        <w:tc>
          <w:tcPr>
            <w:tcW w:w="2551" w:type="dxa"/>
            <w:vAlign w:val="center"/>
          </w:tcPr>
          <w:p>
            <w:pPr>
              <w:pStyle w:val="12"/>
            </w:pPr>
            <w:r>
              <w:t>10.04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198.55</w:t>
            </w:r>
          </w:p>
        </w:tc>
        <w:tc>
          <w:tcPr>
            <w:tcW w:w="2551" w:type="dxa"/>
            <w:vAlign w:val="center"/>
          </w:tcPr>
          <w:p>
            <w:pPr>
              <w:pStyle w:val="12"/>
            </w:pPr>
            <w:r>
              <w:t>198.55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338.37</w:t>
            </w:r>
          </w:p>
        </w:tc>
        <w:tc>
          <w:tcPr>
            <w:tcW w:w="2551" w:type="dxa"/>
            <w:vAlign w:val="center"/>
          </w:tcPr>
          <w:p>
            <w:pPr>
              <w:pStyle w:val="12"/>
            </w:pPr>
          </w:p>
        </w:tc>
        <w:tc>
          <w:tcPr>
            <w:tcW w:w="2551" w:type="dxa"/>
            <w:vAlign w:val="center"/>
          </w:tcPr>
          <w:p>
            <w:pPr>
              <w:pStyle w:val="12"/>
            </w:pPr>
            <w:r>
              <w:t>338.37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31.40</w:t>
            </w:r>
          </w:p>
        </w:tc>
        <w:tc>
          <w:tcPr>
            <w:tcW w:w="2551" w:type="dxa"/>
            <w:vAlign w:val="center"/>
          </w:tcPr>
          <w:p>
            <w:pPr>
              <w:pStyle w:val="12"/>
            </w:pPr>
          </w:p>
        </w:tc>
        <w:tc>
          <w:tcPr>
            <w:tcW w:w="2551" w:type="dxa"/>
            <w:vAlign w:val="center"/>
          </w:tcPr>
          <w:p>
            <w:pPr>
              <w:pStyle w:val="12"/>
            </w:pPr>
            <w:r>
              <w:t>31.40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4.19</w:t>
            </w:r>
          </w:p>
        </w:tc>
        <w:tc>
          <w:tcPr>
            <w:tcW w:w="2551" w:type="dxa"/>
            <w:vAlign w:val="center"/>
          </w:tcPr>
          <w:p>
            <w:pPr>
              <w:pStyle w:val="12"/>
            </w:pPr>
          </w:p>
        </w:tc>
        <w:tc>
          <w:tcPr>
            <w:tcW w:w="2551" w:type="dxa"/>
            <w:vAlign w:val="center"/>
          </w:tcPr>
          <w:p>
            <w:pPr>
              <w:pStyle w:val="12"/>
            </w:pPr>
            <w:r>
              <w:t>4.19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29.54</w:t>
            </w:r>
          </w:p>
        </w:tc>
        <w:tc>
          <w:tcPr>
            <w:tcW w:w="2551" w:type="dxa"/>
            <w:vAlign w:val="center"/>
          </w:tcPr>
          <w:p>
            <w:pPr>
              <w:pStyle w:val="12"/>
            </w:pPr>
          </w:p>
        </w:tc>
        <w:tc>
          <w:tcPr>
            <w:tcW w:w="2551" w:type="dxa"/>
            <w:vAlign w:val="center"/>
          </w:tcPr>
          <w:p>
            <w:pPr>
              <w:pStyle w:val="12"/>
            </w:pPr>
            <w:r>
              <w:t>29.54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46.26</w:t>
            </w:r>
          </w:p>
        </w:tc>
        <w:tc>
          <w:tcPr>
            <w:tcW w:w="2551" w:type="dxa"/>
            <w:vAlign w:val="center"/>
          </w:tcPr>
          <w:p>
            <w:pPr>
              <w:pStyle w:val="12"/>
            </w:pPr>
          </w:p>
        </w:tc>
        <w:tc>
          <w:tcPr>
            <w:tcW w:w="2551" w:type="dxa"/>
            <w:vAlign w:val="center"/>
          </w:tcPr>
          <w:p>
            <w:pPr>
              <w:pStyle w:val="12"/>
            </w:pPr>
            <w:r>
              <w:t>46.26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32.86</w:t>
            </w:r>
          </w:p>
        </w:tc>
        <w:tc>
          <w:tcPr>
            <w:tcW w:w="2551" w:type="dxa"/>
            <w:vAlign w:val="center"/>
          </w:tcPr>
          <w:p>
            <w:pPr>
              <w:pStyle w:val="12"/>
            </w:pPr>
          </w:p>
        </w:tc>
        <w:tc>
          <w:tcPr>
            <w:tcW w:w="2551" w:type="dxa"/>
            <w:vAlign w:val="center"/>
          </w:tcPr>
          <w:p>
            <w:pPr>
              <w:pStyle w:val="12"/>
            </w:pPr>
            <w:r>
              <w:t>32.86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0.63</w:t>
            </w:r>
          </w:p>
        </w:tc>
        <w:tc>
          <w:tcPr>
            <w:tcW w:w="2551" w:type="dxa"/>
            <w:vAlign w:val="center"/>
          </w:tcPr>
          <w:p>
            <w:pPr>
              <w:pStyle w:val="12"/>
            </w:pPr>
          </w:p>
        </w:tc>
        <w:tc>
          <w:tcPr>
            <w:tcW w:w="2551" w:type="dxa"/>
            <w:vAlign w:val="center"/>
          </w:tcPr>
          <w:p>
            <w:pPr>
              <w:pStyle w:val="12"/>
            </w:pPr>
            <w:r>
              <w:t>0.63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26.24</w:t>
            </w:r>
          </w:p>
        </w:tc>
        <w:tc>
          <w:tcPr>
            <w:tcW w:w="2551" w:type="dxa"/>
            <w:vAlign w:val="center"/>
          </w:tcPr>
          <w:p>
            <w:pPr>
              <w:pStyle w:val="12"/>
            </w:pPr>
          </w:p>
        </w:tc>
        <w:tc>
          <w:tcPr>
            <w:tcW w:w="2551" w:type="dxa"/>
            <w:vAlign w:val="center"/>
          </w:tcPr>
          <w:p>
            <w:pPr>
              <w:pStyle w:val="12"/>
            </w:pPr>
            <w:r>
              <w:t>26.24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44.31</w:t>
            </w:r>
          </w:p>
        </w:tc>
        <w:tc>
          <w:tcPr>
            <w:tcW w:w="2551" w:type="dxa"/>
            <w:vAlign w:val="center"/>
          </w:tcPr>
          <w:p>
            <w:pPr>
              <w:pStyle w:val="12"/>
            </w:pPr>
          </w:p>
        </w:tc>
        <w:tc>
          <w:tcPr>
            <w:tcW w:w="2551" w:type="dxa"/>
            <w:vAlign w:val="center"/>
          </w:tcPr>
          <w:p>
            <w:pPr>
              <w:pStyle w:val="12"/>
            </w:pPr>
            <w:r>
              <w:t>44.31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60.83</w:t>
            </w:r>
          </w:p>
        </w:tc>
        <w:tc>
          <w:tcPr>
            <w:tcW w:w="2551" w:type="dxa"/>
            <w:vAlign w:val="center"/>
          </w:tcPr>
          <w:p>
            <w:pPr>
              <w:pStyle w:val="12"/>
            </w:pPr>
          </w:p>
        </w:tc>
        <w:tc>
          <w:tcPr>
            <w:tcW w:w="2551" w:type="dxa"/>
            <w:vAlign w:val="center"/>
          </w:tcPr>
          <w:p>
            <w:pPr>
              <w:pStyle w:val="12"/>
            </w:pPr>
            <w:r>
              <w:t>60.83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48.96</w:t>
            </w:r>
          </w:p>
        </w:tc>
        <w:tc>
          <w:tcPr>
            <w:tcW w:w="2551" w:type="dxa"/>
            <w:vAlign w:val="center"/>
          </w:tcPr>
          <w:p>
            <w:pPr>
              <w:pStyle w:val="12"/>
            </w:pPr>
          </w:p>
        </w:tc>
        <w:tc>
          <w:tcPr>
            <w:tcW w:w="2551" w:type="dxa"/>
            <w:vAlign w:val="center"/>
          </w:tcPr>
          <w:p>
            <w:pPr>
              <w:pStyle w:val="12"/>
            </w:pPr>
            <w:r>
              <w:t>48.96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13.15</w:t>
            </w:r>
          </w:p>
        </w:tc>
        <w:tc>
          <w:tcPr>
            <w:tcW w:w="2551" w:type="dxa"/>
            <w:vAlign w:val="center"/>
          </w:tcPr>
          <w:p>
            <w:pPr>
              <w:pStyle w:val="12"/>
            </w:pPr>
          </w:p>
        </w:tc>
        <w:tc>
          <w:tcPr>
            <w:tcW w:w="2551" w:type="dxa"/>
            <w:vAlign w:val="center"/>
          </w:tcPr>
          <w:p>
            <w:pPr>
              <w:pStyle w:val="12"/>
            </w:pPr>
            <w:r>
              <w:t>13.15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539.36</w:t>
            </w:r>
          </w:p>
        </w:tc>
        <w:tc>
          <w:tcPr>
            <w:tcW w:w="2551" w:type="dxa"/>
            <w:vAlign w:val="center"/>
          </w:tcPr>
          <w:p>
            <w:pPr>
              <w:pStyle w:val="12"/>
            </w:pPr>
            <w:r>
              <w:t>539.36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537.43</w:t>
            </w:r>
          </w:p>
        </w:tc>
        <w:tc>
          <w:tcPr>
            <w:tcW w:w="2551" w:type="dxa"/>
            <w:vAlign w:val="center"/>
          </w:tcPr>
          <w:p>
            <w:pPr>
              <w:pStyle w:val="12"/>
            </w:pPr>
            <w:r>
              <w:t>537.43</w:t>
            </w:r>
          </w:p>
        </w:tc>
        <w:tc>
          <w:tcPr>
            <w:tcW w:w="255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1.93</w:t>
            </w:r>
          </w:p>
        </w:tc>
        <w:tc>
          <w:tcPr>
            <w:tcW w:w="2551" w:type="dxa"/>
            <w:vAlign w:val="center"/>
          </w:tcPr>
          <w:p>
            <w:pPr>
              <w:pStyle w:val="12"/>
            </w:pPr>
            <w:r>
              <w:t>1.93</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414秦皇岛市海港区市场监督管理局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414秦皇岛市海港区市场监督管理局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p>
      <w:pPr>
        <w:spacing w:before="0" w:after="0" w:line="240" w:lineRule="auto"/>
        <w:ind w:firstLine="0"/>
        <w:jc w:val="center"/>
        <w:outlineLvl w:val="0"/>
        <w:rPr>
          <w:rFonts w:ascii="方正书宋_GBK" w:hAnsi="方正书宋_GBK" w:eastAsia="方正书宋_GBK" w:cs="方正书宋_GBK"/>
          <w:color w:val="FFFFFF"/>
          <w:sz w:val="21"/>
        </w:rPr>
      </w:pPr>
      <w:r>
        <w:rPr>
          <w:rFonts w:ascii="方正书宋_GBK" w:hAnsi="方正书宋_GBK" w:eastAsia="方正书宋_GBK" w:cs="方正书宋_GBK"/>
          <w:color w:val="FFFFFF"/>
          <w:sz w:val="21"/>
        </w:rPr>
        <w:t>20</w:t>
      </w:r>
    </w:p>
    <w:tbl>
      <w:tblPr>
        <w:tblStyle w:val="5"/>
        <w:tblW w:w="1140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69"/>
        <w:gridCol w:w="2960"/>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472" w:type="dxa"/>
            <w:gridSpan w:val="3"/>
            <w:tcBorders>
              <w:top w:val="single" w:color="FFFFFF" w:sz="6" w:space="0"/>
              <w:left w:val="single" w:color="FFFFFF" w:sz="6" w:space="0"/>
              <w:right w:val="single" w:color="FFFFFF" w:sz="6" w:space="0"/>
            </w:tcBorders>
            <w:vAlign w:val="center"/>
          </w:tcPr>
          <w:p>
            <w:pPr>
              <w:pStyle w:val="10"/>
            </w:pPr>
            <w:r>
              <w:t>414</w:t>
            </w:r>
            <w:r>
              <w:rPr>
                <w:rFonts w:hint="eastAsia" w:ascii="宋体" w:hAnsi="宋体" w:cs="宋体"/>
              </w:rPr>
              <w:t>秦皇岛市海港区市场监督管理局</w:t>
            </w:r>
            <w:r>
              <w:rPr>
                <w:lang w:eastAsia="zh-CN"/>
              </w:rPr>
              <w:t xml:space="preserve">                  </w:t>
            </w:r>
            <w:r>
              <w:rPr>
                <w:rFonts w:hint="eastAsia" w:ascii="宋体" w:hAnsi="宋体" w:cs="宋体"/>
              </w:rPr>
              <w:t>预算年度：</w:t>
            </w:r>
          </w:p>
        </w:tc>
        <w:tc>
          <w:tcPr>
            <w:tcW w:w="1643" w:type="dxa"/>
            <w:tcBorders>
              <w:top w:val="single" w:color="FFFFFF" w:sz="6" w:space="0"/>
              <w:left w:val="single" w:color="FFFFFF" w:sz="6" w:space="0"/>
              <w:right w:val="single" w:color="FFFFFF" w:sz="6" w:space="0"/>
            </w:tcBorders>
            <w:vAlign w:val="center"/>
          </w:tcPr>
          <w:p>
            <w:pPr>
              <w:pStyle w:val="9"/>
              <w:jc w:val="both"/>
              <w:rPr>
                <w:rFonts w:hint="eastAsia" w:eastAsia="方正小标宋_GBK"/>
                <w:lang w:eastAsia="zh-CN"/>
              </w:rPr>
            </w:pPr>
            <w:r>
              <w:t>202</w:t>
            </w:r>
            <w:r>
              <w:rPr>
                <w:rFonts w:hint="eastAsia"/>
                <w:lang w:val="en-US" w:eastAsia="zh-CN"/>
              </w:rPr>
              <w:t>5</w:t>
            </w:r>
          </w:p>
        </w:tc>
        <w:tc>
          <w:tcPr>
            <w:tcW w:w="3286" w:type="dxa"/>
            <w:gridSpan w:val="2"/>
            <w:tcBorders>
              <w:top w:val="single" w:color="FFFFFF" w:sz="6" w:space="0"/>
              <w:left w:val="single" w:color="FFFFFF" w:sz="6" w:space="0"/>
              <w:right w:val="single" w:color="FFFFFF" w:sz="6" w:space="0"/>
            </w:tcBorders>
            <w:vAlign w:val="center"/>
          </w:tcPr>
          <w:p>
            <w:pPr>
              <w:pStyle w:val="8"/>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69" w:type="dxa"/>
            <w:vMerge w:val="restart"/>
            <w:vAlign w:val="center"/>
          </w:tcPr>
          <w:p>
            <w:pPr>
              <w:pStyle w:val="11"/>
            </w:pPr>
            <w:r>
              <w:rPr>
                <w:rFonts w:hint="eastAsia" w:ascii="宋体" w:hAnsi="宋体" w:cs="宋体"/>
              </w:rPr>
              <w:t>序号</w:t>
            </w:r>
          </w:p>
        </w:tc>
        <w:tc>
          <w:tcPr>
            <w:tcW w:w="2960" w:type="dxa"/>
            <w:vMerge w:val="restart"/>
            <w:vAlign w:val="center"/>
          </w:tcPr>
          <w:p>
            <w:pPr>
              <w:pStyle w:val="11"/>
            </w:pPr>
            <w:r>
              <w:rPr>
                <w:rFonts w:hint="eastAsia" w:ascii="宋体" w:hAnsi="宋体" w:cs="宋体"/>
              </w:rPr>
              <w:t>项</w:t>
            </w:r>
            <w:r>
              <w:t xml:space="preserve">  </w:t>
            </w:r>
            <w:r>
              <w:rPr>
                <w:rFonts w:hint="eastAsia" w:ascii="宋体" w:hAnsi="宋体" w:cs="宋体"/>
              </w:rPr>
              <w:t>目</w:t>
            </w:r>
          </w:p>
        </w:tc>
        <w:tc>
          <w:tcPr>
            <w:tcW w:w="6572" w:type="dxa"/>
            <w:gridSpan w:val="4"/>
            <w:vAlign w:val="center"/>
          </w:tcPr>
          <w:p>
            <w:pPr>
              <w:pStyle w:val="11"/>
            </w:pPr>
            <w:r>
              <w:rPr>
                <w:rFonts w:hint="eastAsia" w:ascii="宋体" w:hAnsi="宋体" w:cs="宋体"/>
              </w:rPr>
              <w:t>资</w:t>
            </w:r>
            <w:r>
              <w:t xml:space="preserve"> </w:t>
            </w:r>
            <w:r>
              <w:rPr>
                <w:rFonts w:hint="eastAsia" w:ascii="宋体" w:hAnsi="宋体" w:cs="宋体"/>
              </w:rPr>
              <w:t>金</w:t>
            </w:r>
            <w:r>
              <w:t xml:space="preserve"> </w:t>
            </w:r>
            <w:r>
              <w:rPr>
                <w:rFonts w:hint="eastAsia" w:ascii="宋体" w:hAnsi="宋体" w:cs="宋体"/>
              </w:rPr>
              <w:t>性</w:t>
            </w:r>
            <w:r>
              <w:t xml:space="preserve"> </w:t>
            </w:r>
            <w:r>
              <w:rPr>
                <w:rFonts w:hint="eastAsia" w:ascii="宋体" w:hAnsi="宋体" w:cs="宋体"/>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869" w:type="dxa"/>
            <w:vMerge w:val="continue"/>
          </w:tcPr>
          <w:p/>
        </w:tc>
        <w:tc>
          <w:tcPr>
            <w:tcW w:w="2960" w:type="dxa"/>
            <w:vMerge w:val="continue"/>
          </w:tcPr>
          <w:p/>
        </w:tc>
        <w:tc>
          <w:tcPr>
            <w:tcW w:w="1643" w:type="dxa"/>
            <w:vAlign w:val="center"/>
          </w:tcPr>
          <w:p>
            <w:pPr>
              <w:pStyle w:val="11"/>
            </w:pPr>
            <w:r>
              <w:rPr>
                <w:rFonts w:hint="eastAsia" w:ascii="宋体" w:hAnsi="宋体" w:cs="宋体"/>
              </w:rPr>
              <w:t>合计</w:t>
            </w:r>
          </w:p>
        </w:tc>
        <w:tc>
          <w:tcPr>
            <w:tcW w:w="1643" w:type="dxa"/>
            <w:vAlign w:val="center"/>
          </w:tcPr>
          <w:p>
            <w:pPr>
              <w:pStyle w:val="11"/>
            </w:pPr>
            <w:r>
              <w:rPr>
                <w:rFonts w:hint="eastAsia" w:ascii="宋体" w:hAnsi="宋体" w:cs="宋体"/>
              </w:rPr>
              <w:t>一般公共预算</w:t>
            </w:r>
            <w:r>
              <w:t xml:space="preserve">              </w:t>
            </w:r>
            <w:r>
              <w:rPr>
                <w:rFonts w:hint="eastAsia" w:ascii="宋体" w:hAnsi="宋体" w:cs="宋体"/>
              </w:rPr>
              <w:t>财政拨款</w:t>
            </w:r>
          </w:p>
        </w:tc>
        <w:tc>
          <w:tcPr>
            <w:tcW w:w="1643" w:type="dxa"/>
            <w:vAlign w:val="center"/>
          </w:tcPr>
          <w:p>
            <w:pPr>
              <w:pStyle w:val="11"/>
            </w:pPr>
            <w:r>
              <w:rPr>
                <w:rFonts w:hint="eastAsia" w:ascii="宋体" w:hAnsi="宋体" w:cs="宋体"/>
              </w:rPr>
              <w:t>政府性基金</w:t>
            </w:r>
            <w:r>
              <w:t xml:space="preserve">                  </w:t>
            </w:r>
            <w:r>
              <w:rPr>
                <w:rFonts w:hint="eastAsia" w:ascii="宋体" w:hAnsi="宋体" w:cs="宋体"/>
              </w:rPr>
              <w:t>预算拨款</w:t>
            </w:r>
          </w:p>
        </w:tc>
        <w:tc>
          <w:tcPr>
            <w:tcW w:w="1643" w:type="dxa"/>
            <w:vAlign w:val="center"/>
          </w:tcPr>
          <w:p>
            <w:pPr>
              <w:pStyle w:val="11"/>
            </w:pPr>
            <w:r>
              <w:rPr>
                <w:rFonts w:hint="eastAsia" w:ascii="宋体" w:hAnsi="宋体" w:cs="宋体"/>
              </w:rPr>
              <w:t>国有资本经营</w:t>
            </w:r>
            <w:r>
              <w:t xml:space="preserve">              </w:t>
            </w:r>
            <w:r>
              <w:rPr>
                <w:rFonts w:hint="eastAsia" w:ascii="宋体" w:hAnsi="宋体" w:cs="宋体"/>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869" w:type="dxa"/>
            <w:vAlign w:val="center"/>
          </w:tcPr>
          <w:p>
            <w:pPr>
              <w:pStyle w:val="11"/>
            </w:pPr>
            <w:r>
              <w:rPr>
                <w:rFonts w:hint="eastAsia" w:ascii="宋体" w:hAnsi="宋体" w:cs="宋体"/>
              </w:rPr>
              <w:t>栏次</w:t>
            </w:r>
          </w:p>
        </w:tc>
        <w:tc>
          <w:tcPr>
            <w:tcW w:w="2960"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869" w:type="dxa"/>
          </w:tcPr>
          <w:p>
            <w:pPr>
              <w:jc w:val="center"/>
              <w:textAlignment w:val="top"/>
              <w:rPr>
                <w:rFonts w:ascii="Calibri" w:hAnsi="Calibri" w:cs="Calibri"/>
                <w:color w:val="000000"/>
                <w:sz w:val="22"/>
                <w:szCs w:val="22"/>
                <w:lang w:eastAsia="zh-CN"/>
              </w:rPr>
            </w:pPr>
            <w:r>
              <w:rPr>
                <w:rFonts w:ascii="Calibri" w:hAnsi="Calibri" w:cs="Calibri"/>
                <w:color w:val="000000"/>
                <w:sz w:val="22"/>
                <w:szCs w:val="22"/>
                <w:lang w:eastAsia="zh-CN"/>
              </w:rPr>
              <w:t>1</w:t>
            </w:r>
          </w:p>
        </w:tc>
        <w:tc>
          <w:tcPr>
            <w:tcW w:w="2960" w:type="dxa"/>
          </w:tcPr>
          <w:p>
            <w:pPr>
              <w:textAlignment w:val="top"/>
              <w:rPr>
                <w:rFonts w:ascii="Calibri" w:hAnsi="Calibri" w:cs="Calibri"/>
                <w:color w:val="000000"/>
                <w:sz w:val="22"/>
                <w:szCs w:val="22"/>
              </w:rPr>
            </w:pPr>
            <w:r>
              <w:rPr>
                <w:rFonts w:ascii="Calibri" w:hAnsi="Calibri" w:cs="Calibri"/>
                <w:color w:val="000000"/>
                <w:sz w:val="22"/>
                <w:szCs w:val="22"/>
                <w:lang w:eastAsia="zh-CN"/>
              </w:rPr>
              <w:t>“</w:t>
            </w:r>
            <w:r>
              <w:rPr>
                <w:rFonts w:hint="eastAsia" w:ascii="Calibri" w:hAnsi="Calibri" w:cs="Calibri"/>
                <w:color w:val="000000"/>
                <w:sz w:val="22"/>
                <w:szCs w:val="22"/>
                <w:lang w:eastAsia="zh-CN"/>
              </w:rPr>
              <w:t>三公</w:t>
            </w:r>
            <w:r>
              <w:rPr>
                <w:rFonts w:ascii="Calibri" w:hAnsi="Calibri" w:cs="Calibri"/>
                <w:color w:val="000000"/>
                <w:sz w:val="22"/>
                <w:szCs w:val="22"/>
                <w:lang w:eastAsia="zh-CN"/>
              </w:rPr>
              <w:t>”</w:t>
            </w:r>
            <w:r>
              <w:rPr>
                <w:rFonts w:hint="eastAsia" w:ascii="Calibri" w:hAnsi="Calibri" w:cs="Calibri"/>
                <w:color w:val="000000"/>
                <w:sz w:val="22"/>
                <w:szCs w:val="22"/>
                <w:lang w:eastAsia="zh-CN"/>
              </w:rPr>
              <w:t>经费小计</w:t>
            </w:r>
          </w:p>
        </w:tc>
        <w:tc>
          <w:tcPr>
            <w:tcW w:w="1643" w:type="dxa"/>
          </w:tcPr>
          <w:p>
            <w:pPr>
              <w:jc w:val="right"/>
              <w:textAlignment w:val="top"/>
              <w:rPr>
                <w:rFonts w:hint="default" w:ascii="Calibri" w:hAnsi="Calibri" w:cs="Calibri"/>
                <w:color w:val="000000"/>
                <w:sz w:val="22"/>
                <w:szCs w:val="22"/>
                <w:lang w:val="en-US"/>
              </w:rPr>
            </w:pPr>
            <w:r>
              <w:rPr>
                <w:rFonts w:hint="eastAsia" w:ascii="Calibri" w:hAnsi="Calibri" w:cs="Calibri"/>
                <w:color w:val="000000"/>
                <w:sz w:val="22"/>
                <w:szCs w:val="22"/>
                <w:lang w:val="en-US" w:eastAsia="zh-CN"/>
              </w:rPr>
              <w:t>61.460000</w:t>
            </w:r>
          </w:p>
        </w:tc>
        <w:tc>
          <w:tcPr>
            <w:tcW w:w="1643" w:type="dxa"/>
          </w:tcPr>
          <w:p>
            <w:pPr>
              <w:jc w:val="right"/>
              <w:textAlignment w:val="top"/>
              <w:rPr>
                <w:rFonts w:ascii="Calibri" w:hAnsi="Calibri" w:cs="Calibri"/>
                <w:color w:val="000000"/>
                <w:sz w:val="22"/>
                <w:szCs w:val="22"/>
              </w:rPr>
            </w:pPr>
            <w:r>
              <w:rPr>
                <w:rFonts w:hint="eastAsia" w:ascii="Calibri" w:hAnsi="Calibri" w:cs="Calibri"/>
                <w:color w:val="000000"/>
                <w:sz w:val="22"/>
                <w:szCs w:val="22"/>
                <w:lang w:val="en-US" w:eastAsia="zh-CN"/>
              </w:rPr>
              <w:t>61.460000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869" w:type="dxa"/>
          </w:tcPr>
          <w:p>
            <w:pPr>
              <w:jc w:val="center"/>
              <w:textAlignment w:val="top"/>
              <w:rPr>
                <w:rFonts w:ascii="Calibri" w:hAnsi="Calibri" w:cs="Calibri"/>
                <w:color w:val="000000"/>
                <w:sz w:val="22"/>
                <w:szCs w:val="22"/>
                <w:lang w:eastAsia="zh-CN"/>
              </w:rPr>
            </w:pPr>
            <w:r>
              <w:rPr>
                <w:rFonts w:ascii="Calibri" w:hAnsi="Calibri" w:cs="Calibri"/>
                <w:color w:val="000000"/>
                <w:sz w:val="22"/>
                <w:szCs w:val="22"/>
                <w:lang w:eastAsia="zh-CN"/>
              </w:rPr>
              <w:t>2</w:t>
            </w:r>
          </w:p>
        </w:tc>
        <w:tc>
          <w:tcPr>
            <w:tcW w:w="2960" w:type="dxa"/>
          </w:tcPr>
          <w:p>
            <w:pPr>
              <w:textAlignment w:val="top"/>
              <w:rPr>
                <w:rFonts w:ascii="Calibri" w:hAnsi="Calibri" w:cs="Calibri"/>
                <w:color w:val="000000"/>
                <w:sz w:val="22"/>
                <w:szCs w:val="22"/>
              </w:rPr>
            </w:pPr>
            <w:r>
              <w:rPr>
                <w:rFonts w:hint="eastAsia" w:ascii="Calibri" w:hAnsi="Calibri" w:cs="Calibri"/>
                <w:color w:val="000000"/>
                <w:sz w:val="22"/>
                <w:szCs w:val="22"/>
                <w:lang w:eastAsia="zh-CN"/>
              </w:rPr>
              <w:t>一、因公出国（境）费</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643" w:type="dxa"/>
          </w:tcPr>
          <w:p>
            <w:pPr>
              <w:pStyle w:val="12"/>
            </w:pPr>
          </w:p>
        </w:tc>
        <w:tc>
          <w:tcPr>
            <w:tcW w:w="1643" w:type="dxa"/>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869" w:type="dxa"/>
          </w:tcPr>
          <w:p>
            <w:pPr>
              <w:jc w:val="center"/>
              <w:textAlignment w:val="top"/>
              <w:rPr>
                <w:rFonts w:ascii="Calibri" w:hAnsi="Calibri" w:cs="Calibri"/>
                <w:color w:val="000000"/>
                <w:sz w:val="22"/>
                <w:szCs w:val="22"/>
                <w:lang w:eastAsia="zh-CN"/>
              </w:rPr>
            </w:pPr>
            <w:r>
              <w:rPr>
                <w:rFonts w:ascii="Calibri" w:hAnsi="Calibri" w:cs="Calibri"/>
                <w:color w:val="000000"/>
                <w:sz w:val="22"/>
                <w:szCs w:val="22"/>
                <w:lang w:eastAsia="zh-CN"/>
              </w:rPr>
              <w:t>3</w:t>
            </w:r>
          </w:p>
        </w:tc>
        <w:tc>
          <w:tcPr>
            <w:tcW w:w="2960" w:type="dxa"/>
          </w:tcPr>
          <w:p>
            <w:pPr>
              <w:textAlignment w:val="top"/>
              <w:rPr>
                <w:rFonts w:ascii="Calibri" w:hAnsi="Calibri" w:cs="Calibri"/>
                <w:color w:val="000000"/>
                <w:sz w:val="22"/>
                <w:szCs w:val="22"/>
              </w:rPr>
            </w:pPr>
            <w:r>
              <w:rPr>
                <w:rFonts w:ascii="Calibri" w:hAnsi="Calibri" w:cs="Calibri"/>
                <w:color w:val="000000"/>
                <w:sz w:val="22"/>
                <w:szCs w:val="22"/>
                <w:lang w:eastAsia="zh-CN"/>
              </w:rPr>
              <w:t xml:space="preserve">    </w:t>
            </w:r>
            <w:r>
              <w:rPr>
                <w:rFonts w:hint="eastAsia" w:ascii="Calibri" w:hAnsi="Calibri" w:cs="Calibri"/>
                <w:color w:val="000000"/>
                <w:sz w:val="22"/>
                <w:szCs w:val="22"/>
                <w:lang w:eastAsia="zh-CN"/>
              </w:rPr>
              <w:t>其中：教学科研人员因公出国（境）费</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643" w:type="dxa"/>
          </w:tcPr>
          <w:p>
            <w:pPr>
              <w:pStyle w:val="12"/>
            </w:pPr>
          </w:p>
        </w:tc>
        <w:tc>
          <w:tcPr>
            <w:tcW w:w="1643" w:type="dxa"/>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869" w:type="dxa"/>
          </w:tcPr>
          <w:p>
            <w:pPr>
              <w:jc w:val="center"/>
              <w:textAlignment w:val="top"/>
              <w:rPr>
                <w:rFonts w:ascii="Calibri" w:hAnsi="Calibri" w:cs="Calibri"/>
                <w:color w:val="000000"/>
                <w:sz w:val="22"/>
                <w:szCs w:val="22"/>
              </w:rPr>
            </w:pPr>
            <w:r>
              <w:rPr>
                <w:rFonts w:ascii="Calibri" w:hAnsi="Calibri" w:cs="Calibri"/>
                <w:color w:val="000000"/>
                <w:sz w:val="22"/>
                <w:szCs w:val="22"/>
                <w:lang w:eastAsia="zh-CN"/>
              </w:rPr>
              <w:t>4</w:t>
            </w:r>
          </w:p>
        </w:tc>
        <w:tc>
          <w:tcPr>
            <w:tcW w:w="2960" w:type="dxa"/>
          </w:tcPr>
          <w:p>
            <w:pPr>
              <w:textAlignment w:val="top"/>
              <w:rPr>
                <w:rFonts w:ascii="Calibri" w:hAnsi="Calibri" w:cs="Calibri"/>
                <w:color w:val="000000"/>
                <w:sz w:val="22"/>
                <w:szCs w:val="22"/>
              </w:rPr>
            </w:pPr>
            <w:r>
              <w:rPr>
                <w:rFonts w:ascii="Calibri" w:hAnsi="Calibri" w:cs="Calibri"/>
                <w:color w:val="000000"/>
                <w:sz w:val="22"/>
                <w:szCs w:val="22"/>
                <w:lang w:eastAsia="zh-CN"/>
              </w:rPr>
              <w:t xml:space="preserve">          </w:t>
            </w:r>
            <w:r>
              <w:rPr>
                <w:rFonts w:hint="eastAsia" w:ascii="Calibri" w:hAnsi="Calibri" w:cs="Calibri"/>
                <w:color w:val="000000"/>
                <w:sz w:val="22"/>
                <w:szCs w:val="22"/>
                <w:lang w:eastAsia="zh-CN"/>
              </w:rPr>
              <w:t>其他因公出国（境）费</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643" w:type="dxa"/>
          </w:tcPr>
          <w:p>
            <w:pPr>
              <w:pStyle w:val="12"/>
            </w:pPr>
          </w:p>
        </w:tc>
        <w:tc>
          <w:tcPr>
            <w:tcW w:w="1643" w:type="dxa"/>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869" w:type="dxa"/>
          </w:tcPr>
          <w:p>
            <w:pPr>
              <w:jc w:val="center"/>
              <w:textAlignment w:val="top"/>
              <w:rPr>
                <w:rFonts w:ascii="Calibri" w:hAnsi="Calibri" w:cs="Calibri"/>
                <w:color w:val="000000"/>
                <w:sz w:val="22"/>
                <w:szCs w:val="22"/>
              </w:rPr>
            </w:pPr>
            <w:r>
              <w:rPr>
                <w:rFonts w:ascii="Calibri" w:hAnsi="Calibri" w:cs="Calibri"/>
                <w:color w:val="000000"/>
                <w:sz w:val="22"/>
                <w:szCs w:val="22"/>
                <w:lang w:eastAsia="zh-CN"/>
              </w:rPr>
              <w:t>5</w:t>
            </w:r>
          </w:p>
        </w:tc>
        <w:tc>
          <w:tcPr>
            <w:tcW w:w="2960" w:type="dxa"/>
          </w:tcPr>
          <w:p>
            <w:pPr>
              <w:textAlignment w:val="top"/>
              <w:rPr>
                <w:rFonts w:ascii="Calibri" w:hAnsi="Calibri" w:cs="Calibri"/>
                <w:color w:val="000000"/>
                <w:sz w:val="22"/>
                <w:szCs w:val="22"/>
              </w:rPr>
            </w:pPr>
            <w:r>
              <w:rPr>
                <w:rFonts w:hint="eastAsia" w:ascii="Calibri" w:hAnsi="Calibri" w:cs="Calibri"/>
                <w:color w:val="000000"/>
                <w:sz w:val="22"/>
                <w:szCs w:val="22"/>
                <w:lang w:eastAsia="zh-CN"/>
              </w:rPr>
              <w:t>二、公务用车购置及运维费</w:t>
            </w:r>
          </w:p>
        </w:tc>
        <w:tc>
          <w:tcPr>
            <w:tcW w:w="1643" w:type="dxa"/>
          </w:tcPr>
          <w:p>
            <w:pPr>
              <w:jc w:val="right"/>
              <w:textAlignment w:val="top"/>
              <w:rPr>
                <w:rFonts w:ascii="Calibri" w:hAnsi="Calibri" w:cs="Calibri"/>
                <w:color w:val="000000"/>
                <w:sz w:val="22"/>
                <w:szCs w:val="22"/>
              </w:rPr>
            </w:pPr>
            <w:r>
              <w:rPr>
                <w:rFonts w:hint="eastAsia" w:ascii="Calibri" w:hAnsi="Calibri" w:cs="Calibri"/>
                <w:color w:val="000000"/>
                <w:sz w:val="22"/>
                <w:szCs w:val="22"/>
                <w:lang w:val="en-US" w:eastAsia="zh-CN"/>
              </w:rPr>
              <w:t>6</w:t>
            </w:r>
            <w:r>
              <w:rPr>
                <w:rFonts w:ascii="Calibri" w:hAnsi="Calibri" w:cs="Calibri"/>
                <w:color w:val="000000"/>
                <w:sz w:val="22"/>
                <w:szCs w:val="22"/>
                <w:lang w:eastAsia="zh-CN"/>
              </w:rPr>
              <w:t>0.830000</w:t>
            </w:r>
          </w:p>
        </w:tc>
        <w:tc>
          <w:tcPr>
            <w:tcW w:w="1643" w:type="dxa"/>
          </w:tcPr>
          <w:p>
            <w:pPr>
              <w:jc w:val="right"/>
              <w:textAlignment w:val="top"/>
              <w:rPr>
                <w:rFonts w:ascii="Calibri" w:hAnsi="Calibri" w:cs="Calibri"/>
                <w:color w:val="000000"/>
                <w:sz w:val="22"/>
                <w:szCs w:val="22"/>
              </w:rPr>
            </w:pPr>
            <w:r>
              <w:rPr>
                <w:rFonts w:hint="eastAsia" w:ascii="Calibri" w:hAnsi="Calibri" w:cs="Calibri"/>
                <w:color w:val="000000"/>
                <w:sz w:val="22"/>
                <w:szCs w:val="22"/>
                <w:lang w:val="en-US" w:eastAsia="zh-CN"/>
              </w:rPr>
              <w:t>6</w:t>
            </w:r>
            <w:r>
              <w:rPr>
                <w:rFonts w:ascii="Calibri" w:hAnsi="Calibri" w:cs="Calibri"/>
                <w:color w:val="000000"/>
                <w:sz w:val="22"/>
                <w:szCs w:val="22"/>
                <w:lang w:eastAsia="zh-CN"/>
              </w:rPr>
              <w:t>0.830000</w:t>
            </w:r>
          </w:p>
        </w:tc>
        <w:tc>
          <w:tcPr>
            <w:tcW w:w="1643" w:type="dxa"/>
          </w:tcPr>
          <w:p>
            <w:pPr>
              <w:pStyle w:val="12"/>
            </w:pPr>
          </w:p>
        </w:tc>
        <w:tc>
          <w:tcPr>
            <w:tcW w:w="1643" w:type="dxa"/>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869" w:type="dxa"/>
          </w:tcPr>
          <w:p>
            <w:pPr>
              <w:jc w:val="center"/>
              <w:textAlignment w:val="top"/>
              <w:rPr>
                <w:rFonts w:ascii="Calibri" w:hAnsi="Calibri" w:cs="Calibri"/>
                <w:color w:val="000000"/>
                <w:sz w:val="22"/>
                <w:szCs w:val="22"/>
              </w:rPr>
            </w:pPr>
            <w:r>
              <w:rPr>
                <w:rFonts w:ascii="Calibri" w:hAnsi="Calibri" w:cs="Calibri"/>
                <w:color w:val="000000"/>
                <w:sz w:val="22"/>
                <w:szCs w:val="22"/>
                <w:lang w:eastAsia="zh-CN"/>
              </w:rPr>
              <w:t>6</w:t>
            </w:r>
          </w:p>
        </w:tc>
        <w:tc>
          <w:tcPr>
            <w:tcW w:w="2960" w:type="dxa"/>
          </w:tcPr>
          <w:p>
            <w:pPr>
              <w:textAlignment w:val="top"/>
              <w:rPr>
                <w:rFonts w:ascii="Calibri" w:hAnsi="Calibri" w:cs="Calibri"/>
                <w:color w:val="000000"/>
                <w:sz w:val="22"/>
                <w:szCs w:val="22"/>
              </w:rPr>
            </w:pPr>
            <w:r>
              <w:rPr>
                <w:rFonts w:ascii="Calibri" w:hAnsi="Calibri" w:cs="Calibri"/>
                <w:color w:val="000000"/>
                <w:sz w:val="22"/>
                <w:szCs w:val="22"/>
                <w:lang w:eastAsia="zh-CN"/>
              </w:rPr>
              <w:t xml:space="preserve">    </w:t>
            </w:r>
            <w:r>
              <w:rPr>
                <w:rFonts w:hint="eastAsia" w:ascii="Calibri" w:hAnsi="Calibri" w:cs="Calibri"/>
                <w:color w:val="000000"/>
                <w:sz w:val="22"/>
                <w:szCs w:val="22"/>
                <w:lang w:eastAsia="zh-CN"/>
              </w:rPr>
              <w:t>其中：公务用车购置费</w:t>
            </w:r>
          </w:p>
        </w:tc>
        <w:tc>
          <w:tcPr>
            <w:tcW w:w="1643" w:type="dxa"/>
          </w:tcPr>
          <w:p>
            <w:pPr>
              <w:jc w:val="right"/>
              <w:textAlignment w:val="top"/>
              <w:rPr>
                <w:rFonts w:ascii="Calibri" w:hAnsi="Calibri" w:cs="Calibri"/>
                <w:color w:val="000000"/>
                <w:sz w:val="22"/>
                <w:szCs w:val="22"/>
              </w:rPr>
            </w:pPr>
            <w:r>
              <w:rPr>
                <w:rFonts w:hint="eastAsia" w:ascii="Calibri" w:hAnsi="Calibri" w:cs="Calibri"/>
                <w:color w:val="000000"/>
                <w:sz w:val="22"/>
                <w:szCs w:val="22"/>
                <w:lang w:val="en-US" w:eastAsia="zh-CN"/>
              </w:rPr>
              <w:t>0</w:t>
            </w:r>
          </w:p>
        </w:tc>
        <w:tc>
          <w:tcPr>
            <w:tcW w:w="1643" w:type="dxa"/>
          </w:tcPr>
          <w:p>
            <w:pPr>
              <w:jc w:val="right"/>
              <w:textAlignment w:val="top"/>
              <w:rPr>
                <w:rFonts w:ascii="Calibri" w:hAnsi="Calibri" w:cs="Calibri"/>
                <w:color w:val="000000"/>
                <w:sz w:val="22"/>
                <w:szCs w:val="22"/>
              </w:rPr>
            </w:pPr>
            <w:r>
              <w:rPr>
                <w:rFonts w:hint="eastAsia" w:ascii="Calibri" w:hAnsi="Calibri" w:cs="Calibri"/>
                <w:color w:val="000000"/>
                <w:sz w:val="22"/>
                <w:szCs w:val="22"/>
                <w:lang w:val="en-US" w:eastAsia="zh-CN"/>
              </w:rPr>
              <w:t>0</w:t>
            </w:r>
          </w:p>
        </w:tc>
        <w:tc>
          <w:tcPr>
            <w:tcW w:w="1643" w:type="dxa"/>
          </w:tcPr>
          <w:p>
            <w:pPr>
              <w:pStyle w:val="12"/>
            </w:pPr>
          </w:p>
        </w:tc>
        <w:tc>
          <w:tcPr>
            <w:tcW w:w="1643" w:type="dxa"/>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869" w:type="dxa"/>
          </w:tcPr>
          <w:p>
            <w:pPr>
              <w:jc w:val="center"/>
              <w:textAlignment w:val="top"/>
              <w:rPr>
                <w:rFonts w:ascii="Calibri" w:hAnsi="Calibri" w:cs="Calibri"/>
                <w:color w:val="000000"/>
                <w:sz w:val="22"/>
                <w:szCs w:val="22"/>
              </w:rPr>
            </w:pPr>
            <w:r>
              <w:rPr>
                <w:rFonts w:ascii="Calibri" w:hAnsi="Calibri" w:cs="Calibri"/>
                <w:color w:val="000000"/>
                <w:sz w:val="22"/>
                <w:szCs w:val="22"/>
                <w:lang w:eastAsia="zh-CN"/>
              </w:rPr>
              <w:t>7</w:t>
            </w:r>
          </w:p>
        </w:tc>
        <w:tc>
          <w:tcPr>
            <w:tcW w:w="2960" w:type="dxa"/>
          </w:tcPr>
          <w:p>
            <w:pPr>
              <w:textAlignment w:val="top"/>
              <w:rPr>
                <w:rFonts w:ascii="Calibri" w:hAnsi="Calibri" w:cs="Calibri"/>
                <w:color w:val="000000"/>
                <w:sz w:val="22"/>
                <w:szCs w:val="22"/>
              </w:rPr>
            </w:pPr>
            <w:r>
              <w:rPr>
                <w:rFonts w:ascii="Calibri" w:hAnsi="Calibri" w:cs="Calibri"/>
                <w:color w:val="000000"/>
                <w:sz w:val="22"/>
                <w:szCs w:val="22"/>
                <w:lang w:eastAsia="zh-CN"/>
              </w:rPr>
              <w:t xml:space="preserve">          </w:t>
            </w:r>
            <w:r>
              <w:rPr>
                <w:rFonts w:hint="eastAsia" w:ascii="Calibri" w:hAnsi="Calibri" w:cs="Calibri"/>
                <w:color w:val="000000"/>
                <w:sz w:val="22"/>
                <w:szCs w:val="22"/>
                <w:lang w:eastAsia="zh-CN"/>
              </w:rPr>
              <w:t>公务用车运行维护费</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60.830000</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60.830000</w:t>
            </w:r>
          </w:p>
        </w:tc>
        <w:tc>
          <w:tcPr>
            <w:tcW w:w="1643" w:type="dxa"/>
          </w:tcPr>
          <w:p>
            <w:pPr>
              <w:pStyle w:val="12"/>
            </w:pPr>
          </w:p>
        </w:tc>
        <w:tc>
          <w:tcPr>
            <w:tcW w:w="1643" w:type="dxa"/>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869" w:type="dxa"/>
          </w:tcPr>
          <w:p>
            <w:pPr>
              <w:jc w:val="center"/>
              <w:textAlignment w:val="top"/>
              <w:rPr>
                <w:rFonts w:ascii="Calibri" w:hAnsi="Calibri" w:cs="Calibri"/>
                <w:color w:val="000000"/>
                <w:sz w:val="22"/>
                <w:szCs w:val="22"/>
              </w:rPr>
            </w:pPr>
            <w:r>
              <w:rPr>
                <w:rFonts w:ascii="Calibri" w:hAnsi="Calibri" w:cs="Calibri"/>
                <w:color w:val="000000"/>
                <w:sz w:val="22"/>
                <w:szCs w:val="22"/>
                <w:lang w:eastAsia="zh-CN"/>
              </w:rPr>
              <w:t>8</w:t>
            </w:r>
          </w:p>
        </w:tc>
        <w:tc>
          <w:tcPr>
            <w:tcW w:w="2960" w:type="dxa"/>
          </w:tcPr>
          <w:p>
            <w:pPr>
              <w:textAlignment w:val="top"/>
              <w:rPr>
                <w:rFonts w:ascii="Calibri" w:hAnsi="Calibri" w:cs="Calibri"/>
                <w:color w:val="000000"/>
                <w:sz w:val="22"/>
                <w:szCs w:val="22"/>
              </w:rPr>
            </w:pPr>
            <w:r>
              <w:rPr>
                <w:rFonts w:hint="eastAsia" w:ascii="Calibri" w:hAnsi="Calibri" w:cs="Calibri"/>
                <w:color w:val="000000"/>
                <w:sz w:val="22"/>
                <w:szCs w:val="22"/>
                <w:lang w:eastAsia="zh-CN"/>
              </w:rPr>
              <w:t>三、公务接待费</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0.630000</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0.630000</w:t>
            </w:r>
          </w:p>
        </w:tc>
        <w:tc>
          <w:tcPr>
            <w:tcW w:w="1643" w:type="dxa"/>
          </w:tcPr>
          <w:p>
            <w:pPr>
              <w:pStyle w:val="12"/>
            </w:pPr>
          </w:p>
        </w:tc>
        <w:tc>
          <w:tcPr>
            <w:tcW w:w="1643" w:type="dxa"/>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869" w:type="dxa"/>
          </w:tcPr>
          <w:p>
            <w:pPr>
              <w:jc w:val="center"/>
              <w:textAlignment w:val="top"/>
              <w:rPr>
                <w:rFonts w:ascii="Calibri" w:hAnsi="Calibri" w:cs="Calibri"/>
                <w:color w:val="000000"/>
                <w:sz w:val="22"/>
                <w:szCs w:val="22"/>
              </w:rPr>
            </w:pPr>
            <w:r>
              <w:rPr>
                <w:rFonts w:ascii="Calibri" w:hAnsi="Calibri" w:cs="Calibri"/>
                <w:color w:val="000000"/>
                <w:sz w:val="22"/>
                <w:szCs w:val="22"/>
                <w:lang w:eastAsia="zh-CN"/>
              </w:rPr>
              <w:t>9</w:t>
            </w:r>
          </w:p>
        </w:tc>
        <w:tc>
          <w:tcPr>
            <w:tcW w:w="2960" w:type="dxa"/>
          </w:tcPr>
          <w:p>
            <w:pPr>
              <w:textAlignment w:val="top"/>
              <w:rPr>
                <w:rFonts w:ascii="Calibri" w:hAnsi="Calibri" w:cs="Calibri"/>
                <w:color w:val="000000"/>
                <w:sz w:val="22"/>
                <w:szCs w:val="22"/>
              </w:rPr>
            </w:pPr>
            <w:r>
              <w:rPr>
                <w:rFonts w:hint="eastAsia" w:ascii="Calibri" w:hAnsi="Calibri" w:cs="Calibri"/>
                <w:color w:val="000000"/>
                <w:sz w:val="22"/>
                <w:szCs w:val="22"/>
                <w:lang w:eastAsia="zh-CN"/>
              </w:rPr>
              <w:t>四、会议费</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643" w:type="dxa"/>
          </w:tcPr>
          <w:p>
            <w:pPr>
              <w:pStyle w:val="12"/>
            </w:pPr>
          </w:p>
        </w:tc>
        <w:tc>
          <w:tcPr>
            <w:tcW w:w="1643" w:type="dxa"/>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869" w:type="dxa"/>
          </w:tcPr>
          <w:p>
            <w:pPr>
              <w:jc w:val="center"/>
              <w:textAlignment w:val="top"/>
              <w:rPr>
                <w:rFonts w:ascii="Calibri" w:hAnsi="Calibri" w:cs="Calibri"/>
                <w:color w:val="000000"/>
                <w:sz w:val="22"/>
                <w:szCs w:val="22"/>
              </w:rPr>
            </w:pPr>
            <w:r>
              <w:rPr>
                <w:rFonts w:ascii="Calibri" w:hAnsi="Calibri" w:cs="Calibri"/>
                <w:color w:val="000000"/>
                <w:sz w:val="22"/>
                <w:szCs w:val="22"/>
                <w:lang w:eastAsia="zh-CN"/>
              </w:rPr>
              <w:t>10</w:t>
            </w:r>
          </w:p>
        </w:tc>
        <w:tc>
          <w:tcPr>
            <w:tcW w:w="2960" w:type="dxa"/>
          </w:tcPr>
          <w:p>
            <w:pPr>
              <w:textAlignment w:val="top"/>
              <w:rPr>
                <w:rFonts w:ascii="Calibri" w:hAnsi="Calibri" w:cs="Calibri"/>
                <w:color w:val="000000"/>
                <w:sz w:val="22"/>
                <w:szCs w:val="22"/>
              </w:rPr>
            </w:pPr>
            <w:r>
              <w:rPr>
                <w:rFonts w:ascii="Calibri" w:hAnsi="Calibri" w:cs="Calibri"/>
                <w:color w:val="000000"/>
                <w:sz w:val="22"/>
                <w:szCs w:val="22"/>
                <w:lang w:eastAsia="zh-CN"/>
              </w:rPr>
              <w:t xml:space="preserve">    </w:t>
            </w:r>
            <w:r>
              <w:rPr>
                <w:rFonts w:hint="eastAsia" w:ascii="Calibri" w:hAnsi="Calibri" w:cs="Calibri"/>
                <w:color w:val="000000"/>
                <w:sz w:val="22"/>
                <w:szCs w:val="22"/>
                <w:lang w:eastAsia="zh-CN"/>
              </w:rPr>
              <w:t>其中：省属高校业务性会议费</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643" w:type="dxa"/>
          </w:tcPr>
          <w:p>
            <w:pPr>
              <w:pStyle w:val="12"/>
            </w:pPr>
          </w:p>
        </w:tc>
        <w:tc>
          <w:tcPr>
            <w:tcW w:w="1643" w:type="dxa"/>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869" w:type="dxa"/>
          </w:tcPr>
          <w:p>
            <w:pPr>
              <w:jc w:val="center"/>
              <w:textAlignment w:val="top"/>
              <w:rPr>
                <w:rFonts w:ascii="Calibri" w:hAnsi="Calibri" w:cs="Calibri"/>
                <w:color w:val="000000"/>
                <w:sz w:val="22"/>
                <w:szCs w:val="22"/>
              </w:rPr>
            </w:pPr>
            <w:r>
              <w:rPr>
                <w:rFonts w:ascii="Calibri" w:hAnsi="Calibri" w:cs="Calibri"/>
                <w:color w:val="000000"/>
                <w:sz w:val="22"/>
                <w:szCs w:val="22"/>
                <w:lang w:eastAsia="zh-CN"/>
              </w:rPr>
              <w:t>11</w:t>
            </w:r>
          </w:p>
        </w:tc>
        <w:tc>
          <w:tcPr>
            <w:tcW w:w="2960" w:type="dxa"/>
          </w:tcPr>
          <w:p>
            <w:pPr>
              <w:textAlignment w:val="top"/>
              <w:rPr>
                <w:rFonts w:ascii="Calibri" w:hAnsi="Calibri" w:cs="Calibri"/>
                <w:color w:val="000000"/>
                <w:sz w:val="22"/>
                <w:szCs w:val="22"/>
              </w:rPr>
            </w:pPr>
            <w:r>
              <w:rPr>
                <w:rFonts w:ascii="Calibri" w:hAnsi="Calibri" w:cs="Calibri"/>
                <w:color w:val="000000"/>
                <w:sz w:val="22"/>
                <w:szCs w:val="22"/>
                <w:lang w:eastAsia="zh-CN"/>
              </w:rPr>
              <w:t xml:space="preserve">          </w:t>
            </w:r>
            <w:r>
              <w:rPr>
                <w:rFonts w:hint="eastAsia" w:ascii="Calibri" w:hAnsi="Calibri" w:cs="Calibri"/>
                <w:color w:val="000000"/>
                <w:sz w:val="22"/>
                <w:szCs w:val="22"/>
                <w:lang w:eastAsia="zh-CN"/>
              </w:rPr>
              <w:t>其他会议费</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643" w:type="dxa"/>
          </w:tcPr>
          <w:p>
            <w:pPr>
              <w:pStyle w:val="12"/>
            </w:pPr>
          </w:p>
        </w:tc>
        <w:tc>
          <w:tcPr>
            <w:tcW w:w="1643" w:type="dxa"/>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869" w:type="dxa"/>
          </w:tcPr>
          <w:p>
            <w:pPr>
              <w:jc w:val="center"/>
              <w:textAlignment w:val="top"/>
              <w:rPr>
                <w:rFonts w:ascii="Calibri" w:hAnsi="Calibri" w:cs="Calibri"/>
                <w:color w:val="000000"/>
                <w:sz w:val="22"/>
                <w:szCs w:val="22"/>
              </w:rPr>
            </w:pPr>
            <w:r>
              <w:rPr>
                <w:rFonts w:ascii="Calibri" w:hAnsi="Calibri" w:cs="Calibri"/>
                <w:color w:val="000000"/>
                <w:sz w:val="22"/>
                <w:szCs w:val="22"/>
                <w:lang w:eastAsia="zh-CN"/>
              </w:rPr>
              <w:t>12</w:t>
            </w:r>
          </w:p>
        </w:tc>
        <w:tc>
          <w:tcPr>
            <w:tcW w:w="2960" w:type="dxa"/>
          </w:tcPr>
          <w:p>
            <w:pPr>
              <w:textAlignment w:val="top"/>
              <w:rPr>
                <w:rFonts w:ascii="Calibri" w:hAnsi="Calibri" w:cs="Calibri"/>
                <w:color w:val="000000"/>
                <w:sz w:val="22"/>
                <w:szCs w:val="22"/>
              </w:rPr>
            </w:pPr>
            <w:r>
              <w:rPr>
                <w:rFonts w:hint="eastAsia" w:ascii="Calibri" w:hAnsi="Calibri" w:cs="Calibri"/>
                <w:color w:val="000000"/>
                <w:sz w:val="22"/>
                <w:szCs w:val="22"/>
                <w:lang w:eastAsia="zh-CN"/>
              </w:rPr>
              <w:t>五、培训费</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643" w:type="dxa"/>
          </w:tcPr>
          <w:p>
            <w:pPr>
              <w:pStyle w:val="12"/>
            </w:pPr>
          </w:p>
        </w:tc>
        <w:tc>
          <w:tcPr>
            <w:tcW w:w="1643" w:type="dxa"/>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869" w:type="dxa"/>
          </w:tcPr>
          <w:p>
            <w:pPr>
              <w:jc w:val="center"/>
              <w:textAlignment w:val="top"/>
              <w:rPr>
                <w:rFonts w:ascii="Calibri" w:hAnsi="Calibri" w:cs="Calibri"/>
                <w:color w:val="000000"/>
                <w:sz w:val="22"/>
                <w:szCs w:val="22"/>
              </w:rPr>
            </w:pPr>
            <w:r>
              <w:rPr>
                <w:rFonts w:ascii="Calibri" w:hAnsi="Calibri" w:cs="Calibri"/>
                <w:color w:val="000000"/>
                <w:sz w:val="22"/>
                <w:szCs w:val="22"/>
                <w:lang w:eastAsia="zh-CN"/>
              </w:rPr>
              <w:t>13</w:t>
            </w:r>
          </w:p>
        </w:tc>
        <w:tc>
          <w:tcPr>
            <w:tcW w:w="2960" w:type="dxa"/>
          </w:tcPr>
          <w:p>
            <w:pPr>
              <w:textAlignment w:val="top"/>
              <w:rPr>
                <w:rFonts w:ascii="Calibri" w:hAnsi="Calibri" w:cs="Calibri"/>
                <w:color w:val="000000"/>
                <w:sz w:val="22"/>
                <w:szCs w:val="22"/>
              </w:rPr>
            </w:pPr>
            <w:r>
              <w:rPr>
                <w:rFonts w:hint="eastAsia" w:ascii="Calibri" w:hAnsi="Calibri" w:cs="Calibri"/>
                <w:color w:val="000000"/>
                <w:sz w:val="22"/>
                <w:szCs w:val="22"/>
                <w:lang w:eastAsia="zh-CN"/>
              </w:rPr>
              <w:t>合计</w:t>
            </w:r>
          </w:p>
        </w:tc>
        <w:tc>
          <w:tcPr>
            <w:tcW w:w="1643" w:type="dxa"/>
          </w:tcPr>
          <w:p>
            <w:pPr>
              <w:jc w:val="right"/>
              <w:textAlignment w:val="top"/>
              <w:rPr>
                <w:rFonts w:ascii="Calibri" w:hAnsi="Calibri" w:cs="Calibri"/>
                <w:color w:val="000000"/>
                <w:sz w:val="22"/>
                <w:szCs w:val="22"/>
              </w:rPr>
            </w:pPr>
            <w:r>
              <w:rPr>
                <w:rFonts w:hint="eastAsia" w:ascii="Calibri" w:hAnsi="Calibri" w:cs="Calibri"/>
                <w:color w:val="000000"/>
                <w:sz w:val="22"/>
                <w:szCs w:val="22"/>
                <w:lang w:val="en-US" w:eastAsia="zh-CN"/>
              </w:rPr>
              <w:t>61.460000</w:t>
            </w:r>
          </w:p>
        </w:tc>
        <w:tc>
          <w:tcPr>
            <w:tcW w:w="1643" w:type="dxa"/>
          </w:tcPr>
          <w:p>
            <w:pPr>
              <w:jc w:val="right"/>
              <w:textAlignment w:val="top"/>
              <w:rPr>
                <w:rFonts w:ascii="Calibri" w:hAnsi="Calibri" w:cs="Calibri"/>
                <w:color w:val="000000"/>
                <w:sz w:val="22"/>
                <w:szCs w:val="22"/>
              </w:rPr>
            </w:pPr>
            <w:r>
              <w:rPr>
                <w:rFonts w:hint="eastAsia" w:ascii="Calibri" w:hAnsi="Calibri" w:cs="Calibri"/>
                <w:color w:val="000000"/>
                <w:sz w:val="22"/>
                <w:szCs w:val="22"/>
                <w:lang w:val="en-US" w:eastAsia="zh-CN"/>
              </w:rPr>
              <w:t>61.460000</w:t>
            </w:r>
          </w:p>
        </w:tc>
        <w:tc>
          <w:tcPr>
            <w:tcW w:w="1643" w:type="dxa"/>
          </w:tcPr>
          <w:p>
            <w:pPr>
              <w:pStyle w:val="12"/>
            </w:pPr>
          </w:p>
        </w:tc>
        <w:tc>
          <w:tcPr>
            <w:tcW w:w="1643" w:type="dxa"/>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869" w:type="dxa"/>
          </w:tcPr>
          <w:p>
            <w:pPr>
              <w:jc w:val="center"/>
              <w:textAlignment w:val="top"/>
              <w:rPr>
                <w:rFonts w:ascii="Calibri" w:hAnsi="Calibri" w:cs="Calibri"/>
                <w:color w:val="000000"/>
                <w:sz w:val="22"/>
                <w:szCs w:val="22"/>
              </w:rPr>
            </w:pPr>
            <w:r>
              <w:rPr>
                <w:rFonts w:ascii="Calibri" w:hAnsi="Calibri" w:cs="Calibri"/>
                <w:color w:val="000000"/>
                <w:sz w:val="22"/>
                <w:szCs w:val="22"/>
                <w:lang w:eastAsia="zh-CN"/>
              </w:rPr>
              <w:t>14</w:t>
            </w:r>
          </w:p>
        </w:tc>
        <w:tc>
          <w:tcPr>
            <w:tcW w:w="2960" w:type="dxa"/>
          </w:tcPr>
          <w:p>
            <w:pPr>
              <w:textAlignment w:val="top"/>
              <w:rPr>
                <w:rFonts w:ascii="Calibri" w:hAnsi="Calibri" w:cs="Calibri"/>
                <w:color w:val="000000"/>
                <w:sz w:val="22"/>
                <w:szCs w:val="22"/>
              </w:rPr>
            </w:pPr>
            <w:r>
              <w:rPr>
                <w:rFonts w:ascii="Calibri" w:hAnsi="Calibri" w:cs="Calibri"/>
                <w:color w:val="000000"/>
                <w:sz w:val="22"/>
                <w:szCs w:val="22"/>
                <w:lang w:eastAsia="zh-CN"/>
              </w:rPr>
              <w:t>“</w:t>
            </w:r>
            <w:r>
              <w:rPr>
                <w:rFonts w:hint="eastAsia" w:ascii="Calibri" w:hAnsi="Calibri" w:cs="Calibri"/>
                <w:color w:val="000000"/>
                <w:sz w:val="22"/>
                <w:szCs w:val="22"/>
                <w:lang w:eastAsia="zh-CN"/>
              </w:rPr>
              <w:t>三公</w:t>
            </w:r>
            <w:r>
              <w:rPr>
                <w:rFonts w:ascii="Calibri" w:hAnsi="Calibri" w:cs="Calibri"/>
                <w:color w:val="000000"/>
                <w:sz w:val="22"/>
                <w:szCs w:val="22"/>
                <w:lang w:eastAsia="zh-CN"/>
              </w:rPr>
              <w:t>”</w:t>
            </w:r>
            <w:r>
              <w:rPr>
                <w:rFonts w:hint="eastAsia" w:ascii="Calibri" w:hAnsi="Calibri" w:cs="Calibri"/>
                <w:color w:val="000000"/>
                <w:sz w:val="22"/>
                <w:szCs w:val="22"/>
                <w:lang w:eastAsia="zh-CN"/>
              </w:rPr>
              <w:t>经费小计</w:t>
            </w:r>
          </w:p>
        </w:tc>
        <w:tc>
          <w:tcPr>
            <w:tcW w:w="1643" w:type="dxa"/>
          </w:tcPr>
          <w:p>
            <w:pPr>
              <w:jc w:val="right"/>
              <w:textAlignment w:val="top"/>
              <w:rPr>
                <w:rFonts w:ascii="Calibri" w:hAnsi="Calibri" w:cs="Calibri"/>
                <w:color w:val="000000"/>
                <w:sz w:val="22"/>
                <w:szCs w:val="22"/>
              </w:rPr>
            </w:pPr>
            <w:r>
              <w:rPr>
                <w:rFonts w:hint="eastAsia" w:ascii="Calibri" w:hAnsi="Calibri" w:cs="Calibri"/>
                <w:color w:val="000000"/>
                <w:sz w:val="22"/>
                <w:szCs w:val="22"/>
                <w:lang w:val="en-US" w:eastAsia="zh-CN"/>
              </w:rPr>
              <w:t>61.460000</w:t>
            </w:r>
          </w:p>
        </w:tc>
        <w:tc>
          <w:tcPr>
            <w:tcW w:w="1643" w:type="dxa"/>
          </w:tcPr>
          <w:p>
            <w:pPr>
              <w:jc w:val="right"/>
              <w:textAlignment w:val="top"/>
              <w:rPr>
                <w:rFonts w:ascii="Calibri" w:hAnsi="Calibri" w:cs="Calibri"/>
                <w:color w:val="000000"/>
                <w:sz w:val="22"/>
                <w:szCs w:val="22"/>
              </w:rPr>
            </w:pPr>
            <w:r>
              <w:rPr>
                <w:rFonts w:hint="eastAsia" w:ascii="Calibri" w:hAnsi="Calibri" w:cs="Calibri"/>
                <w:color w:val="000000"/>
                <w:sz w:val="22"/>
                <w:szCs w:val="22"/>
                <w:lang w:val="en-US" w:eastAsia="zh-CN"/>
              </w:rPr>
              <w:t>61.460000</w:t>
            </w:r>
          </w:p>
        </w:tc>
        <w:tc>
          <w:tcPr>
            <w:tcW w:w="1643" w:type="dxa"/>
          </w:tcPr>
          <w:p>
            <w:pPr>
              <w:pStyle w:val="12"/>
            </w:pPr>
          </w:p>
        </w:tc>
        <w:tc>
          <w:tcPr>
            <w:tcW w:w="1643" w:type="dxa"/>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869" w:type="dxa"/>
          </w:tcPr>
          <w:p>
            <w:pPr>
              <w:jc w:val="center"/>
              <w:textAlignment w:val="top"/>
              <w:rPr>
                <w:rFonts w:ascii="Calibri" w:hAnsi="Calibri" w:cs="Calibri"/>
                <w:color w:val="000000"/>
                <w:sz w:val="22"/>
                <w:szCs w:val="22"/>
              </w:rPr>
            </w:pPr>
            <w:r>
              <w:rPr>
                <w:rFonts w:ascii="Calibri" w:hAnsi="Calibri" w:cs="Calibri"/>
                <w:color w:val="000000"/>
                <w:sz w:val="22"/>
                <w:szCs w:val="22"/>
                <w:lang w:eastAsia="zh-CN"/>
              </w:rPr>
              <w:t>15</w:t>
            </w:r>
          </w:p>
        </w:tc>
        <w:tc>
          <w:tcPr>
            <w:tcW w:w="2960" w:type="dxa"/>
          </w:tcPr>
          <w:p>
            <w:pPr>
              <w:textAlignment w:val="top"/>
              <w:rPr>
                <w:rFonts w:ascii="Calibri" w:hAnsi="Calibri" w:cs="Calibri"/>
                <w:color w:val="000000"/>
                <w:sz w:val="22"/>
                <w:szCs w:val="22"/>
              </w:rPr>
            </w:pPr>
            <w:r>
              <w:rPr>
                <w:rFonts w:hint="eastAsia" w:ascii="Calibri" w:hAnsi="Calibri" w:cs="Calibri"/>
                <w:color w:val="000000"/>
                <w:sz w:val="22"/>
                <w:szCs w:val="22"/>
                <w:lang w:eastAsia="zh-CN"/>
              </w:rPr>
              <w:t>一、因公出国（境）费</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643" w:type="dxa"/>
          </w:tcPr>
          <w:p>
            <w:pPr>
              <w:pStyle w:val="12"/>
            </w:pPr>
          </w:p>
        </w:tc>
        <w:tc>
          <w:tcPr>
            <w:tcW w:w="1643" w:type="dxa"/>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869" w:type="dxa"/>
          </w:tcPr>
          <w:p>
            <w:pPr>
              <w:jc w:val="center"/>
              <w:textAlignment w:val="top"/>
              <w:rPr>
                <w:rFonts w:ascii="Calibri" w:hAnsi="Calibri" w:cs="Calibri"/>
                <w:color w:val="000000"/>
                <w:sz w:val="22"/>
                <w:szCs w:val="22"/>
              </w:rPr>
            </w:pPr>
            <w:r>
              <w:rPr>
                <w:rFonts w:ascii="Calibri" w:hAnsi="Calibri" w:cs="Calibri"/>
                <w:color w:val="000000"/>
                <w:sz w:val="22"/>
                <w:szCs w:val="22"/>
                <w:lang w:eastAsia="zh-CN"/>
              </w:rPr>
              <w:t>16</w:t>
            </w:r>
          </w:p>
        </w:tc>
        <w:tc>
          <w:tcPr>
            <w:tcW w:w="2960" w:type="dxa"/>
          </w:tcPr>
          <w:p>
            <w:pPr>
              <w:textAlignment w:val="top"/>
              <w:rPr>
                <w:rFonts w:ascii="Calibri" w:hAnsi="Calibri" w:cs="Calibri"/>
                <w:color w:val="000000"/>
                <w:sz w:val="22"/>
                <w:szCs w:val="22"/>
              </w:rPr>
            </w:pPr>
            <w:r>
              <w:rPr>
                <w:rFonts w:ascii="Calibri" w:hAnsi="Calibri" w:cs="Calibri"/>
                <w:color w:val="000000"/>
                <w:sz w:val="22"/>
                <w:szCs w:val="22"/>
                <w:lang w:eastAsia="zh-CN"/>
              </w:rPr>
              <w:t xml:space="preserve">    </w:t>
            </w:r>
            <w:r>
              <w:rPr>
                <w:rFonts w:hint="eastAsia" w:ascii="Calibri" w:hAnsi="Calibri" w:cs="Calibri"/>
                <w:color w:val="000000"/>
                <w:sz w:val="22"/>
                <w:szCs w:val="22"/>
                <w:lang w:eastAsia="zh-CN"/>
              </w:rPr>
              <w:t>其中：教学科研人员因公出国（境）费</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643" w:type="dxa"/>
          </w:tcPr>
          <w:p>
            <w:pPr>
              <w:pStyle w:val="12"/>
            </w:pPr>
          </w:p>
        </w:tc>
        <w:tc>
          <w:tcPr>
            <w:tcW w:w="1643" w:type="dxa"/>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869" w:type="dxa"/>
          </w:tcPr>
          <w:p>
            <w:pPr>
              <w:jc w:val="center"/>
              <w:textAlignment w:val="top"/>
              <w:rPr>
                <w:rFonts w:ascii="Calibri" w:hAnsi="Calibri" w:cs="Calibri"/>
                <w:color w:val="000000"/>
                <w:sz w:val="22"/>
                <w:szCs w:val="22"/>
              </w:rPr>
            </w:pPr>
            <w:r>
              <w:rPr>
                <w:rFonts w:ascii="Calibri" w:hAnsi="Calibri" w:cs="Calibri"/>
                <w:color w:val="000000"/>
                <w:sz w:val="22"/>
                <w:szCs w:val="22"/>
                <w:lang w:eastAsia="zh-CN"/>
              </w:rPr>
              <w:t>17</w:t>
            </w:r>
          </w:p>
        </w:tc>
        <w:tc>
          <w:tcPr>
            <w:tcW w:w="2960" w:type="dxa"/>
          </w:tcPr>
          <w:p>
            <w:pPr>
              <w:textAlignment w:val="top"/>
              <w:rPr>
                <w:rFonts w:ascii="Calibri" w:hAnsi="Calibri" w:cs="Calibri"/>
                <w:color w:val="000000"/>
                <w:sz w:val="22"/>
                <w:szCs w:val="22"/>
              </w:rPr>
            </w:pPr>
            <w:r>
              <w:rPr>
                <w:rFonts w:ascii="Calibri" w:hAnsi="Calibri" w:cs="Calibri"/>
                <w:color w:val="000000"/>
                <w:sz w:val="22"/>
                <w:szCs w:val="22"/>
                <w:lang w:eastAsia="zh-CN"/>
              </w:rPr>
              <w:t xml:space="preserve">          </w:t>
            </w:r>
            <w:r>
              <w:rPr>
                <w:rFonts w:hint="eastAsia" w:ascii="Calibri" w:hAnsi="Calibri" w:cs="Calibri"/>
                <w:color w:val="000000"/>
                <w:sz w:val="22"/>
                <w:szCs w:val="22"/>
                <w:lang w:eastAsia="zh-CN"/>
              </w:rPr>
              <w:t>其他因公出国（境）费</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643" w:type="dxa"/>
          </w:tcPr>
          <w:p>
            <w:pPr>
              <w:pStyle w:val="12"/>
            </w:pPr>
          </w:p>
        </w:tc>
        <w:tc>
          <w:tcPr>
            <w:tcW w:w="1643" w:type="dxa"/>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869" w:type="dxa"/>
          </w:tcPr>
          <w:p>
            <w:pPr>
              <w:jc w:val="center"/>
              <w:textAlignment w:val="top"/>
              <w:rPr>
                <w:rFonts w:ascii="Calibri" w:hAnsi="Calibri" w:cs="Calibri"/>
                <w:color w:val="000000"/>
                <w:sz w:val="22"/>
                <w:szCs w:val="22"/>
              </w:rPr>
            </w:pPr>
            <w:r>
              <w:rPr>
                <w:rFonts w:ascii="Calibri" w:hAnsi="Calibri" w:cs="Calibri"/>
                <w:color w:val="000000"/>
                <w:sz w:val="22"/>
                <w:szCs w:val="22"/>
                <w:lang w:eastAsia="zh-CN"/>
              </w:rPr>
              <w:t>18</w:t>
            </w:r>
          </w:p>
        </w:tc>
        <w:tc>
          <w:tcPr>
            <w:tcW w:w="2960" w:type="dxa"/>
          </w:tcPr>
          <w:p>
            <w:pPr>
              <w:textAlignment w:val="top"/>
              <w:rPr>
                <w:rFonts w:ascii="Calibri" w:hAnsi="Calibri" w:cs="Calibri"/>
                <w:color w:val="000000"/>
                <w:sz w:val="22"/>
                <w:szCs w:val="22"/>
              </w:rPr>
            </w:pPr>
            <w:r>
              <w:rPr>
                <w:rFonts w:hint="eastAsia" w:ascii="Calibri" w:hAnsi="Calibri" w:cs="Calibri"/>
                <w:color w:val="000000"/>
                <w:sz w:val="22"/>
                <w:szCs w:val="22"/>
                <w:lang w:eastAsia="zh-CN"/>
              </w:rPr>
              <w:t>二、公务用车购置及运维费</w:t>
            </w:r>
          </w:p>
        </w:tc>
        <w:tc>
          <w:tcPr>
            <w:tcW w:w="1643" w:type="dxa"/>
          </w:tcPr>
          <w:p>
            <w:pPr>
              <w:jc w:val="right"/>
              <w:textAlignment w:val="top"/>
              <w:rPr>
                <w:rFonts w:ascii="Calibri" w:hAnsi="Calibri" w:cs="Calibri"/>
                <w:color w:val="000000"/>
                <w:sz w:val="22"/>
                <w:szCs w:val="22"/>
              </w:rPr>
            </w:pPr>
            <w:r>
              <w:rPr>
                <w:rFonts w:hint="eastAsia" w:ascii="Calibri" w:hAnsi="Calibri" w:cs="Calibri"/>
                <w:color w:val="000000"/>
                <w:sz w:val="22"/>
                <w:szCs w:val="22"/>
                <w:lang w:val="en-US" w:eastAsia="zh-CN"/>
              </w:rPr>
              <w:t>6</w:t>
            </w:r>
            <w:r>
              <w:rPr>
                <w:rFonts w:ascii="Calibri" w:hAnsi="Calibri" w:cs="Calibri"/>
                <w:color w:val="000000"/>
                <w:sz w:val="22"/>
                <w:szCs w:val="22"/>
                <w:lang w:eastAsia="zh-CN"/>
              </w:rPr>
              <w:t>0.830000</w:t>
            </w:r>
          </w:p>
        </w:tc>
        <w:tc>
          <w:tcPr>
            <w:tcW w:w="1643" w:type="dxa"/>
          </w:tcPr>
          <w:p>
            <w:pPr>
              <w:jc w:val="right"/>
              <w:textAlignment w:val="top"/>
              <w:rPr>
                <w:rFonts w:ascii="Calibri" w:hAnsi="Calibri" w:cs="Calibri"/>
                <w:color w:val="000000"/>
                <w:sz w:val="22"/>
                <w:szCs w:val="22"/>
              </w:rPr>
            </w:pPr>
            <w:r>
              <w:rPr>
                <w:rFonts w:hint="eastAsia" w:ascii="Calibri" w:hAnsi="Calibri" w:cs="Calibri"/>
                <w:color w:val="000000"/>
                <w:sz w:val="22"/>
                <w:szCs w:val="22"/>
                <w:lang w:val="en-US" w:eastAsia="zh-CN"/>
              </w:rPr>
              <w:t>6</w:t>
            </w:r>
            <w:r>
              <w:rPr>
                <w:rFonts w:ascii="Calibri" w:hAnsi="Calibri" w:cs="Calibri"/>
                <w:color w:val="000000"/>
                <w:sz w:val="22"/>
                <w:szCs w:val="22"/>
                <w:lang w:eastAsia="zh-CN"/>
              </w:rPr>
              <w:t>0.830000</w:t>
            </w:r>
          </w:p>
        </w:tc>
        <w:tc>
          <w:tcPr>
            <w:tcW w:w="1643" w:type="dxa"/>
          </w:tcPr>
          <w:p>
            <w:pPr>
              <w:pStyle w:val="12"/>
            </w:pPr>
          </w:p>
        </w:tc>
        <w:tc>
          <w:tcPr>
            <w:tcW w:w="1643" w:type="dxa"/>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869" w:type="dxa"/>
          </w:tcPr>
          <w:p>
            <w:pPr>
              <w:jc w:val="center"/>
              <w:textAlignment w:val="top"/>
              <w:rPr>
                <w:rFonts w:ascii="Calibri" w:hAnsi="Calibri" w:cs="Calibri"/>
                <w:color w:val="000000"/>
                <w:sz w:val="22"/>
                <w:szCs w:val="22"/>
              </w:rPr>
            </w:pPr>
            <w:r>
              <w:rPr>
                <w:rFonts w:ascii="Calibri" w:hAnsi="Calibri" w:cs="Calibri"/>
                <w:color w:val="000000"/>
                <w:sz w:val="22"/>
                <w:szCs w:val="22"/>
                <w:lang w:eastAsia="zh-CN"/>
              </w:rPr>
              <w:t>19</w:t>
            </w:r>
          </w:p>
        </w:tc>
        <w:tc>
          <w:tcPr>
            <w:tcW w:w="2960" w:type="dxa"/>
          </w:tcPr>
          <w:p>
            <w:pPr>
              <w:textAlignment w:val="top"/>
              <w:rPr>
                <w:rFonts w:ascii="Calibri" w:hAnsi="Calibri" w:cs="Calibri"/>
                <w:color w:val="000000"/>
                <w:sz w:val="22"/>
                <w:szCs w:val="22"/>
              </w:rPr>
            </w:pPr>
            <w:r>
              <w:rPr>
                <w:rFonts w:ascii="Calibri" w:hAnsi="Calibri" w:cs="Calibri"/>
                <w:color w:val="000000"/>
                <w:sz w:val="22"/>
                <w:szCs w:val="22"/>
                <w:lang w:eastAsia="zh-CN"/>
              </w:rPr>
              <w:t xml:space="preserve">    </w:t>
            </w:r>
            <w:r>
              <w:rPr>
                <w:rFonts w:hint="eastAsia" w:ascii="Calibri" w:hAnsi="Calibri" w:cs="Calibri"/>
                <w:color w:val="000000"/>
                <w:sz w:val="22"/>
                <w:szCs w:val="22"/>
                <w:lang w:eastAsia="zh-CN"/>
              </w:rPr>
              <w:t>其中：公务用车购置费</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643" w:type="dxa"/>
          </w:tcPr>
          <w:p>
            <w:pPr>
              <w:pStyle w:val="12"/>
            </w:pPr>
          </w:p>
        </w:tc>
        <w:tc>
          <w:tcPr>
            <w:tcW w:w="1643" w:type="dxa"/>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869" w:type="dxa"/>
          </w:tcPr>
          <w:p>
            <w:pPr>
              <w:jc w:val="center"/>
              <w:textAlignment w:val="top"/>
              <w:rPr>
                <w:rFonts w:ascii="Calibri" w:hAnsi="Calibri" w:cs="Calibri"/>
                <w:color w:val="000000"/>
                <w:sz w:val="22"/>
                <w:szCs w:val="22"/>
              </w:rPr>
            </w:pPr>
            <w:r>
              <w:rPr>
                <w:rFonts w:ascii="Calibri" w:hAnsi="Calibri" w:cs="Calibri"/>
                <w:color w:val="000000"/>
                <w:sz w:val="22"/>
                <w:szCs w:val="22"/>
                <w:lang w:eastAsia="zh-CN"/>
              </w:rPr>
              <w:t>20</w:t>
            </w:r>
          </w:p>
        </w:tc>
        <w:tc>
          <w:tcPr>
            <w:tcW w:w="2960" w:type="dxa"/>
          </w:tcPr>
          <w:p>
            <w:pPr>
              <w:textAlignment w:val="top"/>
              <w:rPr>
                <w:rFonts w:ascii="Calibri" w:hAnsi="Calibri" w:cs="Calibri"/>
                <w:color w:val="000000"/>
                <w:sz w:val="22"/>
                <w:szCs w:val="22"/>
              </w:rPr>
            </w:pPr>
            <w:r>
              <w:rPr>
                <w:rFonts w:ascii="Calibri" w:hAnsi="Calibri" w:cs="Calibri"/>
                <w:color w:val="000000"/>
                <w:sz w:val="22"/>
                <w:szCs w:val="22"/>
                <w:lang w:eastAsia="zh-CN"/>
              </w:rPr>
              <w:t xml:space="preserve">          </w:t>
            </w:r>
            <w:r>
              <w:rPr>
                <w:rFonts w:hint="eastAsia" w:ascii="Calibri" w:hAnsi="Calibri" w:cs="Calibri"/>
                <w:color w:val="000000"/>
                <w:sz w:val="22"/>
                <w:szCs w:val="22"/>
                <w:lang w:eastAsia="zh-CN"/>
              </w:rPr>
              <w:t>公务用车运行维护费</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60.830000</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60.830000</w:t>
            </w:r>
          </w:p>
        </w:tc>
        <w:tc>
          <w:tcPr>
            <w:tcW w:w="1643" w:type="dxa"/>
          </w:tcPr>
          <w:p>
            <w:pPr>
              <w:pStyle w:val="12"/>
            </w:pPr>
          </w:p>
        </w:tc>
        <w:tc>
          <w:tcPr>
            <w:tcW w:w="1643" w:type="dxa"/>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869" w:type="dxa"/>
          </w:tcPr>
          <w:p>
            <w:pPr>
              <w:jc w:val="center"/>
              <w:textAlignment w:val="top"/>
              <w:rPr>
                <w:rFonts w:ascii="Calibri" w:hAnsi="Calibri" w:cs="Calibri"/>
                <w:color w:val="000000"/>
                <w:sz w:val="22"/>
                <w:szCs w:val="22"/>
              </w:rPr>
            </w:pPr>
            <w:r>
              <w:rPr>
                <w:rFonts w:ascii="Calibri" w:hAnsi="Calibri" w:cs="Calibri"/>
                <w:color w:val="000000"/>
                <w:sz w:val="22"/>
                <w:szCs w:val="22"/>
                <w:lang w:eastAsia="zh-CN"/>
              </w:rPr>
              <w:t>21</w:t>
            </w:r>
          </w:p>
        </w:tc>
        <w:tc>
          <w:tcPr>
            <w:tcW w:w="2960" w:type="dxa"/>
          </w:tcPr>
          <w:p>
            <w:pPr>
              <w:textAlignment w:val="top"/>
              <w:rPr>
                <w:rFonts w:ascii="Calibri" w:hAnsi="Calibri" w:cs="Calibri"/>
                <w:color w:val="000000"/>
                <w:sz w:val="22"/>
                <w:szCs w:val="22"/>
              </w:rPr>
            </w:pPr>
            <w:r>
              <w:rPr>
                <w:rFonts w:hint="eastAsia" w:ascii="Calibri" w:hAnsi="Calibri" w:cs="Calibri"/>
                <w:color w:val="000000"/>
                <w:sz w:val="22"/>
                <w:szCs w:val="22"/>
                <w:lang w:eastAsia="zh-CN"/>
              </w:rPr>
              <w:t>三、公务接待费</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0.630000</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0.630000</w:t>
            </w:r>
          </w:p>
        </w:tc>
        <w:tc>
          <w:tcPr>
            <w:tcW w:w="1643" w:type="dxa"/>
          </w:tcPr>
          <w:p>
            <w:pPr>
              <w:pStyle w:val="12"/>
            </w:pPr>
          </w:p>
        </w:tc>
        <w:tc>
          <w:tcPr>
            <w:tcW w:w="1643" w:type="dxa"/>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869" w:type="dxa"/>
          </w:tcPr>
          <w:p>
            <w:pPr>
              <w:jc w:val="center"/>
              <w:textAlignment w:val="top"/>
              <w:rPr>
                <w:rFonts w:ascii="Calibri" w:hAnsi="Calibri" w:cs="Calibri"/>
                <w:color w:val="000000"/>
                <w:sz w:val="22"/>
                <w:szCs w:val="22"/>
              </w:rPr>
            </w:pPr>
            <w:r>
              <w:rPr>
                <w:rFonts w:ascii="Calibri" w:hAnsi="Calibri" w:cs="Calibri"/>
                <w:color w:val="000000"/>
                <w:sz w:val="22"/>
                <w:szCs w:val="22"/>
                <w:lang w:eastAsia="zh-CN"/>
              </w:rPr>
              <w:t>22</w:t>
            </w:r>
          </w:p>
        </w:tc>
        <w:tc>
          <w:tcPr>
            <w:tcW w:w="2960" w:type="dxa"/>
          </w:tcPr>
          <w:p>
            <w:pPr>
              <w:textAlignment w:val="top"/>
              <w:rPr>
                <w:rFonts w:ascii="Calibri" w:hAnsi="Calibri" w:cs="Calibri"/>
                <w:color w:val="000000"/>
                <w:sz w:val="22"/>
                <w:szCs w:val="22"/>
              </w:rPr>
            </w:pPr>
            <w:r>
              <w:rPr>
                <w:rFonts w:hint="eastAsia" w:ascii="Calibri" w:hAnsi="Calibri" w:cs="Calibri"/>
                <w:color w:val="000000"/>
                <w:sz w:val="22"/>
                <w:szCs w:val="22"/>
                <w:lang w:eastAsia="zh-CN"/>
              </w:rPr>
              <w:t>四、会议费</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643" w:type="dxa"/>
          </w:tcPr>
          <w:p>
            <w:pPr>
              <w:pStyle w:val="12"/>
            </w:pPr>
          </w:p>
        </w:tc>
        <w:tc>
          <w:tcPr>
            <w:tcW w:w="1643" w:type="dxa"/>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869" w:type="dxa"/>
          </w:tcPr>
          <w:p>
            <w:pPr>
              <w:jc w:val="center"/>
              <w:textAlignment w:val="top"/>
              <w:rPr>
                <w:rFonts w:ascii="Calibri" w:hAnsi="Calibri" w:cs="Calibri"/>
                <w:color w:val="000000"/>
                <w:sz w:val="22"/>
                <w:szCs w:val="22"/>
              </w:rPr>
            </w:pPr>
            <w:r>
              <w:rPr>
                <w:rFonts w:ascii="Calibri" w:hAnsi="Calibri" w:cs="Calibri"/>
                <w:color w:val="000000"/>
                <w:sz w:val="22"/>
                <w:szCs w:val="22"/>
                <w:lang w:eastAsia="zh-CN"/>
              </w:rPr>
              <w:t>23</w:t>
            </w:r>
          </w:p>
        </w:tc>
        <w:tc>
          <w:tcPr>
            <w:tcW w:w="2960" w:type="dxa"/>
          </w:tcPr>
          <w:p>
            <w:pPr>
              <w:textAlignment w:val="top"/>
              <w:rPr>
                <w:rFonts w:ascii="Calibri" w:hAnsi="Calibri" w:cs="Calibri"/>
                <w:color w:val="000000"/>
                <w:sz w:val="22"/>
                <w:szCs w:val="22"/>
              </w:rPr>
            </w:pPr>
            <w:r>
              <w:rPr>
                <w:rFonts w:ascii="Calibri" w:hAnsi="Calibri" w:cs="Calibri"/>
                <w:color w:val="000000"/>
                <w:sz w:val="22"/>
                <w:szCs w:val="22"/>
                <w:lang w:eastAsia="zh-CN"/>
              </w:rPr>
              <w:t xml:space="preserve">    </w:t>
            </w:r>
            <w:r>
              <w:rPr>
                <w:rFonts w:hint="eastAsia" w:ascii="Calibri" w:hAnsi="Calibri" w:cs="Calibri"/>
                <w:color w:val="000000"/>
                <w:sz w:val="22"/>
                <w:szCs w:val="22"/>
                <w:lang w:eastAsia="zh-CN"/>
              </w:rPr>
              <w:t>其中：省属高校业务性会议费</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643" w:type="dxa"/>
          </w:tcPr>
          <w:p>
            <w:pPr>
              <w:pStyle w:val="12"/>
            </w:pPr>
          </w:p>
        </w:tc>
        <w:tc>
          <w:tcPr>
            <w:tcW w:w="1643" w:type="dxa"/>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869" w:type="dxa"/>
          </w:tcPr>
          <w:p>
            <w:pPr>
              <w:jc w:val="center"/>
              <w:textAlignment w:val="top"/>
              <w:rPr>
                <w:rFonts w:ascii="Calibri" w:hAnsi="Calibri" w:cs="Calibri"/>
                <w:color w:val="000000"/>
                <w:sz w:val="22"/>
                <w:szCs w:val="22"/>
              </w:rPr>
            </w:pPr>
            <w:r>
              <w:rPr>
                <w:rFonts w:ascii="Calibri" w:hAnsi="Calibri" w:cs="Calibri"/>
                <w:color w:val="000000"/>
                <w:sz w:val="22"/>
                <w:szCs w:val="22"/>
                <w:lang w:eastAsia="zh-CN"/>
              </w:rPr>
              <w:t>24</w:t>
            </w:r>
          </w:p>
        </w:tc>
        <w:tc>
          <w:tcPr>
            <w:tcW w:w="2960" w:type="dxa"/>
          </w:tcPr>
          <w:p>
            <w:pPr>
              <w:textAlignment w:val="top"/>
              <w:rPr>
                <w:rFonts w:ascii="Calibri" w:hAnsi="Calibri" w:cs="Calibri"/>
                <w:color w:val="000000"/>
                <w:sz w:val="22"/>
                <w:szCs w:val="22"/>
              </w:rPr>
            </w:pPr>
            <w:r>
              <w:rPr>
                <w:rFonts w:ascii="Calibri" w:hAnsi="Calibri" w:cs="Calibri"/>
                <w:color w:val="000000"/>
                <w:sz w:val="22"/>
                <w:szCs w:val="22"/>
                <w:lang w:eastAsia="zh-CN"/>
              </w:rPr>
              <w:t xml:space="preserve">          </w:t>
            </w:r>
            <w:r>
              <w:rPr>
                <w:rFonts w:hint="eastAsia" w:ascii="Calibri" w:hAnsi="Calibri" w:cs="Calibri"/>
                <w:color w:val="000000"/>
                <w:sz w:val="22"/>
                <w:szCs w:val="22"/>
                <w:lang w:eastAsia="zh-CN"/>
              </w:rPr>
              <w:t>其他会议费</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643" w:type="dxa"/>
          </w:tcPr>
          <w:p>
            <w:pPr>
              <w:pStyle w:val="12"/>
            </w:pPr>
          </w:p>
        </w:tc>
        <w:tc>
          <w:tcPr>
            <w:tcW w:w="1643" w:type="dxa"/>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869" w:type="dxa"/>
          </w:tcPr>
          <w:p>
            <w:pPr>
              <w:jc w:val="center"/>
              <w:textAlignment w:val="top"/>
              <w:rPr>
                <w:rFonts w:ascii="Calibri" w:hAnsi="Calibri" w:cs="Calibri"/>
                <w:color w:val="000000"/>
                <w:sz w:val="22"/>
                <w:szCs w:val="22"/>
              </w:rPr>
            </w:pPr>
            <w:r>
              <w:rPr>
                <w:rFonts w:ascii="Calibri" w:hAnsi="Calibri" w:cs="Calibri"/>
                <w:color w:val="000000"/>
                <w:sz w:val="22"/>
                <w:szCs w:val="22"/>
                <w:lang w:eastAsia="zh-CN"/>
              </w:rPr>
              <w:t>25</w:t>
            </w:r>
          </w:p>
        </w:tc>
        <w:tc>
          <w:tcPr>
            <w:tcW w:w="2960" w:type="dxa"/>
          </w:tcPr>
          <w:p>
            <w:pPr>
              <w:textAlignment w:val="top"/>
              <w:rPr>
                <w:rFonts w:ascii="Calibri" w:hAnsi="Calibri" w:cs="Calibri"/>
                <w:color w:val="000000"/>
                <w:sz w:val="22"/>
                <w:szCs w:val="22"/>
              </w:rPr>
            </w:pPr>
            <w:r>
              <w:rPr>
                <w:rFonts w:hint="eastAsia" w:ascii="Calibri" w:hAnsi="Calibri" w:cs="Calibri"/>
                <w:color w:val="000000"/>
                <w:sz w:val="22"/>
                <w:szCs w:val="22"/>
                <w:lang w:eastAsia="zh-CN"/>
              </w:rPr>
              <w:t>五、培训费</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643"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643" w:type="dxa"/>
          </w:tcPr>
          <w:p>
            <w:pPr>
              <w:pStyle w:val="12"/>
            </w:pPr>
          </w:p>
        </w:tc>
        <w:tc>
          <w:tcPr>
            <w:tcW w:w="1643" w:type="dxa"/>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秦皇岛市海港区市场监督管理局2025年部门预算信息公开情况说明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按照《中华人民共和国预算法》、《地方预决算公开操作规程》和《关于进一步推进预算公开工作的实施意见》规定，现将秦皇岛市海港区市场监督管理局2025年部门预算公开如下：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根据《秦皇岛市海港区市场监督管理局职能配置、内设机构和人员编制规定》，秦皇岛市海港区市场监督管理局的主要职责是：</w:t>
      </w:r>
    </w:p>
    <w:p>
      <w:pPr>
        <w:pStyle w:val="18"/>
      </w:pPr>
      <w:r>
        <w:t>按照《三定方案》职责，我局负责原工商行政管理、质量技术监督、食品药品监督、物价价格管理以及知识产权的日常监督管理等工作，依法查处违反监督管理法律、法规、规章的行为，并建立完善消费者权益网络体系，查处违法直销和传销行为，负责组织开展企业、个体工商户、农民专业合作社的年度报告和信用信息公示，组织全区产品质量监督抽检以及全区食品生产、流通、消费环节的监督抽检工作，同时承担全区标准化计量、特种设备安全的监督管理等重要工作。我局各业务科室及分局大队围绕工作职能，开展日常监管，查处各类违法、违规行为，所以资金保障是我局履行职责的必要性支出。2023年，海港区市场监督管理局总体目标是坚持新发展理念，坚持服务改革发展大局，抓改革、促竞争、保安全、提质量、重维权、强基础，持续深化“放管服”改革，切实维护市场公平竞争，着力防范市场风险，更加重视消费维权，全面提升产品和服务质量，强化市场监管执法力度，加强食品安全监管，努力打造一流营商环境，为加快建设新时代沿海强区、美丽港城和国际化城市提供有力保障。</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秦皇岛市海港区市场监督管理局本级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按照预算管理有关规定，目前部门预算的编制实行综合预算管理，即全部收入和支出都反映在预算中。秦皇岛市海港区市场监督管理局机关及所属事业单位的收支包含在部门预算中。</w:t>
      </w:r>
    </w:p>
    <w:p>
      <w:pPr>
        <w:pStyle w:val="19"/>
      </w:pPr>
      <w:r>
        <w:t>1、收入说明</w:t>
      </w:r>
    </w:p>
    <w:p>
      <w:pPr>
        <w:pStyle w:val="19"/>
      </w:pPr>
      <w:r>
        <w:t>反映本部门当年全部收入。2025年预算收入3796.79万元，其中：一般公共预算收入3796.79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秦皇岛市海港区市场监督管理局年度部门预算中支出预算的总体情况。2025年支出预算3796.79万元，其中基本支出3462.99万元，包括人员经费3124.62万元和日常公用经费338.37万元；项目支出333.80万元，主要为创建国家食品安全示范城市相关工作保障经费90.00万元；劣质散煤检查卡口人员经费（RY)47.80万元；秦财行【2024】586号-关于提前下达2025年省级市场监督补助经费的通知26.00万元；食品检测经费100.00万元；</w:t>
      </w:r>
      <w:r>
        <w:tab/>
      </w:r>
      <w:r>
        <w:t>市场监管经费50.00万元；知识产权经费20.00万元</w:t>
      </w:r>
    </w:p>
    <w:p>
      <w:pPr>
        <w:pStyle w:val="19"/>
      </w:pPr>
      <w:r>
        <w:t>3、比上年增减情况</w:t>
      </w:r>
    </w:p>
    <w:p>
      <w:pPr>
        <w:pStyle w:val="19"/>
      </w:pPr>
      <w:r>
        <w:t>2025年预算收支安排3796.79万元，较2024年预算减少530.01万元，其中：基本支出减少316.51万元，主要为人员经费减少283.75万元，公用经费减少32.76万元项目支出减少213.50万元，主要为创建国家食品安全示范城市相关工作保障经费减少60万元；劣质散煤检查卡口人员经费（RY)增加7.5万元；秦财行【2024】586号-关于提前下达2025年省级市场监督补助经费的通知减少1万元；食品检测经费减少30万元；</w:t>
      </w:r>
      <w:r>
        <w:tab/>
      </w:r>
      <w:r>
        <w:t>市场监管经费减少30万元；知识产权经费减少20.00万元；企业公示信息双随机抽查经费本年没有申报较上年减少80万元。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2025年，我部门机关运行经费共计安排338.37万元，主要用于日常维修、办公用房水电费、办公用房取暖费、办公用房物业管理费等日常运行支出。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w:t>
      </w:r>
      <w:bookmarkStart w:id="20" w:name="_GoBack"/>
      <w:bookmarkEnd w:id="20"/>
      <w:r>
        <w:t>预算安排61.46万元，其中因公出国（境）费0.00万元；公务用车购置及运维费60.83万元（其中：公务用车购置费为0.00万元，公务用车运维费60.83万元)；公务接待费0.63万元。与2024年相比减少11.88万元， 增减变化的主要原因是公务用车购置费减少10万元，公务接待费减少1.88万元。</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按照《三定方案》职责，我局负责原工商行政管理、质量技术监督、食品药品监督、物价价格管理以及知识产权的日常监督管理等工作，依法查处违反监督管理法律、法规、规章的行为，并建立完善消费者权益网络体系，查处违法直销和传销行为，负责组织开展企业、个体工商户、农民专业合作社的年度报告和信用信息公示，组织全区产品质量监督抽检以及全区食品生产、流通、消费环节的监督抽检工作，同时承担全区标准化计量、特种设备安全的监督管理等重要工作。我局各业务科室及分局大队围绕工作职能，开展日常监管，查处各类违法、违规行为，所以资金保障是我局履行职责的必要性支出。2023年，海港区市场监督管理局总体目标是坚持新发展理念，坚持服务改革发展大局，抓改革、促竞争、保安全、提质量、重维权、强基础，持续深化“放管服”改革，切实维护市场公平竞争，着力防范市场风险，更加重视消费维权，全面提升产品和服务质量，强化市场监管执法力度，加强食品安全监管，努力打造一流营商环境，为加快建设新时代沿海强区、美丽港城和国际化城市提供有力保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一、执法装备工作：</w:t>
      </w:r>
    </w:p>
    <w:p>
      <w:pPr>
        <w:pStyle w:val="23"/>
      </w:pPr>
      <w:r>
        <w:t>1.绩效目标</w:t>
      </w:r>
    </w:p>
    <w:p>
      <w:pPr>
        <w:pStyle w:val="23"/>
      </w:pPr>
      <w:r>
        <w:t>（1）加大执法力度，保障海港区市场经营秩序</w:t>
      </w:r>
      <w:r>
        <w:tab/>
      </w:r>
      <w:r>
        <w:tab/>
      </w:r>
      <w:r>
        <w:tab/>
      </w:r>
      <w:r>
        <w:tab/>
      </w:r>
      <w:r>
        <w:tab/>
      </w:r>
      <w:r>
        <w:tab/>
      </w:r>
      <w:r>
        <w:tab/>
      </w:r>
      <w:r>
        <w:t>（2）提高行政执法效率，维护经营者、消费者合法权益</w:t>
      </w:r>
      <w:r>
        <w:tab/>
      </w:r>
      <w:r>
        <w:t xml:space="preserve">                                                                          (3)实现全区市场监管覆盖率100%</w:t>
      </w:r>
      <w:r>
        <w:tab/>
      </w:r>
      <w:r>
        <w:tab/>
      </w:r>
      <w:r>
        <w:tab/>
      </w:r>
      <w:r>
        <w:tab/>
      </w:r>
    </w:p>
    <w:p>
      <w:pPr>
        <w:pStyle w:val="23"/>
      </w:pPr>
    </w:p>
    <w:p>
      <w:pPr>
        <w:pStyle w:val="23"/>
      </w:pPr>
      <w:r>
        <w:t>2.绩效指标</w:t>
      </w:r>
    </w:p>
    <w:p>
      <w:pPr>
        <w:pStyle w:val="23"/>
      </w:pPr>
      <w:r>
        <w:t>(1)数量指标"执法人员服装采购数量"执法人员服装采购数量 "</w:t>
      </w:r>
      <w:r>
        <w:tab/>
      </w:r>
      <w:r>
        <w:t>"按实际完成值占计划       完成值比例计算得分 "</w:t>
      </w:r>
    </w:p>
    <w:p>
      <w:pPr>
        <w:pStyle w:val="23"/>
      </w:pPr>
      <w:r>
        <w:t>(2)质量指标"执法服装采购质量合格率""执法服装采购质量合格率 ""按实际完成值占计划完成值           比例计算得分 "</w:t>
      </w:r>
    </w:p>
    <w:p>
      <w:pPr>
        <w:pStyle w:val="23"/>
      </w:pPr>
      <w:r>
        <w:t>(3)时效指标"执法服装资金支付及时率""执法服装资金支付及时率 ""及时完成得满分，未及时完成酌情扣分</w:t>
      </w:r>
    </w:p>
    <w:p>
      <w:pPr>
        <w:pStyle w:val="23"/>
      </w:pPr>
    </w:p>
    <w:p>
      <w:pPr>
        <w:pStyle w:val="23"/>
      </w:pPr>
      <w:r>
        <w:t>二、知识产权工作：</w:t>
      </w:r>
    </w:p>
    <w:p>
      <w:pPr>
        <w:pStyle w:val="23"/>
      </w:pPr>
      <w:r>
        <w:t>1、绩效目标</w:t>
      </w:r>
    </w:p>
    <w:p>
      <w:pPr>
        <w:pStyle w:val="23"/>
      </w:pPr>
      <w:r>
        <w:t>（1）推动全市万人有效发明专利持有量持续保持增长。</w:t>
      </w:r>
      <w:r>
        <w:tab/>
      </w:r>
      <w:r>
        <w:tab/>
      </w:r>
      <w:r>
        <w:tab/>
      </w:r>
      <w:r>
        <w:tab/>
      </w:r>
      <w:r>
        <w:tab/>
      </w:r>
      <w:r>
        <w:t xml:space="preserve">         （2)降低企业、个人申请专利的成本负担，激发全民创新创造热情。</w:t>
      </w:r>
      <w:r>
        <w:tab/>
      </w:r>
      <w:r>
        <w:tab/>
      </w:r>
      <w:r>
        <w:tab/>
      </w:r>
      <w:r>
        <w:tab/>
      </w:r>
      <w:r>
        <w:t xml:space="preserve">     (3)专利保险参保企业保费补贴</w:t>
      </w:r>
    </w:p>
    <w:p>
      <w:pPr>
        <w:pStyle w:val="23"/>
      </w:pPr>
      <w:r>
        <w:t>2.绩效指标</w:t>
      </w:r>
    </w:p>
    <w:p>
      <w:pPr>
        <w:pStyle w:val="23"/>
      </w:pPr>
      <w:r>
        <w:t>(1)数量指标"知识产权经费项目数量""用于支出知识产权经费的项目数量 "</w:t>
      </w:r>
    </w:p>
    <w:p>
      <w:pPr>
        <w:pStyle w:val="23"/>
      </w:pPr>
      <w:r>
        <w:t>(2)质量指标"各项工作完成合格率 ""各项工作完成合格率 "</w:t>
      </w:r>
    </w:p>
    <w:p>
      <w:pPr>
        <w:pStyle w:val="23"/>
      </w:pPr>
      <w:r>
        <w:t>(3)时效指标"按照工作安排完结率 "按照工作安排完结率</w:t>
      </w:r>
    </w:p>
    <w:p>
      <w:pPr>
        <w:pStyle w:val="23"/>
      </w:pPr>
    </w:p>
    <w:p>
      <w:pPr>
        <w:pStyle w:val="23"/>
      </w:pPr>
      <w:r>
        <w:t>三、市场监管工作</w:t>
      </w:r>
    </w:p>
    <w:p>
      <w:pPr>
        <w:pStyle w:val="23"/>
      </w:pPr>
      <w:r>
        <w:t>1、绩效目标</w:t>
      </w:r>
    </w:p>
    <w:p>
      <w:pPr>
        <w:pStyle w:val="23"/>
      </w:pPr>
      <w:r>
        <w:t>（1）依法查处违反监督管理法律、法规、规章的行为</w:t>
      </w:r>
    </w:p>
    <w:p>
      <w:pPr>
        <w:pStyle w:val="23"/>
      </w:pPr>
      <w:r>
        <w:t>（2）建立完善消费者权益网络体系，查处违法直销和传销行为</w:t>
      </w:r>
    </w:p>
    <w:p>
      <w:pPr>
        <w:pStyle w:val="23"/>
      </w:pPr>
      <w:r>
        <w:t>（3）开展日常监管，查处各类违法、违规行为</w:t>
      </w:r>
    </w:p>
    <w:p>
      <w:pPr>
        <w:pStyle w:val="23"/>
      </w:pPr>
      <w:r>
        <w:t>2、绩效指标</w:t>
      </w:r>
    </w:p>
    <w:p>
      <w:pPr>
        <w:pStyle w:val="23"/>
      </w:pPr>
      <w:r>
        <w:t>（1）数量指标"预计完成工作的项目数量""预计完成工作的项目数量 "</w:t>
      </w:r>
    </w:p>
    <w:p>
      <w:pPr>
        <w:pStyle w:val="23"/>
      </w:pPr>
      <w:r>
        <w:t>（2）质量指标"各项工作完成合格率""各项工作完成合格率 "</w:t>
      </w:r>
    </w:p>
    <w:p>
      <w:pPr>
        <w:pStyle w:val="23"/>
      </w:pPr>
      <w:r>
        <w:t>（3）时效指标"各项工作完成及时率""各项工作完成及时率 "</w:t>
      </w:r>
    </w:p>
    <w:p>
      <w:pPr>
        <w:pStyle w:val="23"/>
      </w:pPr>
    </w:p>
    <w:p>
      <w:pPr>
        <w:pStyle w:val="23"/>
      </w:pPr>
      <w:r>
        <w:t>四、食品检测工作</w:t>
      </w:r>
    </w:p>
    <w:p>
      <w:pPr>
        <w:pStyle w:val="23"/>
      </w:pPr>
      <w:r>
        <w:t>1、绩效目标</w:t>
      </w:r>
    </w:p>
    <w:p>
      <w:pPr>
        <w:pStyle w:val="23"/>
      </w:pPr>
      <w:r>
        <w:t>（1）加大食品违法案件的查处力度</w:t>
      </w:r>
    </w:p>
    <w:p>
      <w:pPr>
        <w:pStyle w:val="23"/>
      </w:pPr>
      <w:r>
        <w:t>（2）保障辖区市场有序健康发展</w:t>
      </w:r>
    </w:p>
    <w:p>
      <w:pPr>
        <w:pStyle w:val="23"/>
      </w:pPr>
      <w:r>
        <w:t>（3）针对高风险食品、区域性食品、地方特色食品开展不定期抽检</w:t>
      </w:r>
    </w:p>
    <w:p>
      <w:pPr>
        <w:pStyle w:val="23"/>
      </w:pPr>
      <w:r>
        <w:t>2、绩效指标</w:t>
      </w:r>
    </w:p>
    <w:p>
      <w:pPr>
        <w:pStyle w:val="23"/>
      </w:pPr>
      <w:r>
        <w:t>（1）数量指标"餐饮环节检测批次""餐饮环节检测批次 "</w:t>
      </w:r>
    </w:p>
    <w:p>
      <w:pPr>
        <w:pStyle w:val="23"/>
      </w:pPr>
      <w:r>
        <w:t>（2）质量指标"检测工作完成合格率""检测工作完成合格率 "</w:t>
      </w:r>
    </w:p>
    <w:p>
      <w:pPr>
        <w:pStyle w:val="23"/>
      </w:pPr>
      <w:r>
        <w:t>（3）时效指标"检测工作完成及时率""检测工作完成及时率 "</w:t>
      </w:r>
    </w:p>
    <w:p>
      <w:pPr>
        <w:pStyle w:val="23"/>
      </w:pPr>
    </w:p>
    <w:p>
      <w:pPr>
        <w:pStyle w:val="23"/>
      </w:pPr>
      <w:r>
        <w:t>五、企业公示信息双随机抽查工作</w:t>
      </w:r>
    </w:p>
    <w:p>
      <w:pPr>
        <w:pStyle w:val="23"/>
      </w:pPr>
      <w:r>
        <w:t>1、绩效目标</w:t>
      </w:r>
    </w:p>
    <w:p>
      <w:pPr>
        <w:pStyle w:val="23"/>
      </w:pPr>
      <w:r>
        <w:t>（1）提升市场主体信用度，促进市场经营秩序健康发展</w:t>
      </w:r>
      <w:r>
        <w:tab/>
      </w:r>
      <w:r>
        <w:tab/>
      </w:r>
      <w:r>
        <w:tab/>
      </w:r>
      <w:r>
        <w:tab/>
      </w:r>
      <w:r>
        <w:tab/>
      </w:r>
      <w:r>
        <w:t xml:space="preserve">         （2）创造有序竞争，营造放心消费环境</w:t>
      </w:r>
      <w:r>
        <w:tab/>
      </w:r>
      <w:r>
        <w:tab/>
      </w:r>
      <w:r>
        <w:tab/>
      </w:r>
      <w:r>
        <w:tab/>
      </w:r>
      <w:r>
        <w:tab/>
      </w:r>
      <w:r>
        <w:t xml:space="preserve">                                                               （3）委托会计师事务所对辖区内企业经营信息及经营状况进行抽查审计，深化放管服工作，净化市场经营秩序。</w:t>
      </w:r>
      <w:r>
        <w:tab/>
      </w:r>
      <w:r>
        <w:tab/>
      </w:r>
      <w:r>
        <w:tab/>
      </w:r>
      <w:r>
        <w:tab/>
      </w:r>
      <w:r>
        <w:tab/>
      </w:r>
    </w:p>
    <w:p>
      <w:pPr>
        <w:pStyle w:val="23"/>
      </w:pPr>
      <w:r>
        <w:t>2、绩效指标</w:t>
      </w:r>
    </w:p>
    <w:p>
      <w:pPr>
        <w:pStyle w:val="23"/>
      </w:pPr>
      <w:r>
        <w:t>（1）数量指标</w:t>
      </w:r>
      <w:r>
        <w:tab/>
      </w:r>
      <w:r>
        <w:t>"企业公示信息双随机抽查企业户数"</w:t>
      </w:r>
      <w:r>
        <w:tab/>
      </w:r>
      <w:r>
        <w:t>"企业公示信息双随机抽查企业户数 "</w:t>
      </w:r>
    </w:p>
    <w:p>
      <w:pPr>
        <w:pStyle w:val="23"/>
      </w:pPr>
      <w:r>
        <w:t>（2)质量指标</w:t>
      </w:r>
      <w:r>
        <w:tab/>
      </w:r>
      <w:r>
        <w:t>"双随机抽查覆盖率 "</w:t>
      </w:r>
      <w:r>
        <w:tab/>
      </w:r>
      <w:r>
        <w:t>"双随机抽查覆盖率 "</w:t>
      </w:r>
    </w:p>
    <w:p>
      <w:pPr>
        <w:pStyle w:val="23"/>
      </w:pPr>
      <w:r>
        <w:t>(3)时效指标</w:t>
      </w:r>
      <w:r>
        <w:tab/>
      </w:r>
      <w:r>
        <w:t>"双随机抽检完成及时率""双随机抽检完成及时率 "</w:t>
      </w:r>
    </w:p>
    <w:p>
      <w:pPr>
        <w:pStyle w:val="23"/>
      </w:pPr>
      <w:r>
        <w:t>六、劣质散煤检查卡口工作</w:t>
      </w:r>
    </w:p>
    <w:p>
      <w:pPr>
        <w:pStyle w:val="23"/>
      </w:pPr>
      <w:r>
        <w:t>1、绩效目标</w:t>
      </w:r>
    </w:p>
    <w:p>
      <w:pPr>
        <w:pStyle w:val="23"/>
      </w:pPr>
      <w:r>
        <w:t>（1）劣质散煤卡口执勤人员不间断的巡查及对外地运煤车辆的劝返，有效地控制了劣质散煤进入我市。</w:t>
      </w:r>
    </w:p>
    <w:p>
      <w:pPr>
        <w:pStyle w:val="23"/>
      </w:pPr>
      <w:r>
        <w:t>（2）不断加大劣质散煤查处管控力度。</w:t>
      </w:r>
    </w:p>
    <w:p>
      <w:pPr>
        <w:pStyle w:val="23"/>
      </w:pPr>
      <w:r>
        <w:t>（3)切实保障了城乡居民的居住环境</w:t>
      </w:r>
    </w:p>
    <w:p>
      <w:pPr>
        <w:pStyle w:val="23"/>
      </w:pPr>
      <w:r>
        <w:t>2.绩效指标</w:t>
      </w:r>
    </w:p>
    <w:p>
      <w:pPr>
        <w:pStyle w:val="23"/>
      </w:pPr>
      <w:r>
        <w:t>(1)数量指标"散煤卡口设置数量  ""散煤卡口设置数量  "</w:t>
      </w:r>
    </w:p>
    <w:p>
      <w:pPr>
        <w:pStyle w:val="23"/>
      </w:pPr>
      <w:r>
        <w:t>(2)质量指标"违法案件没收资金上缴率 ""违法案件没收资金上缴率 "</w:t>
      </w:r>
    </w:p>
    <w:p>
      <w:pPr>
        <w:pStyle w:val="23"/>
      </w:pPr>
      <w:r>
        <w:t>(3)时效指标"各项工作完成及时率率""各项工作完成及时率率 "</w:t>
      </w:r>
    </w:p>
    <w:p>
      <w:pPr>
        <w:pStyle w:val="23"/>
      </w:pPr>
      <w:r>
        <w:t>七、提前下达2023年市场监管工作</w:t>
      </w:r>
    </w:p>
    <w:p>
      <w:pPr>
        <w:pStyle w:val="23"/>
      </w:pPr>
      <w:r>
        <w:t>1、绩效目标</w:t>
      </w:r>
    </w:p>
    <w:p>
      <w:pPr>
        <w:pStyle w:val="23"/>
      </w:pPr>
      <w:r>
        <w:t>（1）依法查处违反监督管理法律、法规、规章的行为</w:t>
      </w:r>
    </w:p>
    <w:p>
      <w:pPr>
        <w:pStyle w:val="23"/>
      </w:pPr>
      <w:r>
        <w:t>（2）建立完善消费者权益网络体系，查处违法直销和传销行为</w:t>
      </w:r>
    </w:p>
    <w:p>
      <w:pPr>
        <w:pStyle w:val="23"/>
      </w:pPr>
      <w:r>
        <w:t>（3）开展日常监管，查处各类违法、违规行为</w:t>
      </w:r>
    </w:p>
    <w:p>
      <w:pPr>
        <w:pStyle w:val="23"/>
      </w:pPr>
      <w:r>
        <w:t>2、绩效指标</w:t>
      </w:r>
    </w:p>
    <w:p>
      <w:pPr>
        <w:pStyle w:val="23"/>
      </w:pPr>
      <w:r>
        <w:t>（1）数量指标 "预计完成工作的项目数量""预计完成工作的项目数量 "</w:t>
      </w:r>
    </w:p>
    <w:p>
      <w:pPr>
        <w:pStyle w:val="23"/>
      </w:pPr>
      <w:r>
        <w:t>（2）质量指标 "各项工作完成合格率 ""各项工作完成合格率 "</w:t>
      </w:r>
    </w:p>
    <w:p>
      <w:pPr>
        <w:pStyle w:val="23"/>
      </w:pPr>
      <w:r>
        <w:t>（3）时效指标 "各项工作完成及时率 ""各项工作完成及时率 "</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1、完善制度建设，制定完善预算绩效管理制度、资金管理办法、工作保障制度，为全年预算绩效目标的实现奠定制度基础。</w:t>
      </w:r>
    </w:p>
    <w:p>
      <w:pPr>
        <w:pStyle w:val="24"/>
      </w:pPr>
      <w:r>
        <w:t>2、加强支出管理，通过优化支出结构、编细编实预算、加快履行政府采购手续、尽快启动项目、及时支付资金，确保支出进度达标。</w:t>
      </w:r>
    </w:p>
    <w:p>
      <w:pPr>
        <w:pStyle w:val="24"/>
      </w:pPr>
      <w:r>
        <w:t>3、加强绩效运行监控，按要求开展绩效运行监控，发现问题及时采取措施，确保绩效目标如期保质实现。</w:t>
      </w:r>
    </w:p>
    <w:p>
      <w:pPr>
        <w:pStyle w:val="24"/>
      </w:pPr>
      <w:r>
        <w:t>4、做好绩效自评，按要求开展上年度部门预算绩效自评和重点评价工作，对评价中发现的问题及时整改，调整优化支出结构，提高财政资金使用效益。</w:t>
      </w:r>
    </w:p>
    <w:p>
      <w:pPr>
        <w:pStyle w:val="24"/>
      </w:pPr>
      <w:r>
        <w:t>5、规范财务资产管理，完善财务管理制度，严格审批程序，加强固定资产登记、使用和报废处置管理，做到支出合理，物尽其用。</w:t>
      </w:r>
    </w:p>
    <w:p>
      <w:pPr>
        <w:pStyle w:val="24"/>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pPr>
      <w:r>
        <w:t xml:space="preserve">7、加强宣传培训调研等，加强人员培训，提高本部门职工业务素质；加强调研，提出优化财政资金配置、提高资金使用效益的意见；加大宣传力度，强化预算绩效管理意识，促进预算绩效管理水平进一步提升。 </w:t>
      </w:r>
    </w:p>
    <w:p>
      <w:pPr>
        <w:pStyle w:val="24"/>
        <w:sectPr>
          <w:pgSz w:w="16840" w:h="11900" w:orient="landscape"/>
          <w:pgMar w:top="1361" w:right="1020" w:bottom="1361" w:left="1020" w:header="720" w:footer="720" w:gutter="0"/>
        </w:sectPr>
      </w:pP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1、创建国家食品安全示范城市相关工作保障经费绩效目标表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13030225P00002310006X</w:t>
            </w:r>
          </w:p>
        </w:tc>
        <w:tc>
          <w:tcPr>
            <w:tcW w:w="2835" w:type="dxa"/>
            <w:vAlign w:val="center"/>
          </w:tcPr>
          <w:p>
            <w:pPr>
              <w:pStyle w:val="11"/>
            </w:pPr>
            <w:r>
              <w:t>项目名称</w:t>
            </w:r>
          </w:p>
        </w:tc>
        <w:tc>
          <w:tcPr>
            <w:tcW w:w="6095" w:type="dxa"/>
            <w:gridSpan w:val="3"/>
            <w:vAlign w:val="center"/>
          </w:tcPr>
          <w:p>
            <w:pPr>
              <w:pStyle w:val="13"/>
            </w:pPr>
            <w:r>
              <w:t>创建国家食品安全示范城市相关工作保障经费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90.00</w:t>
            </w:r>
          </w:p>
        </w:tc>
        <w:tc>
          <w:tcPr>
            <w:tcW w:w="2835" w:type="dxa"/>
            <w:vAlign w:val="center"/>
          </w:tcPr>
          <w:p>
            <w:pPr>
              <w:pStyle w:val="11"/>
            </w:pPr>
            <w:r>
              <w:t>其中：财政    资金</w:t>
            </w:r>
          </w:p>
        </w:tc>
        <w:tc>
          <w:tcPr>
            <w:tcW w:w="2551" w:type="dxa"/>
            <w:vAlign w:val="center"/>
          </w:tcPr>
          <w:p>
            <w:pPr>
              <w:pStyle w:val="13"/>
            </w:pPr>
            <w:r>
              <w:t>90.00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支付创建国家食品安全示范城市相关工作保障费用支出，用于完成食品城创建工作，达到我区食品安全状况良好，食品安全风险管理能力提升和食品安全社会共治格局形成，科学高效管理食品安全，维护消费者生命安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22.50</w:t>
            </w:r>
          </w:p>
        </w:tc>
        <w:tc>
          <w:tcPr>
            <w:tcW w:w="2835" w:type="dxa"/>
            <w:vAlign w:val="center"/>
          </w:tcPr>
          <w:p>
            <w:pPr>
              <w:pStyle w:val="14"/>
            </w:pPr>
            <w:r>
              <w:t>45.00</w:t>
            </w:r>
          </w:p>
        </w:tc>
        <w:tc>
          <w:tcPr>
            <w:tcW w:w="2551" w:type="dxa"/>
            <w:vAlign w:val="center"/>
          </w:tcPr>
          <w:p>
            <w:pPr>
              <w:pStyle w:val="14"/>
            </w:pPr>
            <w:r>
              <w:t>67.50</w:t>
            </w:r>
          </w:p>
        </w:tc>
        <w:tc>
          <w:tcPr>
            <w:tcW w:w="3544" w:type="dxa"/>
            <w:gridSpan w:val="2"/>
            <w:vAlign w:val="center"/>
          </w:tcPr>
          <w:p>
            <w:pPr>
              <w:pStyle w:val="14"/>
            </w:pPr>
            <w:r>
              <w:t>90.00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1.促进食品安全风险管理能力提升和食品安全社会共治格局形成</w:t>
            </w:r>
          </w:p>
          <w:p>
            <w:pPr>
              <w:pStyle w:val="13"/>
            </w:pPr>
            <w:r>
              <w:t>2.切实以食品安全示范城的创建带动我区食品安全管理科学高效，真正维护消费者生命安全</w:t>
            </w:r>
          </w:p>
          <w:p>
            <w:pPr>
              <w:pStyle w:val="13"/>
            </w:pPr>
            <w:r>
              <w:t>3.顺利完成我区食品示范城创建工作，达到我区食品安全状况良好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打造符合规定的点位</w:t>
            </w:r>
          </w:p>
        </w:tc>
        <w:tc>
          <w:tcPr>
            <w:tcW w:w="5386" w:type="dxa"/>
            <w:vAlign w:val="center"/>
          </w:tcPr>
          <w:p>
            <w:pPr>
              <w:pStyle w:val="13"/>
            </w:pPr>
            <w:r>
              <w:t xml:space="preserve">按照创城标准，对全区所有明查点位全部打造完毕； </w:t>
            </w:r>
          </w:p>
        </w:tc>
        <w:tc>
          <w:tcPr>
            <w:tcW w:w="2268" w:type="dxa"/>
            <w:vAlign w:val="center"/>
          </w:tcPr>
          <w:p>
            <w:pPr>
              <w:pStyle w:val="13"/>
            </w:pPr>
            <w:r>
              <w:t>773户</w:t>
            </w:r>
          </w:p>
        </w:tc>
        <w:tc>
          <w:tcPr>
            <w:tcW w:w="1276" w:type="dxa"/>
            <w:vAlign w:val="center"/>
          </w:tcPr>
          <w:p>
            <w:pPr>
              <w:pStyle w:val="13"/>
            </w:pPr>
            <w:r>
              <w:t>《国家食品安全示范城市评价细则》及《关于国家食品安全示范城市创建迎检工作相关事宜区长办公会议纪要》、海港区创建办关于印发《海港区迎接“国家食品安全示范城市”评审验收工作方案》的通知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各项工作完成合格率</w:t>
            </w:r>
          </w:p>
          <w:p>
            <w:pPr>
              <w:pStyle w:val="13"/>
            </w:pPr>
          </w:p>
        </w:tc>
        <w:tc>
          <w:tcPr>
            <w:tcW w:w="5386" w:type="dxa"/>
            <w:vAlign w:val="center"/>
          </w:tcPr>
          <w:p>
            <w:pPr>
              <w:pStyle w:val="13"/>
            </w:pPr>
            <w:r>
              <w:t xml:space="preserve">按照创城标准，所有点位全部达标 </w:t>
            </w:r>
          </w:p>
        </w:tc>
        <w:tc>
          <w:tcPr>
            <w:tcW w:w="2268" w:type="dxa"/>
            <w:vAlign w:val="center"/>
          </w:tcPr>
          <w:p>
            <w:pPr>
              <w:pStyle w:val="13"/>
            </w:pPr>
            <w:r>
              <w:t>100%</w:t>
            </w:r>
          </w:p>
        </w:tc>
        <w:tc>
          <w:tcPr>
            <w:tcW w:w="1276" w:type="dxa"/>
            <w:vAlign w:val="center"/>
          </w:tcPr>
          <w:p>
            <w:pPr>
              <w:pStyle w:val="13"/>
            </w:pPr>
            <w:r>
              <w:t>《国家食品安全示范城市评价细则》及《关于国家食品安全示范城市创建迎检工作相关事宜区长办公会议纪要》、海港区创建办关于印发《海港区迎接“国家食品安全示范城市”评审验收工作方案》的通知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各项工作完成及时率</w:t>
            </w:r>
          </w:p>
          <w:p>
            <w:pPr>
              <w:pStyle w:val="13"/>
            </w:pPr>
          </w:p>
        </w:tc>
        <w:tc>
          <w:tcPr>
            <w:tcW w:w="5386" w:type="dxa"/>
            <w:vAlign w:val="center"/>
          </w:tcPr>
          <w:p>
            <w:pPr>
              <w:pStyle w:val="13"/>
            </w:pPr>
            <w:r>
              <w:t>按照创城验收时间节点，全部按时完成</w:t>
            </w:r>
          </w:p>
        </w:tc>
        <w:tc>
          <w:tcPr>
            <w:tcW w:w="2268" w:type="dxa"/>
            <w:vAlign w:val="center"/>
          </w:tcPr>
          <w:p>
            <w:pPr>
              <w:pStyle w:val="13"/>
            </w:pPr>
            <w:r>
              <w:t>100%</w:t>
            </w:r>
          </w:p>
        </w:tc>
        <w:tc>
          <w:tcPr>
            <w:tcW w:w="1276" w:type="dxa"/>
            <w:vAlign w:val="center"/>
          </w:tcPr>
          <w:p>
            <w:pPr>
              <w:pStyle w:val="13"/>
            </w:pPr>
            <w:r>
              <w:t>《国家食品安全示范城市评价细则》及《关于国家食品安全示范城市创建迎检工作相关事宜区长办公会议纪要》、海港区创建办关于印发《海港区迎接“国家食品安全示范城市”评审验收工作方案》的通知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项目完成总成本</w:t>
            </w:r>
          </w:p>
        </w:tc>
        <w:tc>
          <w:tcPr>
            <w:tcW w:w="5386" w:type="dxa"/>
            <w:vAlign w:val="center"/>
          </w:tcPr>
          <w:p>
            <w:pPr>
              <w:pStyle w:val="13"/>
            </w:pPr>
            <w:r>
              <w:t>控制在预算范围内合理安排使用</w:t>
            </w:r>
          </w:p>
          <w:p>
            <w:pPr>
              <w:pStyle w:val="13"/>
            </w:pPr>
          </w:p>
        </w:tc>
        <w:tc>
          <w:tcPr>
            <w:tcW w:w="2268" w:type="dxa"/>
            <w:vAlign w:val="center"/>
          </w:tcPr>
          <w:p>
            <w:pPr>
              <w:pStyle w:val="13"/>
            </w:pPr>
            <w:r>
              <w:t>≤90万元</w:t>
            </w:r>
          </w:p>
        </w:tc>
        <w:tc>
          <w:tcPr>
            <w:tcW w:w="1276" w:type="dxa"/>
            <w:vAlign w:val="center"/>
          </w:tcPr>
          <w:p>
            <w:pPr>
              <w:pStyle w:val="13"/>
            </w:pPr>
            <w:r>
              <w:t>当年预算安排及实际招投标结果</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食品安全性得到保障</w:t>
            </w:r>
          </w:p>
        </w:tc>
        <w:tc>
          <w:tcPr>
            <w:tcW w:w="5386" w:type="dxa"/>
            <w:vAlign w:val="center"/>
          </w:tcPr>
          <w:p>
            <w:pPr>
              <w:pStyle w:val="13"/>
            </w:pPr>
            <w:r>
              <w:t>食品示范城的创建成功，入口食品的安全性得到保障</w:t>
            </w:r>
          </w:p>
        </w:tc>
        <w:tc>
          <w:tcPr>
            <w:tcW w:w="2268" w:type="dxa"/>
            <w:vAlign w:val="center"/>
          </w:tcPr>
          <w:p>
            <w:pPr>
              <w:pStyle w:val="13"/>
            </w:pPr>
            <w:r>
              <w:t>逐步提高</w:t>
            </w:r>
          </w:p>
        </w:tc>
        <w:tc>
          <w:tcPr>
            <w:tcW w:w="1276" w:type="dxa"/>
            <w:vAlign w:val="center"/>
          </w:tcPr>
          <w:p>
            <w:pPr>
              <w:pStyle w:val="13"/>
            </w:pPr>
            <w:r>
              <w:t>年初工作计划及工作目标</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食品产业发展</w:t>
            </w:r>
          </w:p>
        </w:tc>
        <w:tc>
          <w:tcPr>
            <w:tcW w:w="5386" w:type="dxa"/>
            <w:vAlign w:val="center"/>
          </w:tcPr>
          <w:p>
            <w:pPr>
              <w:pStyle w:val="13"/>
            </w:pPr>
            <w:r>
              <w:t>创城成功，促使食品产业高质量发展，提高政府公信力、权威性。</w:t>
            </w:r>
          </w:p>
        </w:tc>
        <w:tc>
          <w:tcPr>
            <w:tcW w:w="2268" w:type="dxa"/>
            <w:vAlign w:val="center"/>
          </w:tcPr>
          <w:p>
            <w:pPr>
              <w:pStyle w:val="13"/>
            </w:pPr>
            <w:r>
              <w:t>逐步提高</w:t>
            </w:r>
          </w:p>
        </w:tc>
        <w:tc>
          <w:tcPr>
            <w:tcW w:w="1276" w:type="dxa"/>
            <w:vAlign w:val="center"/>
          </w:tcPr>
          <w:p>
            <w:pPr>
              <w:pStyle w:val="13"/>
            </w:pPr>
            <w:r>
              <w:t>年初工作计划及工作目标</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经济水平增长</w:t>
            </w:r>
          </w:p>
        </w:tc>
        <w:tc>
          <w:tcPr>
            <w:tcW w:w="5386" w:type="dxa"/>
            <w:vAlign w:val="center"/>
          </w:tcPr>
          <w:p>
            <w:pPr>
              <w:pStyle w:val="13"/>
            </w:pPr>
            <w:r>
              <w:t>食品城创建成功，使我区旅游城市的名牌更加响亮，增加旅游业收入，市场经济水平持续增长。</w:t>
            </w:r>
          </w:p>
        </w:tc>
        <w:tc>
          <w:tcPr>
            <w:tcW w:w="2268" w:type="dxa"/>
            <w:vAlign w:val="center"/>
          </w:tcPr>
          <w:p>
            <w:pPr>
              <w:pStyle w:val="13"/>
            </w:pPr>
            <w:r>
              <w:t>逐步提高</w:t>
            </w:r>
          </w:p>
        </w:tc>
        <w:tc>
          <w:tcPr>
            <w:tcW w:w="1276" w:type="dxa"/>
            <w:vAlign w:val="center"/>
          </w:tcPr>
          <w:p>
            <w:pPr>
              <w:pStyle w:val="13"/>
            </w:pPr>
            <w:r>
              <w:t>年初工作计划及工作目标</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消费者满意度</w:t>
            </w:r>
          </w:p>
        </w:tc>
        <w:tc>
          <w:tcPr>
            <w:tcW w:w="5386" w:type="dxa"/>
            <w:vAlign w:val="center"/>
          </w:tcPr>
          <w:p>
            <w:pPr>
              <w:pStyle w:val="13"/>
            </w:pPr>
            <w:r>
              <w:t>调查中满意人数占调查总人数比例</w:t>
            </w:r>
          </w:p>
        </w:tc>
        <w:tc>
          <w:tcPr>
            <w:tcW w:w="2268" w:type="dxa"/>
            <w:vAlign w:val="center"/>
          </w:tcPr>
          <w:p>
            <w:pPr>
              <w:pStyle w:val="13"/>
            </w:pPr>
            <w:r>
              <w:t>≥95%</w:t>
            </w:r>
          </w:p>
        </w:tc>
        <w:tc>
          <w:tcPr>
            <w:tcW w:w="1276" w:type="dxa"/>
            <w:vAlign w:val="center"/>
          </w:tcPr>
          <w:p>
            <w:pPr>
              <w:pStyle w:val="13"/>
            </w:pPr>
            <w:r>
              <w:t>满意度调查问卷结果</w:t>
            </w:r>
          </w:p>
          <w:p>
            <w:pPr>
              <w:pStyle w:val="13"/>
            </w:pP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2、劣质散煤检查卡口人员经费（RY)绩效目标表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13030225P00B6MF10003B</w:t>
            </w:r>
          </w:p>
        </w:tc>
        <w:tc>
          <w:tcPr>
            <w:tcW w:w="2835" w:type="dxa"/>
            <w:vAlign w:val="center"/>
          </w:tcPr>
          <w:p>
            <w:pPr>
              <w:pStyle w:val="11"/>
            </w:pPr>
            <w:r>
              <w:t>项目名称</w:t>
            </w:r>
          </w:p>
        </w:tc>
        <w:tc>
          <w:tcPr>
            <w:tcW w:w="6095" w:type="dxa"/>
            <w:gridSpan w:val="3"/>
            <w:vAlign w:val="center"/>
          </w:tcPr>
          <w:p>
            <w:pPr>
              <w:pStyle w:val="13"/>
            </w:pPr>
            <w:r>
              <w:t>劣质散煤检查卡口人员经费（RY)</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47.80</w:t>
            </w:r>
          </w:p>
        </w:tc>
        <w:tc>
          <w:tcPr>
            <w:tcW w:w="2835" w:type="dxa"/>
            <w:vAlign w:val="center"/>
          </w:tcPr>
          <w:p>
            <w:pPr>
              <w:pStyle w:val="11"/>
            </w:pPr>
            <w:r>
              <w:t>其中：财政    资金</w:t>
            </w:r>
          </w:p>
        </w:tc>
        <w:tc>
          <w:tcPr>
            <w:tcW w:w="2551" w:type="dxa"/>
            <w:vAlign w:val="center"/>
          </w:tcPr>
          <w:p>
            <w:pPr>
              <w:pStyle w:val="13"/>
            </w:pPr>
            <w:r>
              <w:t>47.80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劣质散煤检查卡口人员经费，用于加大劣质散煤查处管控力度，切实保障了城乡居民的居住环境，控制了劣质散煤进入我市</w:t>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11.95</w:t>
            </w:r>
          </w:p>
        </w:tc>
        <w:tc>
          <w:tcPr>
            <w:tcW w:w="2835" w:type="dxa"/>
            <w:vAlign w:val="center"/>
          </w:tcPr>
          <w:p>
            <w:pPr>
              <w:pStyle w:val="14"/>
            </w:pPr>
            <w:r>
              <w:t>23.90</w:t>
            </w:r>
          </w:p>
        </w:tc>
        <w:tc>
          <w:tcPr>
            <w:tcW w:w="2551" w:type="dxa"/>
            <w:vAlign w:val="center"/>
          </w:tcPr>
          <w:p>
            <w:pPr>
              <w:pStyle w:val="14"/>
            </w:pPr>
            <w:r>
              <w:t>35.85</w:t>
            </w:r>
          </w:p>
        </w:tc>
        <w:tc>
          <w:tcPr>
            <w:tcW w:w="3544" w:type="dxa"/>
            <w:gridSpan w:val="2"/>
            <w:vAlign w:val="center"/>
          </w:tcPr>
          <w:p>
            <w:pPr>
              <w:pStyle w:val="14"/>
            </w:pPr>
            <w:r>
              <w:t>47.80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1.不断加大劣质散煤查处管控力度</w:t>
            </w:r>
          </w:p>
          <w:p>
            <w:pPr>
              <w:pStyle w:val="13"/>
            </w:pPr>
            <w:r>
              <w:t>2.切实保障了城乡居民的居住环境。</w:t>
            </w:r>
          </w:p>
          <w:p>
            <w:pPr>
              <w:pStyle w:val="13"/>
            </w:pPr>
            <w:r>
              <w:t>3.劣质散煤卡口执勤人员不间断的巡查及对外地运煤车辆的劝返，有效地控制了劣质散煤进入我市。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散煤卡口出动巡查天数</w:t>
            </w:r>
          </w:p>
        </w:tc>
        <w:tc>
          <w:tcPr>
            <w:tcW w:w="5386" w:type="dxa"/>
            <w:vAlign w:val="center"/>
          </w:tcPr>
          <w:p>
            <w:pPr>
              <w:pStyle w:val="13"/>
            </w:pPr>
            <w:r>
              <w:t>北三镇省界道路散煤卡口出动巡查天数</w:t>
            </w:r>
          </w:p>
          <w:p>
            <w:pPr>
              <w:pStyle w:val="13"/>
            </w:pPr>
          </w:p>
        </w:tc>
        <w:tc>
          <w:tcPr>
            <w:tcW w:w="2268" w:type="dxa"/>
            <w:vAlign w:val="center"/>
          </w:tcPr>
          <w:p>
            <w:pPr>
              <w:pStyle w:val="13"/>
            </w:pPr>
            <w:r>
              <w:t>194天</w:t>
            </w:r>
          </w:p>
        </w:tc>
        <w:tc>
          <w:tcPr>
            <w:tcW w:w="1276" w:type="dxa"/>
            <w:vAlign w:val="center"/>
          </w:tcPr>
          <w:p>
            <w:pPr>
              <w:pStyle w:val="13"/>
            </w:pPr>
            <w:r>
              <w:t>海政纪字【2021】22号、海政收文呈字41号及年初工作计划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散煤卡口设置数量</w:t>
            </w:r>
          </w:p>
        </w:tc>
        <w:tc>
          <w:tcPr>
            <w:tcW w:w="5386" w:type="dxa"/>
            <w:vAlign w:val="center"/>
          </w:tcPr>
          <w:p>
            <w:pPr>
              <w:pStyle w:val="13"/>
            </w:pPr>
            <w:r>
              <w:t>北三镇省界道路散煤卡口设置数量</w:t>
            </w:r>
          </w:p>
        </w:tc>
        <w:tc>
          <w:tcPr>
            <w:tcW w:w="2268" w:type="dxa"/>
            <w:vAlign w:val="center"/>
          </w:tcPr>
          <w:p>
            <w:pPr>
              <w:pStyle w:val="13"/>
            </w:pPr>
            <w:r>
              <w:t>5个</w:t>
            </w:r>
          </w:p>
        </w:tc>
        <w:tc>
          <w:tcPr>
            <w:tcW w:w="1276" w:type="dxa"/>
            <w:vAlign w:val="center"/>
          </w:tcPr>
          <w:p>
            <w:pPr>
              <w:pStyle w:val="13"/>
            </w:pPr>
            <w:r>
              <w:t>海政纪字【2021】22号、海政收文呈字41号及年初工作计划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散煤卡口出动巡查人数</w:t>
            </w:r>
          </w:p>
        </w:tc>
        <w:tc>
          <w:tcPr>
            <w:tcW w:w="5386" w:type="dxa"/>
            <w:vAlign w:val="center"/>
          </w:tcPr>
          <w:p>
            <w:pPr>
              <w:pStyle w:val="13"/>
            </w:pPr>
            <w:r>
              <w:t>北三镇省界道路散煤卡口出动巡查人数</w:t>
            </w:r>
          </w:p>
          <w:p>
            <w:pPr>
              <w:pStyle w:val="13"/>
            </w:pPr>
          </w:p>
        </w:tc>
        <w:tc>
          <w:tcPr>
            <w:tcW w:w="2268" w:type="dxa"/>
            <w:vAlign w:val="center"/>
          </w:tcPr>
          <w:p>
            <w:pPr>
              <w:pStyle w:val="13"/>
            </w:pPr>
            <w:r>
              <w:t>24人</w:t>
            </w:r>
          </w:p>
        </w:tc>
        <w:tc>
          <w:tcPr>
            <w:tcW w:w="1276" w:type="dxa"/>
            <w:vAlign w:val="center"/>
          </w:tcPr>
          <w:p>
            <w:pPr>
              <w:pStyle w:val="13"/>
            </w:pPr>
            <w:r>
              <w:t>海政纪字【2021】22号、海政收文呈字41号及年初工作计划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劣质散煤流入我市防范率</w:t>
            </w:r>
          </w:p>
        </w:tc>
        <w:tc>
          <w:tcPr>
            <w:tcW w:w="5386" w:type="dxa"/>
            <w:vAlign w:val="center"/>
          </w:tcPr>
          <w:p>
            <w:pPr>
              <w:pStyle w:val="13"/>
            </w:pPr>
            <w:r>
              <w:t>确保外省劣质散煤不流入我市</w:t>
            </w:r>
          </w:p>
        </w:tc>
        <w:tc>
          <w:tcPr>
            <w:tcW w:w="2268" w:type="dxa"/>
            <w:vAlign w:val="center"/>
          </w:tcPr>
          <w:p>
            <w:pPr>
              <w:pStyle w:val="13"/>
            </w:pPr>
            <w:r>
              <w:t>100%</w:t>
            </w:r>
          </w:p>
        </w:tc>
        <w:tc>
          <w:tcPr>
            <w:tcW w:w="1276" w:type="dxa"/>
            <w:vAlign w:val="center"/>
          </w:tcPr>
          <w:p>
            <w:pPr>
              <w:pStyle w:val="13"/>
            </w:pPr>
            <w:r>
              <w:t>海政纪字【2021】22号、海政收文呈字41号及年初工作计划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巡查工作完成的及时率</w:t>
            </w:r>
          </w:p>
        </w:tc>
        <w:tc>
          <w:tcPr>
            <w:tcW w:w="5386" w:type="dxa"/>
            <w:vAlign w:val="center"/>
          </w:tcPr>
          <w:p>
            <w:pPr>
              <w:pStyle w:val="13"/>
            </w:pPr>
            <w:r>
              <w:t>劣质散煤卡口巡查工作在规定时限完成</w:t>
            </w:r>
          </w:p>
          <w:p>
            <w:pPr>
              <w:pStyle w:val="13"/>
            </w:pPr>
          </w:p>
        </w:tc>
        <w:tc>
          <w:tcPr>
            <w:tcW w:w="2268" w:type="dxa"/>
            <w:vAlign w:val="center"/>
          </w:tcPr>
          <w:p>
            <w:pPr>
              <w:pStyle w:val="13"/>
            </w:pPr>
            <w:r>
              <w:t>100%</w:t>
            </w:r>
          </w:p>
        </w:tc>
        <w:tc>
          <w:tcPr>
            <w:tcW w:w="1276" w:type="dxa"/>
            <w:vAlign w:val="center"/>
          </w:tcPr>
          <w:p>
            <w:pPr>
              <w:pStyle w:val="13"/>
            </w:pPr>
            <w:r>
              <w:t>海政纪字【2021】22号、海政收文呈字41号及年初工作计划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项目总支出控制在预算内</w:t>
            </w:r>
          </w:p>
        </w:tc>
        <w:tc>
          <w:tcPr>
            <w:tcW w:w="2268" w:type="dxa"/>
            <w:vAlign w:val="center"/>
          </w:tcPr>
          <w:p>
            <w:pPr>
              <w:pStyle w:val="13"/>
            </w:pPr>
            <w:r>
              <w:t>≤47.8万元</w:t>
            </w:r>
          </w:p>
        </w:tc>
        <w:tc>
          <w:tcPr>
            <w:tcW w:w="1276" w:type="dxa"/>
            <w:vAlign w:val="center"/>
          </w:tcPr>
          <w:p>
            <w:pPr>
              <w:pStyle w:val="13"/>
            </w:pPr>
            <w:r>
              <w:t>当年预算安排及实际招投标结果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保障全区劣质散煤监管到位，不断加大劣质散煤查处管控力度</w:t>
            </w:r>
          </w:p>
          <w:p>
            <w:pPr>
              <w:pStyle w:val="13"/>
            </w:pPr>
          </w:p>
        </w:tc>
        <w:tc>
          <w:tcPr>
            <w:tcW w:w="5386" w:type="dxa"/>
            <w:vAlign w:val="center"/>
          </w:tcPr>
          <w:p>
            <w:pPr>
              <w:pStyle w:val="13"/>
            </w:pPr>
            <w:r>
              <w:t>保障全区劣质散煤监管到位，不断加大劣质散煤查处管控力度</w:t>
            </w:r>
          </w:p>
          <w:p>
            <w:pPr>
              <w:pStyle w:val="13"/>
            </w:pPr>
          </w:p>
        </w:tc>
        <w:tc>
          <w:tcPr>
            <w:tcW w:w="2268" w:type="dxa"/>
            <w:vAlign w:val="center"/>
          </w:tcPr>
          <w:p>
            <w:pPr>
              <w:pStyle w:val="13"/>
            </w:pPr>
            <w:r>
              <w:t>比上年有所提高</w:t>
            </w:r>
          </w:p>
        </w:tc>
        <w:tc>
          <w:tcPr>
            <w:tcW w:w="1276" w:type="dxa"/>
            <w:vAlign w:val="center"/>
          </w:tcPr>
          <w:p>
            <w:pPr>
              <w:pStyle w:val="13"/>
            </w:pPr>
            <w:r>
              <w:t xml:space="preserve"> 年初工作计划及工作目标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提升政府部门形象，切实保障了城乡居民的居住环境</w:t>
            </w:r>
          </w:p>
          <w:p>
            <w:pPr>
              <w:pStyle w:val="13"/>
            </w:pPr>
          </w:p>
          <w:p>
            <w:pPr>
              <w:pStyle w:val="13"/>
            </w:pPr>
          </w:p>
        </w:tc>
        <w:tc>
          <w:tcPr>
            <w:tcW w:w="5386" w:type="dxa"/>
            <w:vAlign w:val="center"/>
          </w:tcPr>
          <w:p>
            <w:pPr>
              <w:pStyle w:val="13"/>
            </w:pPr>
            <w:r>
              <w:t>提升政府部门形象，切实保障了城乡居民的居住环境</w:t>
            </w:r>
          </w:p>
          <w:p>
            <w:pPr>
              <w:pStyle w:val="13"/>
            </w:pPr>
          </w:p>
          <w:p>
            <w:pPr>
              <w:pStyle w:val="13"/>
            </w:pPr>
          </w:p>
        </w:tc>
        <w:tc>
          <w:tcPr>
            <w:tcW w:w="2268" w:type="dxa"/>
            <w:vAlign w:val="center"/>
          </w:tcPr>
          <w:p>
            <w:pPr>
              <w:pStyle w:val="13"/>
            </w:pPr>
            <w:r>
              <w:t>比上年有所提高</w:t>
            </w:r>
          </w:p>
        </w:tc>
        <w:tc>
          <w:tcPr>
            <w:tcW w:w="1276" w:type="dxa"/>
            <w:vAlign w:val="center"/>
          </w:tcPr>
          <w:p>
            <w:pPr>
              <w:pStyle w:val="13"/>
            </w:pPr>
            <w:r>
              <w:t xml:space="preserve"> 年初工作计划及工作目标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保护城乡居民居住环境，确保大气污染指标达标</w:t>
            </w:r>
          </w:p>
        </w:tc>
        <w:tc>
          <w:tcPr>
            <w:tcW w:w="5386" w:type="dxa"/>
            <w:vAlign w:val="center"/>
          </w:tcPr>
          <w:p>
            <w:pPr>
              <w:pStyle w:val="13"/>
            </w:pPr>
            <w:r>
              <w:t>保护城乡居民居住环境，确保大气污染指标达标</w:t>
            </w:r>
          </w:p>
          <w:p>
            <w:pPr>
              <w:pStyle w:val="13"/>
            </w:pPr>
          </w:p>
        </w:tc>
        <w:tc>
          <w:tcPr>
            <w:tcW w:w="2268" w:type="dxa"/>
            <w:vAlign w:val="center"/>
          </w:tcPr>
          <w:p>
            <w:pPr>
              <w:pStyle w:val="13"/>
            </w:pPr>
            <w:r>
              <w:t>比上年有所提高</w:t>
            </w:r>
          </w:p>
        </w:tc>
        <w:tc>
          <w:tcPr>
            <w:tcW w:w="1276" w:type="dxa"/>
            <w:vAlign w:val="center"/>
          </w:tcPr>
          <w:p>
            <w:pPr>
              <w:pStyle w:val="13"/>
            </w:pPr>
            <w:r>
              <w:t xml:space="preserve"> 年初工作计划及工作目标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城乡居民对劣质散煤管控工作满意度</w:t>
            </w:r>
          </w:p>
          <w:p>
            <w:pPr>
              <w:pStyle w:val="13"/>
            </w:pPr>
          </w:p>
        </w:tc>
        <w:tc>
          <w:tcPr>
            <w:tcW w:w="5386" w:type="dxa"/>
            <w:vAlign w:val="center"/>
          </w:tcPr>
          <w:p>
            <w:pPr>
              <w:pStyle w:val="13"/>
            </w:pPr>
            <w:r>
              <w:t>"满意和较满意的受益对象占全部调研对象的比例</w:t>
            </w:r>
          </w:p>
          <w:p>
            <w:pPr>
              <w:pStyle w:val="13"/>
            </w:pPr>
            <w:r>
              <w:t>"</w:t>
            </w:r>
          </w:p>
          <w:p>
            <w:pPr>
              <w:pStyle w:val="13"/>
            </w:pPr>
          </w:p>
        </w:tc>
        <w:tc>
          <w:tcPr>
            <w:tcW w:w="2268" w:type="dxa"/>
            <w:vAlign w:val="center"/>
          </w:tcPr>
          <w:p>
            <w:pPr>
              <w:pStyle w:val="13"/>
            </w:pPr>
            <w:r>
              <w:t>≥95%</w:t>
            </w:r>
          </w:p>
        </w:tc>
        <w:tc>
          <w:tcPr>
            <w:tcW w:w="1276" w:type="dxa"/>
            <w:vAlign w:val="center"/>
          </w:tcPr>
          <w:p>
            <w:pPr>
              <w:pStyle w:val="13"/>
            </w:pPr>
            <w:r>
              <w:t>满意度问卷调查结果</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3、秦财行【2024】586号-关于提前下达2025年省级市场监督补助经费的通知绩效目标表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13030225P00002310001U</w:t>
            </w:r>
          </w:p>
        </w:tc>
        <w:tc>
          <w:tcPr>
            <w:tcW w:w="2835" w:type="dxa"/>
            <w:vAlign w:val="center"/>
          </w:tcPr>
          <w:p>
            <w:pPr>
              <w:pStyle w:val="11"/>
            </w:pPr>
            <w:r>
              <w:t>项目名称</w:t>
            </w:r>
          </w:p>
        </w:tc>
        <w:tc>
          <w:tcPr>
            <w:tcW w:w="6095" w:type="dxa"/>
            <w:gridSpan w:val="3"/>
            <w:vAlign w:val="center"/>
          </w:tcPr>
          <w:p>
            <w:pPr>
              <w:pStyle w:val="13"/>
            </w:pPr>
            <w:r>
              <w:t>秦财行【2024】586号-关于提前下达2025年省级市场监督补助经费的通知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26.00</w:t>
            </w:r>
          </w:p>
        </w:tc>
        <w:tc>
          <w:tcPr>
            <w:tcW w:w="2835" w:type="dxa"/>
            <w:vAlign w:val="center"/>
          </w:tcPr>
          <w:p>
            <w:pPr>
              <w:pStyle w:val="11"/>
            </w:pPr>
            <w:r>
              <w:t>其中：财政    资金</w:t>
            </w:r>
          </w:p>
        </w:tc>
        <w:tc>
          <w:tcPr>
            <w:tcW w:w="2551" w:type="dxa"/>
            <w:vAlign w:val="center"/>
          </w:tcPr>
          <w:p>
            <w:pPr>
              <w:pStyle w:val="13"/>
            </w:pPr>
            <w:r>
              <w:t>26.00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开展特种设备检验检测，确保特种设备安全加强基层监督执法，确保市场平稳发展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6.50</w:t>
            </w:r>
          </w:p>
        </w:tc>
        <w:tc>
          <w:tcPr>
            <w:tcW w:w="2835" w:type="dxa"/>
            <w:vAlign w:val="center"/>
          </w:tcPr>
          <w:p>
            <w:pPr>
              <w:pStyle w:val="14"/>
            </w:pPr>
            <w:r>
              <w:t>13.00</w:t>
            </w:r>
          </w:p>
        </w:tc>
        <w:tc>
          <w:tcPr>
            <w:tcW w:w="2551" w:type="dxa"/>
            <w:vAlign w:val="center"/>
          </w:tcPr>
          <w:p>
            <w:pPr>
              <w:pStyle w:val="14"/>
            </w:pPr>
            <w:r>
              <w:t>19.50</w:t>
            </w:r>
          </w:p>
        </w:tc>
        <w:tc>
          <w:tcPr>
            <w:tcW w:w="3544" w:type="dxa"/>
            <w:gridSpan w:val="2"/>
            <w:vAlign w:val="center"/>
          </w:tcPr>
          <w:p>
            <w:pPr>
              <w:pStyle w:val="14"/>
            </w:pPr>
            <w:r>
              <w:t>26.00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1.开展特种设备检验检测，确保特种设备安全</w:t>
            </w:r>
          </w:p>
          <w:p>
            <w:pPr>
              <w:pStyle w:val="13"/>
            </w:pPr>
            <w:r>
              <w:t>2.加强基层监督执法，确保市场平稳发展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监督执法数量</w:t>
            </w:r>
          </w:p>
        </w:tc>
        <w:tc>
          <w:tcPr>
            <w:tcW w:w="5386" w:type="dxa"/>
            <w:vAlign w:val="center"/>
          </w:tcPr>
          <w:p>
            <w:pPr>
              <w:pStyle w:val="13"/>
            </w:pPr>
            <w:r>
              <w:t>监督执法数量</w:t>
            </w:r>
          </w:p>
        </w:tc>
        <w:tc>
          <w:tcPr>
            <w:tcW w:w="2268" w:type="dxa"/>
            <w:vAlign w:val="center"/>
          </w:tcPr>
          <w:p>
            <w:pPr>
              <w:pStyle w:val="13"/>
            </w:pPr>
            <w:r>
              <w:t>≥10次</w:t>
            </w:r>
          </w:p>
        </w:tc>
        <w:tc>
          <w:tcPr>
            <w:tcW w:w="1276" w:type="dxa"/>
            <w:vAlign w:val="center"/>
          </w:tcPr>
          <w:p>
            <w:pPr>
              <w:pStyle w:val="13"/>
            </w:pPr>
            <w:r>
              <w:t>国家药监局关于印发《食品药品监管补助资金管理办法》的通知（财行〔2024〕140号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特种设备检验检测批次</w:t>
            </w:r>
          </w:p>
        </w:tc>
        <w:tc>
          <w:tcPr>
            <w:tcW w:w="5386" w:type="dxa"/>
            <w:vAlign w:val="center"/>
          </w:tcPr>
          <w:p>
            <w:pPr>
              <w:pStyle w:val="13"/>
            </w:pPr>
            <w:r>
              <w:t>特种设备检验检测批次</w:t>
            </w:r>
          </w:p>
        </w:tc>
        <w:tc>
          <w:tcPr>
            <w:tcW w:w="2268" w:type="dxa"/>
            <w:vAlign w:val="center"/>
          </w:tcPr>
          <w:p>
            <w:pPr>
              <w:pStyle w:val="13"/>
            </w:pPr>
            <w:r>
              <w:t>≥31批次</w:t>
            </w:r>
          </w:p>
        </w:tc>
        <w:tc>
          <w:tcPr>
            <w:tcW w:w="1276" w:type="dxa"/>
            <w:vAlign w:val="center"/>
          </w:tcPr>
          <w:p>
            <w:pPr>
              <w:pStyle w:val="13"/>
            </w:pPr>
            <w:r>
              <w:t>国家药监局关于印发《食品药品监管补助资金管理办法》的通知（财行〔2024〕140号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监督执法合格率</w:t>
            </w:r>
          </w:p>
        </w:tc>
        <w:tc>
          <w:tcPr>
            <w:tcW w:w="5386" w:type="dxa"/>
            <w:vAlign w:val="center"/>
          </w:tcPr>
          <w:p>
            <w:pPr>
              <w:pStyle w:val="13"/>
            </w:pPr>
            <w:r>
              <w:t>监督执法合格率</w:t>
            </w:r>
          </w:p>
        </w:tc>
        <w:tc>
          <w:tcPr>
            <w:tcW w:w="2268" w:type="dxa"/>
            <w:vAlign w:val="center"/>
          </w:tcPr>
          <w:p>
            <w:pPr>
              <w:pStyle w:val="13"/>
            </w:pPr>
            <w:r>
              <w:t>100%</w:t>
            </w:r>
          </w:p>
        </w:tc>
        <w:tc>
          <w:tcPr>
            <w:tcW w:w="1276" w:type="dxa"/>
            <w:vAlign w:val="center"/>
          </w:tcPr>
          <w:p>
            <w:pPr>
              <w:pStyle w:val="13"/>
            </w:pPr>
            <w:r>
              <w:t>国家药监局关于印发《食品药品监管补助资金管理办法》的通知（财行〔2024〕140号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特种设备检验检测完成率</w:t>
            </w:r>
          </w:p>
        </w:tc>
        <w:tc>
          <w:tcPr>
            <w:tcW w:w="5386" w:type="dxa"/>
            <w:vAlign w:val="center"/>
          </w:tcPr>
          <w:p>
            <w:pPr>
              <w:pStyle w:val="13"/>
            </w:pPr>
            <w:r>
              <w:t>特种设备检验检测完成率</w:t>
            </w:r>
          </w:p>
        </w:tc>
        <w:tc>
          <w:tcPr>
            <w:tcW w:w="2268" w:type="dxa"/>
            <w:vAlign w:val="center"/>
          </w:tcPr>
          <w:p>
            <w:pPr>
              <w:pStyle w:val="13"/>
            </w:pPr>
            <w:r>
              <w:t>≥95%</w:t>
            </w:r>
          </w:p>
        </w:tc>
        <w:tc>
          <w:tcPr>
            <w:tcW w:w="1276" w:type="dxa"/>
            <w:vAlign w:val="center"/>
          </w:tcPr>
          <w:p>
            <w:pPr>
              <w:pStyle w:val="13"/>
            </w:pPr>
            <w:r>
              <w:t>国家药监局关于印发《食品药品监管补助资金管理办法》的通知（财行〔2024〕140号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监督执法完成时限</w:t>
            </w:r>
          </w:p>
        </w:tc>
        <w:tc>
          <w:tcPr>
            <w:tcW w:w="5386" w:type="dxa"/>
            <w:vAlign w:val="center"/>
          </w:tcPr>
          <w:p>
            <w:pPr>
              <w:pStyle w:val="13"/>
            </w:pPr>
            <w:r>
              <w:t>监督执法完成时限</w:t>
            </w:r>
          </w:p>
        </w:tc>
        <w:tc>
          <w:tcPr>
            <w:tcW w:w="2268" w:type="dxa"/>
            <w:vAlign w:val="center"/>
          </w:tcPr>
          <w:p>
            <w:pPr>
              <w:pStyle w:val="13"/>
            </w:pPr>
            <w:r>
              <w:t>2025年12月31日前</w:t>
            </w:r>
          </w:p>
        </w:tc>
        <w:tc>
          <w:tcPr>
            <w:tcW w:w="1276" w:type="dxa"/>
            <w:vAlign w:val="center"/>
          </w:tcPr>
          <w:p>
            <w:pPr>
              <w:pStyle w:val="13"/>
            </w:pPr>
            <w:r>
              <w:t>国家药监局关于印发《食品药品监管补助资金管理办法》的通知（财行〔2024〕140号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特种设备检验检测完成时限</w:t>
            </w:r>
          </w:p>
        </w:tc>
        <w:tc>
          <w:tcPr>
            <w:tcW w:w="5386" w:type="dxa"/>
            <w:vAlign w:val="center"/>
          </w:tcPr>
          <w:p>
            <w:pPr>
              <w:pStyle w:val="13"/>
            </w:pPr>
            <w:r>
              <w:t>特种设备检验检测完成时限</w:t>
            </w:r>
          </w:p>
        </w:tc>
        <w:tc>
          <w:tcPr>
            <w:tcW w:w="2268" w:type="dxa"/>
            <w:vAlign w:val="center"/>
          </w:tcPr>
          <w:p>
            <w:pPr>
              <w:pStyle w:val="13"/>
            </w:pPr>
            <w:r>
              <w:t>2025年12月31日前</w:t>
            </w:r>
          </w:p>
        </w:tc>
        <w:tc>
          <w:tcPr>
            <w:tcW w:w="1276" w:type="dxa"/>
            <w:vAlign w:val="center"/>
          </w:tcPr>
          <w:p>
            <w:pPr>
              <w:pStyle w:val="13"/>
            </w:pPr>
            <w:r>
              <w:t>国家药监局关于印发《食品药品监管补助资金管理办法》的通知（财行〔2024〕140号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监督执法平均成本</w:t>
            </w:r>
          </w:p>
        </w:tc>
        <w:tc>
          <w:tcPr>
            <w:tcW w:w="5386" w:type="dxa"/>
            <w:vAlign w:val="center"/>
          </w:tcPr>
          <w:p>
            <w:pPr>
              <w:pStyle w:val="13"/>
            </w:pPr>
            <w:r>
              <w:t>监督执法平均成本</w:t>
            </w:r>
          </w:p>
        </w:tc>
        <w:tc>
          <w:tcPr>
            <w:tcW w:w="2268" w:type="dxa"/>
            <w:vAlign w:val="center"/>
          </w:tcPr>
          <w:p>
            <w:pPr>
              <w:pStyle w:val="13"/>
            </w:pPr>
            <w:r>
              <w:t>≤20万元</w:t>
            </w:r>
          </w:p>
        </w:tc>
        <w:tc>
          <w:tcPr>
            <w:tcW w:w="1276" w:type="dxa"/>
            <w:vAlign w:val="center"/>
          </w:tcPr>
          <w:p>
            <w:pPr>
              <w:pStyle w:val="13"/>
            </w:pPr>
            <w:r>
              <w:t>国家药监局关于印发《食品药品监管补助资金管理办法》的通知（财行〔2024〕140号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检验检测批次成本</w:t>
            </w:r>
          </w:p>
        </w:tc>
        <w:tc>
          <w:tcPr>
            <w:tcW w:w="5386" w:type="dxa"/>
            <w:vAlign w:val="center"/>
          </w:tcPr>
          <w:p>
            <w:pPr>
              <w:pStyle w:val="13"/>
            </w:pPr>
            <w:r>
              <w:t>检验检测批次成本</w:t>
            </w:r>
          </w:p>
        </w:tc>
        <w:tc>
          <w:tcPr>
            <w:tcW w:w="2268" w:type="dxa"/>
            <w:vAlign w:val="center"/>
          </w:tcPr>
          <w:p>
            <w:pPr>
              <w:pStyle w:val="13"/>
            </w:pPr>
            <w:r>
              <w:t>≤0.19万元</w:t>
            </w:r>
          </w:p>
        </w:tc>
        <w:tc>
          <w:tcPr>
            <w:tcW w:w="1276" w:type="dxa"/>
            <w:vAlign w:val="center"/>
          </w:tcPr>
          <w:p>
            <w:pPr>
              <w:pStyle w:val="13"/>
            </w:pPr>
            <w:r>
              <w:t>国家药监局关于印发《食品药品监管补助资金管理办法》的通知（财行〔2024〕140号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重大案件发生次数</w:t>
            </w:r>
          </w:p>
        </w:tc>
        <w:tc>
          <w:tcPr>
            <w:tcW w:w="5386" w:type="dxa"/>
            <w:vAlign w:val="center"/>
          </w:tcPr>
          <w:p>
            <w:pPr>
              <w:pStyle w:val="13"/>
            </w:pPr>
            <w:r>
              <w:t>重大案件发生次数</w:t>
            </w:r>
          </w:p>
        </w:tc>
        <w:tc>
          <w:tcPr>
            <w:tcW w:w="2268" w:type="dxa"/>
            <w:vAlign w:val="center"/>
          </w:tcPr>
          <w:p>
            <w:pPr>
              <w:pStyle w:val="13"/>
            </w:pPr>
            <w:r>
              <w:t>0次</w:t>
            </w:r>
          </w:p>
        </w:tc>
        <w:tc>
          <w:tcPr>
            <w:tcW w:w="1276" w:type="dxa"/>
            <w:vAlign w:val="center"/>
          </w:tcPr>
          <w:p>
            <w:pPr>
              <w:pStyle w:val="13"/>
            </w:pPr>
            <w:r>
              <w:t>国家药监局关于印发《食品药品监管补助资金管理办法》的通知（财行〔2024〕140号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社会反馈意见对市场监管工作满意度</w:t>
            </w:r>
          </w:p>
        </w:tc>
        <w:tc>
          <w:tcPr>
            <w:tcW w:w="2268" w:type="dxa"/>
            <w:vAlign w:val="center"/>
          </w:tcPr>
          <w:p>
            <w:pPr>
              <w:pStyle w:val="13"/>
            </w:pPr>
            <w:r>
              <w:t>≥90%</w:t>
            </w:r>
          </w:p>
        </w:tc>
        <w:tc>
          <w:tcPr>
            <w:tcW w:w="1276" w:type="dxa"/>
            <w:vAlign w:val="center"/>
          </w:tcPr>
          <w:p>
            <w:pPr>
              <w:pStyle w:val="13"/>
            </w:pPr>
            <w:r>
              <w:t>国家药监局关于印发《食品药品监管补助资金管理办法》的通知（财行〔2024〕140号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4、食品检测经费</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13030225P00002310004N</w:t>
            </w:r>
          </w:p>
        </w:tc>
        <w:tc>
          <w:tcPr>
            <w:tcW w:w="2835" w:type="dxa"/>
            <w:vAlign w:val="center"/>
          </w:tcPr>
          <w:p>
            <w:pPr>
              <w:pStyle w:val="11"/>
            </w:pPr>
            <w:r>
              <w:t>项目名称</w:t>
            </w:r>
          </w:p>
        </w:tc>
        <w:tc>
          <w:tcPr>
            <w:tcW w:w="6095" w:type="dxa"/>
            <w:gridSpan w:val="3"/>
            <w:vAlign w:val="center"/>
          </w:tcPr>
          <w:p>
            <w:pPr>
              <w:pStyle w:val="13"/>
            </w:pPr>
            <w:r>
              <w:t>食品检测经费</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支付食品检测费用，用于加大食品安全检测力度，保障辖区食品经营市场有序健康发展，保障辖区食品经营市场有序健康发展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25.00</w:t>
            </w:r>
          </w:p>
        </w:tc>
        <w:tc>
          <w:tcPr>
            <w:tcW w:w="2835" w:type="dxa"/>
            <w:vAlign w:val="center"/>
          </w:tcPr>
          <w:p>
            <w:pPr>
              <w:pStyle w:val="14"/>
            </w:pPr>
            <w:r>
              <w:t>50.00</w:t>
            </w:r>
          </w:p>
        </w:tc>
        <w:tc>
          <w:tcPr>
            <w:tcW w:w="2551" w:type="dxa"/>
            <w:vAlign w:val="center"/>
          </w:tcPr>
          <w:p>
            <w:pPr>
              <w:pStyle w:val="14"/>
            </w:pPr>
            <w:r>
              <w:t>75.00</w:t>
            </w:r>
          </w:p>
        </w:tc>
        <w:tc>
          <w:tcPr>
            <w:tcW w:w="3544" w:type="dxa"/>
            <w:gridSpan w:val="2"/>
            <w:vAlign w:val="center"/>
          </w:tcPr>
          <w:p>
            <w:pPr>
              <w:pStyle w:val="14"/>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1.加大食品安全检测力度</w:t>
            </w:r>
          </w:p>
          <w:p>
            <w:pPr>
              <w:pStyle w:val="13"/>
            </w:pPr>
            <w:r>
              <w:t>2.保障辖区食品经营市场有序健康发展</w:t>
            </w:r>
          </w:p>
          <w:p>
            <w:pPr>
              <w:pStyle w:val="13"/>
            </w:pPr>
            <w:r>
              <w:t>3.针对高风险食品、区域性食品、地方特色食品开展不定期抽检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农产品专项抽检</w:t>
            </w:r>
          </w:p>
        </w:tc>
        <w:tc>
          <w:tcPr>
            <w:tcW w:w="5386" w:type="dxa"/>
            <w:vAlign w:val="center"/>
          </w:tcPr>
          <w:p>
            <w:pPr>
              <w:pStyle w:val="13"/>
            </w:pPr>
            <w:r>
              <w:t>全区农产品专项抽检</w:t>
            </w:r>
          </w:p>
        </w:tc>
        <w:tc>
          <w:tcPr>
            <w:tcW w:w="2268" w:type="dxa"/>
            <w:vAlign w:val="center"/>
          </w:tcPr>
          <w:p>
            <w:pPr>
              <w:pStyle w:val="13"/>
            </w:pPr>
            <w:r>
              <w:t>≥1000批次</w:t>
            </w:r>
          </w:p>
        </w:tc>
        <w:tc>
          <w:tcPr>
            <w:tcW w:w="1276" w:type="dxa"/>
            <w:vAlign w:val="center"/>
          </w:tcPr>
          <w:p>
            <w:pPr>
              <w:pStyle w:val="13"/>
            </w:pPr>
            <w:r>
              <w:t>秦皇岛市市场监督管理局《关于印发2022年秦皇岛市食品安全抽检监测工作要点的通知》（秦市监函﹝2022﹞3号）及年初工作计划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暑期及重大节假日应急抽检</w:t>
            </w:r>
          </w:p>
        </w:tc>
        <w:tc>
          <w:tcPr>
            <w:tcW w:w="5386" w:type="dxa"/>
            <w:vAlign w:val="center"/>
          </w:tcPr>
          <w:p>
            <w:pPr>
              <w:pStyle w:val="13"/>
            </w:pPr>
            <w:r>
              <w:t>全区暑期及重大节假日应急抽检</w:t>
            </w:r>
          </w:p>
        </w:tc>
        <w:tc>
          <w:tcPr>
            <w:tcW w:w="2268" w:type="dxa"/>
            <w:vAlign w:val="center"/>
          </w:tcPr>
          <w:p>
            <w:pPr>
              <w:pStyle w:val="13"/>
            </w:pPr>
            <w:r>
              <w:t>≥1000批次</w:t>
            </w:r>
          </w:p>
        </w:tc>
        <w:tc>
          <w:tcPr>
            <w:tcW w:w="1276" w:type="dxa"/>
            <w:vAlign w:val="center"/>
          </w:tcPr>
          <w:p>
            <w:pPr>
              <w:pStyle w:val="13"/>
            </w:pPr>
            <w:r>
              <w:t>秦皇岛市市场监督管理局《关于印发2022年秦皇岛市食品安全抽检监测工作要点的通知》（秦市监函﹝2022﹞3号）及年初工作计划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食品流通环节检测</w:t>
            </w:r>
          </w:p>
        </w:tc>
        <w:tc>
          <w:tcPr>
            <w:tcW w:w="5386" w:type="dxa"/>
            <w:vAlign w:val="center"/>
          </w:tcPr>
          <w:p>
            <w:pPr>
              <w:pStyle w:val="13"/>
            </w:pPr>
            <w:r>
              <w:t>全区食品流通环节检测批次</w:t>
            </w:r>
          </w:p>
        </w:tc>
        <w:tc>
          <w:tcPr>
            <w:tcW w:w="2268" w:type="dxa"/>
            <w:vAlign w:val="center"/>
          </w:tcPr>
          <w:p>
            <w:pPr>
              <w:pStyle w:val="13"/>
            </w:pPr>
            <w:r>
              <w:t>≥1500批次</w:t>
            </w:r>
          </w:p>
        </w:tc>
        <w:tc>
          <w:tcPr>
            <w:tcW w:w="1276" w:type="dxa"/>
            <w:vAlign w:val="center"/>
          </w:tcPr>
          <w:p>
            <w:pPr>
              <w:pStyle w:val="13"/>
            </w:pPr>
            <w:r>
              <w:t>秦皇岛市市场监督管理局《关于印发2022年秦皇岛市食品安全抽检监测工作要点的通知》（秦市监函﹝2022﹞3号）及年初工作计划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餐饮环节检测批次</w:t>
            </w:r>
          </w:p>
        </w:tc>
        <w:tc>
          <w:tcPr>
            <w:tcW w:w="5386" w:type="dxa"/>
            <w:vAlign w:val="center"/>
          </w:tcPr>
          <w:p>
            <w:pPr>
              <w:pStyle w:val="13"/>
            </w:pPr>
            <w:r>
              <w:t>餐饮环节检测批次</w:t>
            </w:r>
          </w:p>
        </w:tc>
        <w:tc>
          <w:tcPr>
            <w:tcW w:w="2268" w:type="dxa"/>
            <w:vAlign w:val="center"/>
          </w:tcPr>
          <w:p>
            <w:pPr>
              <w:pStyle w:val="13"/>
            </w:pPr>
            <w:r>
              <w:t>≥88批次</w:t>
            </w:r>
          </w:p>
        </w:tc>
        <w:tc>
          <w:tcPr>
            <w:tcW w:w="1276" w:type="dxa"/>
            <w:vAlign w:val="center"/>
          </w:tcPr>
          <w:p>
            <w:pPr>
              <w:pStyle w:val="13"/>
            </w:pPr>
            <w:r>
              <w:t>秦皇岛市市场监督管理局《关于印发2022年秦皇岛市食品安全抽检监测工作要点的通知》（秦市监函﹝2022﹞3号）及年初工作计划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食品生产环节检测</w:t>
            </w:r>
          </w:p>
        </w:tc>
        <w:tc>
          <w:tcPr>
            <w:tcW w:w="5386" w:type="dxa"/>
            <w:vAlign w:val="center"/>
          </w:tcPr>
          <w:p>
            <w:pPr>
              <w:pStyle w:val="13"/>
            </w:pPr>
            <w:r>
              <w:t>全区食品生产环节检测批次</w:t>
            </w:r>
          </w:p>
        </w:tc>
        <w:tc>
          <w:tcPr>
            <w:tcW w:w="2268" w:type="dxa"/>
            <w:vAlign w:val="center"/>
          </w:tcPr>
          <w:p>
            <w:pPr>
              <w:pStyle w:val="13"/>
            </w:pPr>
            <w:r>
              <w:t>≥400批次</w:t>
            </w:r>
          </w:p>
        </w:tc>
        <w:tc>
          <w:tcPr>
            <w:tcW w:w="1276" w:type="dxa"/>
            <w:vAlign w:val="center"/>
          </w:tcPr>
          <w:p>
            <w:pPr>
              <w:pStyle w:val="13"/>
            </w:pPr>
            <w:r>
              <w:t>秦皇岛市市场监督管理局《关于印发2022年秦皇岛市食品安全抽检监测工作要点的通知》（秦市监函﹝2022﹞3号）及年初工作计划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检测差错率</w:t>
            </w:r>
          </w:p>
        </w:tc>
        <w:tc>
          <w:tcPr>
            <w:tcW w:w="5386" w:type="dxa"/>
            <w:vAlign w:val="center"/>
          </w:tcPr>
          <w:p>
            <w:pPr>
              <w:pStyle w:val="13"/>
            </w:pPr>
            <w:r>
              <w:t>检测差错率</w:t>
            </w:r>
          </w:p>
          <w:p>
            <w:pPr>
              <w:pStyle w:val="13"/>
            </w:pPr>
          </w:p>
        </w:tc>
        <w:tc>
          <w:tcPr>
            <w:tcW w:w="2268" w:type="dxa"/>
            <w:vAlign w:val="center"/>
          </w:tcPr>
          <w:p>
            <w:pPr>
              <w:pStyle w:val="13"/>
            </w:pPr>
            <w:r>
              <w:t>0%</w:t>
            </w:r>
          </w:p>
        </w:tc>
        <w:tc>
          <w:tcPr>
            <w:tcW w:w="1276" w:type="dxa"/>
            <w:vAlign w:val="center"/>
          </w:tcPr>
          <w:p>
            <w:pPr>
              <w:pStyle w:val="13"/>
            </w:pPr>
            <w:r>
              <w:t>秦皇岛市市场监督管理局《关于印发2022年秦皇岛市食品安全抽检监测工作要点的通知》（秦市监函﹝2022﹞3号）及年初工作计划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检测工作完成及时率</w:t>
            </w:r>
          </w:p>
        </w:tc>
        <w:tc>
          <w:tcPr>
            <w:tcW w:w="5386" w:type="dxa"/>
            <w:vAlign w:val="center"/>
          </w:tcPr>
          <w:p>
            <w:pPr>
              <w:pStyle w:val="13"/>
            </w:pPr>
            <w:r>
              <w:t>检测工作完成及时率</w:t>
            </w:r>
          </w:p>
          <w:p>
            <w:pPr>
              <w:pStyle w:val="13"/>
            </w:pPr>
          </w:p>
        </w:tc>
        <w:tc>
          <w:tcPr>
            <w:tcW w:w="2268" w:type="dxa"/>
            <w:vAlign w:val="center"/>
          </w:tcPr>
          <w:p>
            <w:pPr>
              <w:pStyle w:val="13"/>
            </w:pPr>
            <w:r>
              <w:t>100%</w:t>
            </w:r>
          </w:p>
        </w:tc>
        <w:tc>
          <w:tcPr>
            <w:tcW w:w="1276" w:type="dxa"/>
            <w:vAlign w:val="center"/>
          </w:tcPr>
          <w:p>
            <w:pPr>
              <w:pStyle w:val="13"/>
            </w:pPr>
            <w:r>
              <w:t>秦皇岛市市场监督管理局《关于印发2022年秦皇岛市食品安全抽检监测工作要点的通知》（秦市监函﹝2022﹞3号）及年初工作计划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项目完成总成本</w:t>
            </w:r>
          </w:p>
        </w:tc>
        <w:tc>
          <w:tcPr>
            <w:tcW w:w="5386" w:type="dxa"/>
            <w:vAlign w:val="center"/>
          </w:tcPr>
          <w:p>
            <w:pPr>
              <w:pStyle w:val="13"/>
            </w:pPr>
            <w:r>
              <w:t>控制在预算范围内合理安排使用</w:t>
            </w:r>
          </w:p>
          <w:p>
            <w:pPr>
              <w:pStyle w:val="13"/>
            </w:pPr>
          </w:p>
        </w:tc>
        <w:tc>
          <w:tcPr>
            <w:tcW w:w="2268" w:type="dxa"/>
            <w:vAlign w:val="center"/>
          </w:tcPr>
          <w:p>
            <w:pPr>
              <w:pStyle w:val="13"/>
            </w:pPr>
            <w:r>
              <w:t>≤100万元</w:t>
            </w:r>
          </w:p>
        </w:tc>
        <w:tc>
          <w:tcPr>
            <w:tcW w:w="1276" w:type="dxa"/>
            <w:vAlign w:val="center"/>
          </w:tcPr>
          <w:p>
            <w:pPr>
              <w:pStyle w:val="13"/>
            </w:pPr>
            <w:r>
              <w:t>年度预算安排及实际招投标结果</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提升政府公信力</w:t>
            </w:r>
          </w:p>
        </w:tc>
        <w:tc>
          <w:tcPr>
            <w:tcW w:w="5386" w:type="dxa"/>
            <w:vAlign w:val="center"/>
          </w:tcPr>
          <w:p>
            <w:pPr>
              <w:pStyle w:val="13"/>
            </w:pPr>
            <w:r>
              <w:t>为人民群众的身体健康提供保障，提升政府公信力</w:t>
            </w:r>
          </w:p>
        </w:tc>
        <w:tc>
          <w:tcPr>
            <w:tcW w:w="2268" w:type="dxa"/>
            <w:vAlign w:val="center"/>
          </w:tcPr>
          <w:p>
            <w:pPr>
              <w:pStyle w:val="13"/>
            </w:pPr>
            <w:r>
              <w:t>逐步提高</w:t>
            </w:r>
          </w:p>
        </w:tc>
        <w:tc>
          <w:tcPr>
            <w:tcW w:w="1276" w:type="dxa"/>
            <w:vAlign w:val="center"/>
          </w:tcPr>
          <w:p>
            <w:pPr>
              <w:pStyle w:val="13"/>
            </w:pPr>
            <w:r>
              <w:t>根据年初工作计划及工作目标</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维护健康的食品经营环境</w:t>
            </w:r>
          </w:p>
        </w:tc>
        <w:tc>
          <w:tcPr>
            <w:tcW w:w="5386" w:type="dxa"/>
            <w:vAlign w:val="center"/>
          </w:tcPr>
          <w:p>
            <w:pPr>
              <w:pStyle w:val="13"/>
            </w:pPr>
            <w:r>
              <w:t>保障辖区市场有序健康发展，营造良好的食品经营环境</w:t>
            </w:r>
          </w:p>
          <w:p>
            <w:pPr>
              <w:pStyle w:val="13"/>
            </w:pPr>
          </w:p>
        </w:tc>
        <w:tc>
          <w:tcPr>
            <w:tcW w:w="2268" w:type="dxa"/>
            <w:vAlign w:val="center"/>
          </w:tcPr>
          <w:p>
            <w:pPr>
              <w:pStyle w:val="13"/>
            </w:pPr>
            <w:r>
              <w:t>逐步提高</w:t>
            </w:r>
          </w:p>
        </w:tc>
        <w:tc>
          <w:tcPr>
            <w:tcW w:w="1276" w:type="dxa"/>
            <w:vAlign w:val="center"/>
          </w:tcPr>
          <w:p>
            <w:pPr>
              <w:pStyle w:val="13"/>
            </w:pPr>
            <w:r>
              <w:t>根据年初工作计划及工作目标</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增加罚没收入</w:t>
            </w:r>
          </w:p>
        </w:tc>
        <w:tc>
          <w:tcPr>
            <w:tcW w:w="5386" w:type="dxa"/>
            <w:vAlign w:val="center"/>
          </w:tcPr>
          <w:p>
            <w:pPr>
              <w:pStyle w:val="13"/>
            </w:pPr>
            <w:r>
              <w:t>坚强监管，保障食品安全，加大食品违法案件的查处力度，增加罚没收入</w:t>
            </w:r>
          </w:p>
          <w:p>
            <w:pPr>
              <w:pStyle w:val="13"/>
            </w:pPr>
          </w:p>
        </w:tc>
        <w:tc>
          <w:tcPr>
            <w:tcW w:w="2268" w:type="dxa"/>
            <w:vAlign w:val="center"/>
          </w:tcPr>
          <w:p>
            <w:pPr>
              <w:pStyle w:val="13"/>
            </w:pPr>
            <w:r>
              <w:t>逐步改善</w:t>
            </w:r>
          </w:p>
        </w:tc>
        <w:tc>
          <w:tcPr>
            <w:tcW w:w="1276" w:type="dxa"/>
            <w:vAlign w:val="center"/>
          </w:tcPr>
          <w:p>
            <w:pPr>
              <w:pStyle w:val="13"/>
            </w:pPr>
            <w:r>
              <w:t>根据年初工作计划及工作目标</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消费者满意度</w:t>
            </w:r>
          </w:p>
        </w:tc>
        <w:tc>
          <w:tcPr>
            <w:tcW w:w="5386" w:type="dxa"/>
            <w:vAlign w:val="center"/>
          </w:tcPr>
          <w:p>
            <w:pPr>
              <w:pStyle w:val="13"/>
            </w:pPr>
            <w:r>
              <w:t>消费者满意度占全部调研对象的比例</w:t>
            </w:r>
          </w:p>
          <w:p>
            <w:pPr>
              <w:pStyle w:val="13"/>
            </w:pPr>
          </w:p>
        </w:tc>
        <w:tc>
          <w:tcPr>
            <w:tcW w:w="2268" w:type="dxa"/>
            <w:vAlign w:val="center"/>
          </w:tcPr>
          <w:p>
            <w:pPr>
              <w:pStyle w:val="13"/>
            </w:pPr>
            <w:r>
              <w:t>≥98%</w:t>
            </w:r>
          </w:p>
        </w:tc>
        <w:tc>
          <w:tcPr>
            <w:tcW w:w="1276" w:type="dxa"/>
            <w:vAlign w:val="center"/>
          </w:tcPr>
          <w:p>
            <w:pPr>
              <w:pStyle w:val="13"/>
            </w:pPr>
            <w:r>
              <w:t>满意度问卷调查</w:t>
            </w:r>
          </w:p>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5、市场监管经费</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13030225P00002310002F</w:t>
            </w:r>
          </w:p>
        </w:tc>
        <w:tc>
          <w:tcPr>
            <w:tcW w:w="2835" w:type="dxa"/>
            <w:vAlign w:val="center"/>
          </w:tcPr>
          <w:p>
            <w:pPr>
              <w:pStyle w:val="11"/>
            </w:pPr>
            <w:r>
              <w:t>项目名称</w:t>
            </w:r>
          </w:p>
        </w:tc>
        <w:tc>
          <w:tcPr>
            <w:tcW w:w="6095" w:type="dxa"/>
            <w:gridSpan w:val="3"/>
            <w:vAlign w:val="center"/>
          </w:tcPr>
          <w:p>
            <w:pPr>
              <w:pStyle w:val="13"/>
            </w:pPr>
            <w:r>
              <w:t>市场监管经费</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 xml:space="preserve">  支付监管相关经费，用于产品质量监督抽查，标准化、计量检定等工作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12.50</w:t>
            </w:r>
          </w:p>
        </w:tc>
        <w:tc>
          <w:tcPr>
            <w:tcW w:w="2835" w:type="dxa"/>
            <w:vAlign w:val="center"/>
          </w:tcPr>
          <w:p>
            <w:pPr>
              <w:pStyle w:val="14"/>
            </w:pPr>
            <w:r>
              <w:t>25.00</w:t>
            </w:r>
          </w:p>
        </w:tc>
        <w:tc>
          <w:tcPr>
            <w:tcW w:w="2551" w:type="dxa"/>
            <w:vAlign w:val="center"/>
          </w:tcPr>
          <w:p>
            <w:pPr>
              <w:pStyle w:val="14"/>
            </w:pPr>
            <w:r>
              <w:t>37.50</w:t>
            </w:r>
          </w:p>
        </w:tc>
        <w:tc>
          <w:tcPr>
            <w:tcW w:w="3544" w:type="dxa"/>
            <w:gridSpan w:val="2"/>
            <w:vAlign w:val="center"/>
          </w:tcPr>
          <w:p>
            <w:pPr>
              <w:pStyle w:val="14"/>
            </w:pPr>
            <w:r>
              <w:t>50.00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1.建立完善消费者权益网络体系，查处违法直销和传销行为</w:t>
            </w:r>
            <w:r>
              <w:tab/>
            </w:r>
            <w:r>
              <w:tab/>
            </w:r>
            <w:r>
              <w:tab/>
            </w:r>
            <w:r>
              <w:tab/>
            </w:r>
            <w:r>
              <w:tab/>
            </w:r>
            <w:r>
              <w:tab/>
            </w:r>
          </w:p>
          <w:p>
            <w:pPr>
              <w:pStyle w:val="13"/>
            </w:pPr>
          </w:p>
          <w:p>
            <w:pPr>
              <w:pStyle w:val="13"/>
            </w:pPr>
            <w:r>
              <w:t>2.开展日常监管，查处各类违法、违规行为</w:t>
            </w:r>
            <w:r>
              <w:tab/>
            </w:r>
            <w:r>
              <w:tab/>
            </w:r>
            <w:r>
              <w:tab/>
            </w:r>
            <w:r>
              <w:tab/>
            </w:r>
            <w:r>
              <w:tab/>
            </w:r>
            <w:r>
              <w:tab/>
            </w:r>
          </w:p>
          <w:p>
            <w:pPr>
              <w:pStyle w:val="13"/>
            </w:pPr>
          </w:p>
          <w:p>
            <w:pPr>
              <w:pStyle w:val="13"/>
            </w:pPr>
            <w:r>
              <w:t>3.依法查处违反监督管理法律、法规、规章的行为</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完成项目数量</w:t>
            </w:r>
          </w:p>
        </w:tc>
        <w:tc>
          <w:tcPr>
            <w:tcW w:w="5386" w:type="dxa"/>
            <w:vAlign w:val="center"/>
          </w:tcPr>
          <w:p>
            <w:pPr>
              <w:pStyle w:val="13"/>
            </w:pPr>
            <w:r>
              <w:t>全年预计完成的专项整治工作数量</w:t>
            </w:r>
          </w:p>
          <w:p>
            <w:pPr>
              <w:pStyle w:val="13"/>
            </w:pPr>
          </w:p>
        </w:tc>
        <w:tc>
          <w:tcPr>
            <w:tcW w:w="2268" w:type="dxa"/>
            <w:vAlign w:val="center"/>
          </w:tcPr>
          <w:p>
            <w:pPr>
              <w:pStyle w:val="13"/>
            </w:pPr>
            <w:r>
              <w:t>≥7项</w:t>
            </w:r>
          </w:p>
        </w:tc>
        <w:tc>
          <w:tcPr>
            <w:tcW w:w="1276" w:type="dxa"/>
            <w:vAlign w:val="center"/>
          </w:tcPr>
          <w:p>
            <w:pPr>
              <w:pStyle w:val="13"/>
            </w:pPr>
            <w:r>
              <w:t>秦工商（2011）2号转发冀工商【2010】105号、国家总局《产品质量监督抽查管理暂行办法、秦政发【2015】2号、【2018】3号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各项工作完成合格率</w:t>
            </w:r>
          </w:p>
          <w:p>
            <w:pPr>
              <w:pStyle w:val="13"/>
            </w:pPr>
          </w:p>
        </w:tc>
        <w:tc>
          <w:tcPr>
            <w:tcW w:w="5386" w:type="dxa"/>
            <w:vAlign w:val="center"/>
          </w:tcPr>
          <w:p>
            <w:pPr>
              <w:pStyle w:val="13"/>
            </w:pPr>
            <w:r>
              <w:t>专项整治工作全部按照要求完成</w:t>
            </w:r>
          </w:p>
        </w:tc>
        <w:tc>
          <w:tcPr>
            <w:tcW w:w="2268" w:type="dxa"/>
            <w:vAlign w:val="center"/>
          </w:tcPr>
          <w:p>
            <w:pPr>
              <w:pStyle w:val="13"/>
            </w:pPr>
            <w:r>
              <w:t>100%</w:t>
            </w:r>
          </w:p>
        </w:tc>
        <w:tc>
          <w:tcPr>
            <w:tcW w:w="1276" w:type="dxa"/>
            <w:vAlign w:val="center"/>
          </w:tcPr>
          <w:p>
            <w:pPr>
              <w:pStyle w:val="13"/>
            </w:pPr>
            <w:r>
              <w:t>秦工商（2011）2号转发冀工商【2010】105号、国家总局《产品质量监督抽查管理暂行办法、秦政发【2015】2号、【2018】3号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各项工作完成及时率</w:t>
            </w:r>
          </w:p>
        </w:tc>
        <w:tc>
          <w:tcPr>
            <w:tcW w:w="5386" w:type="dxa"/>
            <w:vAlign w:val="center"/>
          </w:tcPr>
          <w:p>
            <w:pPr>
              <w:pStyle w:val="13"/>
            </w:pPr>
            <w:r>
              <w:t>各项整治工作全部按照计划节点完成</w:t>
            </w:r>
          </w:p>
        </w:tc>
        <w:tc>
          <w:tcPr>
            <w:tcW w:w="2268" w:type="dxa"/>
            <w:vAlign w:val="center"/>
          </w:tcPr>
          <w:p>
            <w:pPr>
              <w:pStyle w:val="13"/>
            </w:pPr>
            <w:r>
              <w:t>100%</w:t>
            </w:r>
          </w:p>
        </w:tc>
        <w:tc>
          <w:tcPr>
            <w:tcW w:w="1276" w:type="dxa"/>
            <w:vAlign w:val="center"/>
          </w:tcPr>
          <w:p>
            <w:pPr>
              <w:pStyle w:val="13"/>
            </w:pPr>
            <w:r>
              <w:t>秦工商（2011）2号转发冀工商【2010】105号、国家总局《产品质量监督抽查管理暂行办法、秦政发【2015】2号、【2018】3号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项目完成总成本</w:t>
            </w:r>
          </w:p>
        </w:tc>
        <w:tc>
          <w:tcPr>
            <w:tcW w:w="5386" w:type="dxa"/>
            <w:vAlign w:val="center"/>
          </w:tcPr>
          <w:p>
            <w:pPr>
              <w:pStyle w:val="13"/>
            </w:pPr>
            <w:r>
              <w:t>控制在预算范围内合理安排使用</w:t>
            </w:r>
          </w:p>
          <w:p>
            <w:pPr>
              <w:pStyle w:val="13"/>
            </w:pPr>
          </w:p>
        </w:tc>
        <w:tc>
          <w:tcPr>
            <w:tcW w:w="2268" w:type="dxa"/>
            <w:vAlign w:val="center"/>
          </w:tcPr>
          <w:p>
            <w:pPr>
              <w:pStyle w:val="13"/>
            </w:pPr>
            <w:r>
              <w:t>≤50万元</w:t>
            </w:r>
          </w:p>
        </w:tc>
        <w:tc>
          <w:tcPr>
            <w:tcW w:w="1276" w:type="dxa"/>
            <w:vAlign w:val="center"/>
          </w:tcPr>
          <w:p>
            <w:pPr>
              <w:pStyle w:val="13"/>
            </w:pPr>
            <w:r>
              <w:t>根据预算安排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保护经营者消费者权益</w:t>
            </w:r>
          </w:p>
        </w:tc>
        <w:tc>
          <w:tcPr>
            <w:tcW w:w="5386" w:type="dxa"/>
            <w:vAlign w:val="center"/>
          </w:tcPr>
          <w:p>
            <w:pPr>
              <w:pStyle w:val="13"/>
            </w:pPr>
            <w:r>
              <w:t>保护经营者消费者权益</w:t>
            </w:r>
          </w:p>
          <w:p>
            <w:pPr>
              <w:pStyle w:val="13"/>
            </w:pPr>
          </w:p>
        </w:tc>
        <w:tc>
          <w:tcPr>
            <w:tcW w:w="2268" w:type="dxa"/>
            <w:vAlign w:val="center"/>
          </w:tcPr>
          <w:p>
            <w:pPr>
              <w:pStyle w:val="13"/>
            </w:pPr>
            <w:r>
              <w:t>比上年有所提高</w:t>
            </w:r>
          </w:p>
        </w:tc>
        <w:tc>
          <w:tcPr>
            <w:tcW w:w="1276" w:type="dxa"/>
            <w:vAlign w:val="center"/>
          </w:tcPr>
          <w:p>
            <w:pPr>
              <w:pStyle w:val="13"/>
            </w:pPr>
            <w:r>
              <w:t>" 年初工作目标及工作计划</w:t>
            </w:r>
          </w:p>
          <w:p>
            <w:pPr>
              <w:pStyle w:val="13"/>
            </w:pPr>
            <w:r>
              <w:t>"</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为营造良好的市场经营秩序，加大专项整治力度，保护经营者消费者权益</w:t>
            </w:r>
          </w:p>
          <w:p>
            <w:pPr>
              <w:pStyle w:val="13"/>
            </w:pPr>
          </w:p>
        </w:tc>
        <w:tc>
          <w:tcPr>
            <w:tcW w:w="5386" w:type="dxa"/>
            <w:vAlign w:val="center"/>
          </w:tcPr>
          <w:p>
            <w:pPr>
              <w:pStyle w:val="13"/>
            </w:pPr>
            <w:r>
              <w:t>为营造良好的市场经营秩序，加大专项整治力度，保护经营者消费者权益</w:t>
            </w:r>
          </w:p>
          <w:p>
            <w:pPr>
              <w:pStyle w:val="13"/>
            </w:pPr>
          </w:p>
        </w:tc>
        <w:tc>
          <w:tcPr>
            <w:tcW w:w="2268" w:type="dxa"/>
            <w:vAlign w:val="center"/>
          </w:tcPr>
          <w:p>
            <w:pPr>
              <w:pStyle w:val="13"/>
            </w:pPr>
            <w:r>
              <w:t>比上年有所提高</w:t>
            </w:r>
          </w:p>
        </w:tc>
        <w:tc>
          <w:tcPr>
            <w:tcW w:w="1276" w:type="dxa"/>
            <w:vAlign w:val="center"/>
          </w:tcPr>
          <w:p>
            <w:pPr>
              <w:pStyle w:val="13"/>
            </w:pPr>
            <w:r>
              <w:t>" 年初工作目标及工作计划</w:t>
            </w:r>
          </w:p>
          <w:p>
            <w:pPr>
              <w:pStyle w:val="13"/>
            </w:pPr>
            <w:r>
              <w:t>"</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经营者及消费者满意度</w:t>
            </w:r>
          </w:p>
        </w:tc>
        <w:tc>
          <w:tcPr>
            <w:tcW w:w="5386" w:type="dxa"/>
            <w:vAlign w:val="center"/>
          </w:tcPr>
          <w:p>
            <w:pPr>
              <w:pStyle w:val="13"/>
            </w:pPr>
            <w:r>
              <w:t>调查中满意人数占调查总人数比例</w:t>
            </w:r>
          </w:p>
          <w:p>
            <w:pPr>
              <w:pStyle w:val="13"/>
            </w:pPr>
          </w:p>
        </w:tc>
        <w:tc>
          <w:tcPr>
            <w:tcW w:w="2268" w:type="dxa"/>
            <w:vAlign w:val="center"/>
          </w:tcPr>
          <w:p>
            <w:pPr>
              <w:pStyle w:val="13"/>
            </w:pPr>
            <w:r>
              <w:t>≥95%</w:t>
            </w:r>
          </w:p>
        </w:tc>
        <w:tc>
          <w:tcPr>
            <w:tcW w:w="1276" w:type="dxa"/>
            <w:vAlign w:val="center"/>
          </w:tcPr>
          <w:p>
            <w:pPr>
              <w:pStyle w:val="13"/>
            </w:pPr>
            <w:r>
              <w:t>"满意度问卷调查统计表</w:t>
            </w:r>
          </w:p>
          <w:p>
            <w:pPr>
              <w:pStyle w:val="13"/>
            </w:pPr>
            <w:r>
              <w:t>"</w:t>
            </w:r>
          </w:p>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6、知识产权经费绩效目标表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13030225P00002310005A</w:t>
            </w:r>
          </w:p>
        </w:tc>
        <w:tc>
          <w:tcPr>
            <w:tcW w:w="2835" w:type="dxa"/>
            <w:vAlign w:val="center"/>
          </w:tcPr>
          <w:p>
            <w:pPr>
              <w:pStyle w:val="11"/>
            </w:pPr>
            <w:r>
              <w:t>项目名称</w:t>
            </w:r>
          </w:p>
        </w:tc>
        <w:tc>
          <w:tcPr>
            <w:tcW w:w="6095" w:type="dxa"/>
            <w:gridSpan w:val="3"/>
            <w:vAlign w:val="center"/>
          </w:tcPr>
          <w:p>
            <w:pPr>
              <w:pStyle w:val="13"/>
            </w:pPr>
            <w:r>
              <w:t>知识产权经费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支付知识产权各项活动经费，用于全面提升我区知识产权治理能力和水平，立保护知识产权就是保护创新的理念，加快构建保护严格、处置高效、执行有力的知识产权保护体系，营造良好的营商环境，为全区经济社会高质量可持续发展奠定坚实基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5.00</w:t>
            </w:r>
          </w:p>
        </w:tc>
        <w:tc>
          <w:tcPr>
            <w:tcW w:w="2835" w:type="dxa"/>
            <w:vAlign w:val="center"/>
          </w:tcPr>
          <w:p>
            <w:pPr>
              <w:pStyle w:val="14"/>
            </w:pPr>
            <w:r>
              <w:t>10.00</w:t>
            </w:r>
          </w:p>
        </w:tc>
        <w:tc>
          <w:tcPr>
            <w:tcW w:w="2551" w:type="dxa"/>
            <w:vAlign w:val="center"/>
          </w:tcPr>
          <w:p>
            <w:pPr>
              <w:pStyle w:val="14"/>
            </w:pPr>
            <w:r>
              <w:t>15.00</w:t>
            </w:r>
          </w:p>
        </w:tc>
        <w:tc>
          <w:tcPr>
            <w:tcW w:w="3544" w:type="dxa"/>
            <w:gridSpan w:val="2"/>
            <w:vAlign w:val="center"/>
          </w:tcPr>
          <w:p>
            <w:pPr>
              <w:pStyle w:val="14"/>
            </w:pPr>
            <w:r>
              <w:t>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1.降低企业、个人申请专利的成本负担，激发全民创新创造热情。</w:t>
            </w:r>
          </w:p>
          <w:p>
            <w:pPr>
              <w:pStyle w:val="13"/>
            </w:pPr>
            <w:r>
              <w:t>2.专利保险参保企业保费补贴</w:t>
            </w:r>
          </w:p>
          <w:p>
            <w:pPr>
              <w:pStyle w:val="13"/>
            </w:pPr>
            <w:r>
              <w:t>3.推动全市万人有效发明专利持有量持续保持增长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知识产权项目数量</w:t>
            </w:r>
          </w:p>
        </w:tc>
        <w:tc>
          <w:tcPr>
            <w:tcW w:w="5386" w:type="dxa"/>
            <w:vAlign w:val="center"/>
          </w:tcPr>
          <w:p>
            <w:pPr>
              <w:pStyle w:val="13"/>
            </w:pPr>
            <w:r>
              <w:t>用于支出知识产权经费的项目数量</w:t>
            </w:r>
          </w:p>
          <w:p>
            <w:pPr>
              <w:pStyle w:val="13"/>
            </w:pPr>
          </w:p>
        </w:tc>
        <w:tc>
          <w:tcPr>
            <w:tcW w:w="2268" w:type="dxa"/>
            <w:vAlign w:val="center"/>
          </w:tcPr>
          <w:p>
            <w:pPr>
              <w:pStyle w:val="13"/>
            </w:pPr>
            <w:r>
              <w:t>7项</w:t>
            </w:r>
          </w:p>
        </w:tc>
        <w:tc>
          <w:tcPr>
            <w:tcW w:w="1276" w:type="dxa"/>
            <w:vAlign w:val="center"/>
          </w:tcPr>
          <w:p>
            <w:pPr>
              <w:pStyle w:val="13"/>
            </w:pPr>
            <w:r>
              <w:t>"海港区委、区政府印发《关于全面强化知识产权保护暨深入推进创建省知识产权试点示范区的实施方案》海办传【2021】2号及年初工作计划</w:t>
            </w:r>
          </w:p>
          <w:p>
            <w:pPr>
              <w:pStyle w:val="13"/>
            </w:pPr>
            <w:r>
              <w:t>"</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万人有效发明专利持有量</w:t>
            </w:r>
          </w:p>
        </w:tc>
        <w:tc>
          <w:tcPr>
            <w:tcW w:w="5386" w:type="dxa"/>
            <w:vAlign w:val="center"/>
          </w:tcPr>
          <w:p>
            <w:pPr>
              <w:pStyle w:val="13"/>
            </w:pPr>
            <w:r>
              <w:t>每万名常住人口持有的有效发明专利数</w:t>
            </w:r>
          </w:p>
          <w:p>
            <w:pPr>
              <w:pStyle w:val="13"/>
            </w:pPr>
          </w:p>
        </w:tc>
        <w:tc>
          <w:tcPr>
            <w:tcW w:w="2268" w:type="dxa"/>
            <w:vAlign w:val="center"/>
          </w:tcPr>
          <w:p>
            <w:pPr>
              <w:pStyle w:val="13"/>
            </w:pPr>
            <w:r>
              <w:t>9.3件</w:t>
            </w:r>
          </w:p>
        </w:tc>
        <w:tc>
          <w:tcPr>
            <w:tcW w:w="1276" w:type="dxa"/>
            <w:vAlign w:val="center"/>
          </w:tcPr>
          <w:p>
            <w:pPr>
              <w:pStyle w:val="13"/>
            </w:pPr>
            <w:r>
              <w:t>"省知识产权局数据及年初工作计划</w:t>
            </w:r>
          </w:p>
          <w:p>
            <w:pPr>
              <w:pStyle w:val="13"/>
            </w:pPr>
            <w:r>
              <w:t>"</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全年各项工作完成合格率</w:t>
            </w:r>
          </w:p>
          <w:p>
            <w:pPr>
              <w:pStyle w:val="13"/>
            </w:pPr>
          </w:p>
        </w:tc>
        <w:tc>
          <w:tcPr>
            <w:tcW w:w="2268" w:type="dxa"/>
            <w:vAlign w:val="center"/>
          </w:tcPr>
          <w:p>
            <w:pPr>
              <w:pStyle w:val="13"/>
            </w:pPr>
            <w:r>
              <w:t>100%</w:t>
            </w:r>
          </w:p>
        </w:tc>
        <w:tc>
          <w:tcPr>
            <w:tcW w:w="1276" w:type="dxa"/>
            <w:vAlign w:val="center"/>
          </w:tcPr>
          <w:p>
            <w:pPr>
              <w:pStyle w:val="13"/>
            </w:pPr>
            <w:r>
              <w:t>"海港区委、区政府印发《关于全面强化知识产权保护暨深入推进创建省知识产权试点示范区的实施方案》海办传【2021】2号及年初工作计划</w:t>
            </w:r>
          </w:p>
          <w:p>
            <w:pPr>
              <w:pStyle w:val="13"/>
            </w:pPr>
          </w:p>
          <w:p>
            <w:pPr>
              <w:pStyle w:val="13"/>
            </w:pPr>
            <w:r>
              <w:t>"</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工作完成及时率</w:t>
            </w:r>
          </w:p>
        </w:tc>
        <w:tc>
          <w:tcPr>
            <w:tcW w:w="5386" w:type="dxa"/>
            <w:vAlign w:val="center"/>
          </w:tcPr>
          <w:p>
            <w:pPr>
              <w:pStyle w:val="13"/>
            </w:pPr>
            <w:r>
              <w:t>工作完成及时率</w:t>
            </w:r>
          </w:p>
        </w:tc>
        <w:tc>
          <w:tcPr>
            <w:tcW w:w="2268" w:type="dxa"/>
            <w:vAlign w:val="center"/>
          </w:tcPr>
          <w:p>
            <w:pPr>
              <w:pStyle w:val="13"/>
            </w:pPr>
            <w:r>
              <w:t>100%</w:t>
            </w:r>
          </w:p>
        </w:tc>
        <w:tc>
          <w:tcPr>
            <w:tcW w:w="1276" w:type="dxa"/>
            <w:vAlign w:val="center"/>
          </w:tcPr>
          <w:p>
            <w:pPr>
              <w:pStyle w:val="13"/>
            </w:pPr>
            <w:r>
              <w:t>"海港区委、区政府印发《关于全面强化知识产权保护暨深入推进创建省知识产权试点示范区的实施方案》海办传【2021】2号及年初工作计划</w:t>
            </w:r>
          </w:p>
          <w:p>
            <w:pPr>
              <w:pStyle w:val="13"/>
            </w:pPr>
          </w:p>
          <w:p>
            <w:pPr>
              <w:pStyle w:val="13"/>
            </w:pPr>
            <w:r>
              <w:t>"</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预算成本支出</w:t>
            </w:r>
          </w:p>
        </w:tc>
        <w:tc>
          <w:tcPr>
            <w:tcW w:w="5386" w:type="dxa"/>
            <w:vAlign w:val="center"/>
          </w:tcPr>
          <w:p>
            <w:pPr>
              <w:pStyle w:val="13"/>
            </w:pPr>
            <w:r>
              <w:t>实际支出小于预算数</w:t>
            </w:r>
          </w:p>
          <w:p>
            <w:pPr>
              <w:pStyle w:val="13"/>
            </w:pPr>
          </w:p>
        </w:tc>
        <w:tc>
          <w:tcPr>
            <w:tcW w:w="2268" w:type="dxa"/>
            <w:vAlign w:val="center"/>
          </w:tcPr>
          <w:p>
            <w:pPr>
              <w:pStyle w:val="13"/>
            </w:pPr>
            <w:r>
              <w:t>≤45万元</w:t>
            </w:r>
          </w:p>
        </w:tc>
        <w:tc>
          <w:tcPr>
            <w:tcW w:w="1276" w:type="dxa"/>
            <w:vAlign w:val="center"/>
          </w:tcPr>
          <w:p>
            <w:pPr>
              <w:pStyle w:val="13"/>
            </w:pPr>
            <w:r>
              <w:t>年度预算安排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降低申请人负担</w:t>
            </w:r>
          </w:p>
        </w:tc>
        <w:tc>
          <w:tcPr>
            <w:tcW w:w="5386" w:type="dxa"/>
            <w:vAlign w:val="center"/>
          </w:tcPr>
          <w:p>
            <w:pPr>
              <w:pStyle w:val="13"/>
            </w:pPr>
            <w:r>
              <w:t>降低企业、个人申请专利的成本负担，激发全民创新创造热情</w:t>
            </w:r>
          </w:p>
          <w:p>
            <w:pPr>
              <w:pStyle w:val="13"/>
            </w:pPr>
          </w:p>
        </w:tc>
        <w:tc>
          <w:tcPr>
            <w:tcW w:w="2268" w:type="dxa"/>
            <w:vAlign w:val="center"/>
          </w:tcPr>
          <w:p>
            <w:pPr>
              <w:pStyle w:val="13"/>
            </w:pPr>
            <w:r>
              <w:t>比上年有所提高</w:t>
            </w:r>
          </w:p>
        </w:tc>
        <w:tc>
          <w:tcPr>
            <w:tcW w:w="1276" w:type="dxa"/>
            <w:vAlign w:val="center"/>
          </w:tcPr>
          <w:p>
            <w:pPr>
              <w:pStyle w:val="13"/>
            </w:pPr>
            <w:r>
              <w:t>"年初工作计划和工作目标</w:t>
            </w:r>
          </w:p>
          <w:p>
            <w:pPr>
              <w:pStyle w:val="13"/>
            </w:pPr>
            <w:r>
              <w:t>"</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专利持有量持续增长</w:t>
            </w:r>
          </w:p>
        </w:tc>
        <w:tc>
          <w:tcPr>
            <w:tcW w:w="5386" w:type="dxa"/>
            <w:vAlign w:val="center"/>
          </w:tcPr>
          <w:p>
            <w:pPr>
              <w:pStyle w:val="13"/>
            </w:pPr>
            <w:r>
              <w:t>推动全市万人有效发明专利持有量持续保持增长</w:t>
            </w:r>
          </w:p>
          <w:p>
            <w:pPr>
              <w:pStyle w:val="13"/>
            </w:pPr>
          </w:p>
        </w:tc>
        <w:tc>
          <w:tcPr>
            <w:tcW w:w="2268" w:type="dxa"/>
            <w:vAlign w:val="center"/>
          </w:tcPr>
          <w:p>
            <w:pPr>
              <w:pStyle w:val="13"/>
            </w:pPr>
            <w:r>
              <w:t>比上年有所提高</w:t>
            </w:r>
          </w:p>
        </w:tc>
        <w:tc>
          <w:tcPr>
            <w:tcW w:w="1276" w:type="dxa"/>
            <w:vAlign w:val="center"/>
          </w:tcPr>
          <w:p>
            <w:pPr>
              <w:pStyle w:val="13"/>
            </w:pPr>
            <w:r>
              <w:t>"年初工作计划和工作目标</w:t>
            </w:r>
          </w:p>
          <w:p>
            <w:pPr>
              <w:pStyle w:val="13"/>
            </w:pPr>
            <w:r>
              <w:t>"</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满意和较满意的受益对象占全部调研对象的比例</w:t>
            </w:r>
          </w:p>
          <w:p>
            <w:pPr>
              <w:pStyle w:val="13"/>
            </w:pPr>
          </w:p>
        </w:tc>
        <w:tc>
          <w:tcPr>
            <w:tcW w:w="2268" w:type="dxa"/>
            <w:vAlign w:val="center"/>
          </w:tcPr>
          <w:p>
            <w:pPr>
              <w:pStyle w:val="13"/>
            </w:pPr>
            <w:r>
              <w:t>≥95%</w:t>
            </w:r>
          </w:p>
        </w:tc>
        <w:tc>
          <w:tcPr>
            <w:tcW w:w="1276" w:type="dxa"/>
            <w:vAlign w:val="center"/>
          </w:tcPr>
          <w:p>
            <w:pPr>
              <w:pStyle w:val="13"/>
            </w:pPr>
            <w:r>
              <w:t>"</w:t>
            </w:r>
          </w:p>
          <w:p>
            <w:pPr>
              <w:pStyle w:val="13"/>
            </w:pPr>
            <w:r>
              <w:t>满意度问卷调查"</w:t>
            </w:r>
          </w:p>
          <w:p>
            <w:pPr>
              <w:pStyle w:val="13"/>
            </w:pP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414秦皇岛市海港区市场监督管理局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318.81</w:t>
            </w:r>
          </w:p>
        </w:tc>
        <w:tc>
          <w:tcPr>
            <w:tcW w:w="964" w:type="dxa"/>
            <w:vAlign w:val="center"/>
          </w:tcPr>
          <w:p>
            <w:pPr>
              <w:pStyle w:val="16"/>
            </w:pPr>
            <w:r>
              <w:t>318.81</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300.06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秦皇岛市海港区市场监督管理局本级小计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318.81</w:t>
            </w:r>
          </w:p>
        </w:tc>
        <w:tc>
          <w:tcPr>
            <w:tcW w:w="964" w:type="dxa"/>
            <w:vAlign w:val="center"/>
          </w:tcPr>
          <w:p>
            <w:pPr>
              <w:pStyle w:val="16"/>
            </w:pPr>
            <w:r>
              <w:t>318.81</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300.06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240.38</w:t>
            </w:r>
          </w:p>
        </w:tc>
        <w:tc>
          <w:tcPr>
            <w:tcW w:w="1134" w:type="dxa"/>
            <w:vAlign w:val="center"/>
          </w:tcPr>
          <w:p>
            <w:pPr>
              <w:pStyle w:val="13"/>
            </w:pPr>
            <w:r>
              <w:t>汽油</w:t>
            </w:r>
          </w:p>
        </w:tc>
        <w:tc>
          <w:tcPr>
            <w:tcW w:w="1134" w:type="dxa"/>
            <w:vAlign w:val="center"/>
          </w:tcPr>
          <w:p>
            <w:pPr>
              <w:pStyle w:val="13"/>
            </w:pPr>
            <w:r>
              <w:t>A07070101</w:t>
            </w:r>
          </w:p>
        </w:tc>
        <w:tc>
          <w:tcPr>
            <w:tcW w:w="709" w:type="dxa"/>
            <w:vAlign w:val="center"/>
          </w:tcPr>
          <w:p>
            <w:pPr>
              <w:pStyle w:val="14"/>
            </w:pPr>
            <w:r>
              <w:t>项</w:t>
            </w:r>
          </w:p>
        </w:tc>
        <w:tc>
          <w:tcPr>
            <w:tcW w:w="850" w:type="dxa"/>
            <w:vAlign w:val="center"/>
          </w:tcPr>
          <w:p>
            <w:pPr>
              <w:pStyle w:val="12"/>
            </w:pPr>
            <w:r>
              <w:t>123</w:t>
            </w:r>
          </w:p>
        </w:tc>
        <w:tc>
          <w:tcPr>
            <w:tcW w:w="850" w:type="dxa"/>
            <w:vAlign w:val="center"/>
          </w:tcPr>
          <w:p>
            <w:pPr>
              <w:pStyle w:val="12"/>
            </w:pPr>
            <w:r>
              <w:t>0.08</w:t>
            </w:r>
          </w:p>
        </w:tc>
        <w:tc>
          <w:tcPr>
            <w:tcW w:w="964" w:type="dxa"/>
            <w:vAlign w:val="center"/>
          </w:tcPr>
          <w:p>
            <w:pPr>
              <w:pStyle w:val="12"/>
            </w:pPr>
            <w:r>
              <w:t>9.84</w:t>
            </w:r>
          </w:p>
        </w:tc>
        <w:tc>
          <w:tcPr>
            <w:tcW w:w="964" w:type="dxa"/>
            <w:vAlign w:val="center"/>
          </w:tcPr>
          <w:p>
            <w:pPr>
              <w:pStyle w:val="12"/>
            </w:pPr>
            <w:r>
              <w:t>9.84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240.38</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项</w:t>
            </w:r>
          </w:p>
        </w:tc>
        <w:tc>
          <w:tcPr>
            <w:tcW w:w="850" w:type="dxa"/>
            <w:vAlign w:val="center"/>
          </w:tcPr>
          <w:p>
            <w:pPr>
              <w:pStyle w:val="12"/>
            </w:pPr>
            <w:r>
              <w:t>27</w:t>
            </w:r>
          </w:p>
        </w:tc>
        <w:tc>
          <w:tcPr>
            <w:tcW w:w="850" w:type="dxa"/>
            <w:vAlign w:val="center"/>
          </w:tcPr>
          <w:p>
            <w:pPr>
              <w:pStyle w:val="12"/>
            </w:pPr>
            <w:r>
              <w:t>0.33</w:t>
            </w:r>
          </w:p>
        </w:tc>
        <w:tc>
          <w:tcPr>
            <w:tcW w:w="964" w:type="dxa"/>
            <w:vAlign w:val="center"/>
          </w:tcPr>
          <w:p>
            <w:pPr>
              <w:pStyle w:val="12"/>
            </w:pPr>
            <w:r>
              <w:t>8.91</w:t>
            </w:r>
          </w:p>
        </w:tc>
        <w:tc>
          <w:tcPr>
            <w:tcW w:w="964" w:type="dxa"/>
            <w:vAlign w:val="center"/>
          </w:tcPr>
          <w:p>
            <w:pPr>
              <w:pStyle w:val="12"/>
            </w:pPr>
            <w:r>
              <w:t>8.91</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240.38</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项</w:t>
            </w:r>
          </w:p>
        </w:tc>
        <w:tc>
          <w:tcPr>
            <w:tcW w:w="850" w:type="dxa"/>
            <w:vAlign w:val="center"/>
          </w:tcPr>
          <w:p>
            <w:pPr>
              <w:pStyle w:val="12"/>
            </w:pPr>
            <w:r>
              <w:t>50</w:t>
            </w:r>
          </w:p>
        </w:tc>
        <w:tc>
          <w:tcPr>
            <w:tcW w:w="850" w:type="dxa"/>
            <w:vAlign w:val="center"/>
          </w:tcPr>
          <w:p>
            <w:pPr>
              <w:pStyle w:val="12"/>
            </w:pPr>
            <w:r>
              <w:t>0.76</w:t>
            </w:r>
          </w:p>
        </w:tc>
        <w:tc>
          <w:tcPr>
            <w:tcW w:w="964" w:type="dxa"/>
            <w:vAlign w:val="center"/>
          </w:tcPr>
          <w:p>
            <w:pPr>
              <w:pStyle w:val="12"/>
            </w:pPr>
            <w:r>
              <w:t>38.00</w:t>
            </w:r>
          </w:p>
        </w:tc>
        <w:tc>
          <w:tcPr>
            <w:tcW w:w="964" w:type="dxa"/>
            <w:vAlign w:val="center"/>
          </w:tcPr>
          <w:p>
            <w:pPr>
              <w:pStyle w:val="12"/>
            </w:pPr>
            <w:r>
              <w:t>38.00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97.99</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箱</w:t>
            </w:r>
          </w:p>
        </w:tc>
        <w:tc>
          <w:tcPr>
            <w:tcW w:w="850" w:type="dxa"/>
            <w:vAlign w:val="center"/>
          </w:tcPr>
          <w:p>
            <w:pPr>
              <w:pStyle w:val="12"/>
            </w:pPr>
            <w:r>
              <w:t>150</w:t>
            </w:r>
          </w:p>
        </w:tc>
        <w:tc>
          <w:tcPr>
            <w:tcW w:w="850" w:type="dxa"/>
            <w:vAlign w:val="center"/>
          </w:tcPr>
          <w:p>
            <w:pPr>
              <w:pStyle w:val="12"/>
            </w:pPr>
            <w:r>
              <w:t>0.03</w:t>
            </w:r>
          </w:p>
        </w:tc>
        <w:tc>
          <w:tcPr>
            <w:tcW w:w="964" w:type="dxa"/>
            <w:vAlign w:val="center"/>
          </w:tcPr>
          <w:p>
            <w:pPr>
              <w:pStyle w:val="12"/>
            </w:pPr>
            <w:r>
              <w:t>4.50</w:t>
            </w:r>
          </w:p>
        </w:tc>
        <w:tc>
          <w:tcPr>
            <w:tcW w:w="964" w:type="dxa"/>
            <w:vAlign w:val="center"/>
          </w:tcPr>
          <w:p>
            <w:pPr>
              <w:pStyle w:val="12"/>
            </w:pPr>
            <w:r>
              <w:t>4.50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97.99</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箱</w:t>
            </w:r>
          </w:p>
        </w:tc>
        <w:tc>
          <w:tcPr>
            <w:tcW w:w="850" w:type="dxa"/>
            <w:vAlign w:val="center"/>
          </w:tcPr>
          <w:p>
            <w:pPr>
              <w:pStyle w:val="12"/>
            </w:pPr>
            <w:r>
              <w:t>110</w:t>
            </w:r>
          </w:p>
        </w:tc>
        <w:tc>
          <w:tcPr>
            <w:tcW w:w="850" w:type="dxa"/>
            <w:vAlign w:val="center"/>
          </w:tcPr>
          <w:p>
            <w:pPr>
              <w:pStyle w:val="12"/>
            </w:pPr>
            <w:r>
              <w:t>0.06</w:t>
            </w:r>
          </w:p>
        </w:tc>
        <w:tc>
          <w:tcPr>
            <w:tcW w:w="964" w:type="dxa"/>
            <w:vAlign w:val="center"/>
          </w:tcPr>
          <w:p>
            <w:pPr>
              <w:pStyle w:val="12"/>
            </w:pPr>
            <w:r>
              <w:t>6.60</w:t>
            </w:r>
          </w:p>
        </w:tc>
        <w:tc>
          <w:tcPr>
            <w:tcW w:w="964" w:type="dxa"/>
            <w:vAlign w:val="center"/>
          </w:tcPr>
          <w:p>
            <w:pPr>
              <w:pStyle w:val="12"/>
            </w:pPr>
            <w:r>
              <w:t>6.60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97.99</w:t>
            </w:r>
          </w:p>
        </w:tc>
        <w:tc>
          <w:tcPr>
            <w:tcW w:w="1134" w:type="dxa"/>
            <w:vAlign w:val="center"/>
          </w:tcPr>
          <w:p>
            <w:pPr>
              <w:pStyle w:val="13"/>
            </w:pPr>
            <w:r>
              <w:t>鼓粉盒</w:t>
            </w:r>
          </w:p>
        </w:tc>
        <w:tc>
          <w:tcPr>
            <w:tcW w:w="1134" w:type="dxa"/>
            <w:vAlign w:val="center"/>
          </w:tcPr>
          <w:p>
            <w:pPr>
              <w:pStyle w:val="13"/>
            </w:pPr>
            <w:r>
              <w:t>A05040201</w:t>
            </w:r>
          </w:p>
        </w:tc>
        <w:tc>
          <w:tcPr>
            <w:tcW w:w="709" w:type="dxa"/>
            <w:vAlign w:val="center"/>
          </w:tcPr>
          <w:p>
            <w:pPr>
              <w:pStyle w:val="14"/>
            </w:pPr>
            <w:r>
              <w:t>盒</w:t>
            </w:r>
          </w:p>
        </w:tc>
        <w:tc>
          <w:tcPr>
            <w:tcW w:w="850" w:type="dxa"/>
            <w:vAlign w:val="center"/>
          </w:tcPr>
          <w:p>
            <w:pPr>
              <w:pStyle w:val="12"/>
            </w:pPr>
            <w:r>
              <w:t>15</w:t>
            </w:r>
          </w:p>
        </w:tc>
        <w:tc>
          <w:tcPr>
            <w:tcW w:w="850" w:type="dxa"/>
            <w:vAlign w:val="center"/>
          </w:tcPr>
          <w:p>
            <w:pPr>
              <w:pStyle w:val="12"/>
            </w:pPr>
            <w:r>
              <w:t>0.15</w:t>
            </w:r>
          </w:p>
        </w:tc>
        <w:tc>
          <w:tcPr>
            <w:tcW w:w="964" w:type="dxa"/>
            <w:vAlign w:val="center"/>
          </w:tcPr>
          <w:p>
            <w:pPr>
              <w:pStyle w:val="12"/>
            </w:pPr>
            <w:r>
              <w:t>2.25</w:t>
            </w:r>
          </w:p>
        </w:tc>
        <w:tc>
          <w:tcPr>
            <w:tcW w:w="964" w:type="dxa"/>
            <w:vAlign w:val="center"/>
          </w:tcPr>
          <w:p>
            <w:pPr>
              <w:pStyle w:val="12"/>
            </w:pPr>
            <w:r>
              <w:t>2.25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97.99</w:t>
            </w:r>
          </w:p>
        </w:tc>
        <w:tc>
          <w:tcPr>
            <w:tcW w:w="1134" w:type="dxa"/>
            <w:vAlign w:val="center"/>
          </w:tcPr>
          <w:p>
            <w:pPr>
              <w:pStyle w:val="13"/>
            </w:pPr>
            <w:r>
              <w:t>墨粉盒</w:t>
            </w:r>
          </w:p>
        </w:tc>
        <w:tc>
          <w:tcPr>
            <w:tcW w:w="1134" w:type="dxa"/>
            <w:vAlign w:val="center"/>
          </w:tcPr>
          <w:p>
            <w:pPr>
              <w:pStyle w:val="13"/>
            </w:pPr>
            <w:r>
              <w:t>A05040202</w:t>
            </w:r>
          </w:p>
        </w:tc>
        <w:tc>
          <w:tcPr>
            <w:tcW w:w="709" w:type="dxa"/>
            <w:vAlign w:val="center"/>
          </w:tcPr>
          <w:p>
            <w:pPr>
              <w:pStyle w:val="14"/>
            </w:pPr>
            <w:r>
              <w:t>盒</w:t>
            </w:r>
          </w:p>
        </w:tc>
        <w:tc>
          <w:tcPr>
            <w:tcW w:w="850" w:type="dxa"/>
            <w:vAlign w:val="center"/>
          </w:tcPr>
          <w:p>
            <w:pPr>
              <w:pStyle w:val="12"/>
            </w:pPr>
            <w:r>
              <w:t>6</w:t>
            </w:r>
          </w:p>
        </w:tc>
        <w:tc>
          <w:tcPr>
            <w:tcW w:w="850" w:type="dxa"/>
            <w:vAlign w:val="center"/>
          </w:tcPr>
          <w:p>
            <w:pPr>
              <w:pStyle w:val="12"/>
            </w:pPr>
            <w:r>
              <w:t>0.60</w:t>
            </w:r>
          </w:p>
        </w:tc>
        <w:tc>
          <w:tcPr>
            <w:tcW w:w="964" w:type="dxa"/>
            <w:vAlign w:val="center"/>
          </w:tcPr>
          <w:p>
            <w:pPr>
              <w:pStyle w:val="12"/>
            </w:pPr>
            <w:r>
              <w:t>3.60</w:t>
            </w:r>
          </w:p>
        </w:tc>
        <w:tc>
          <w:tcPr>
            <w:tcW w:w="964" w:type="dxa"/>
            <w:vAlign w:val="center"/>
          </w:tcPr>
          <w:p>
            <w:pPr>
              <w:pStyle w:val="12"/>
            </w:pPr>
            <w:r>
              <w:t>3.60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97.99</w:t>
            </w:r>
          </w:p>
        </w:tc>
        <w:tc>
          <w:tcPr>
            <w:tcW w:w="1134" w:type="dxa"/>
            <w:vAlign w:val="center"/>
          </w:tcPr>
          <w:p>
            <w:pPr>
              <w:pStyle w:val="13"/>
            </w:pPr>
            <w:r>
              <w:t>暖气生产和分配服务</w:t>
            </w:r>
          </w:p>
        </w:tc>
        <w:tc>
          <w:tcPr>
            <w:tcW w:w="1134" w:type="dxa"/>
            <w:vAlign w:val="center"/>
          </w:tcPr>
          <w:p>
            <w:pPr>
              <w:pStyle w:val="13"/>
            </w:pPr>
            <w:r>
              <w:t>C08020100</w:t>
            </w:r>
          </w:p>
        </w:tc>
        <w:tc>
          <w:tcPr>
            <w:tcW w:w="709" w:type="dxa"/>
            <w:vAlign w:val="center"/>
          </w:tcPr>
          <w:p>
            <w:pPr>
              <w:pStyle w:val="14"/>
            </w:pPr>
            <w:r>
              <w:t>项</w:t>
            </w:r>
          </w:p>
        </w:tc>
        <w:tc>
          <w:tcPr>
            <w:tcW w:w="850" w:type="dxa"/>
            <w:vAlign w:val="center"/>
          </w:tcPr>
          <w:p>
            <w:pPr>
              <w:pStyle w:val="12"/>
            </w:pPr>
            <w:r>
              <w:t>9664.7</w:t>
            </w:r>
          </w:p>
        </w:tc>
        <w:tc>
          <w:tcPr>
            <w:tcW w:w="850" w:type="dxa"/>
            <w:vAlign w:val="center"/>
          </w:tcPr>
          <w:p>
            <w:pPr>
              <w:pStyle w:val="12"/>
            </w:pPr>
            <w:r>
              <w:t>0.00</w:t>
            </w:r>
          </w:p>
        </w:tc>
        <w:tc>
          <w:tcPr>
            <w:tcW w:w="964" w:type="dxa"/>
            <w:vAlign w:val="center"/>
          </w:tcPr>
          <w:p>
            <w:pPr>
              <w:pStyle w:val="12"/>
            </w:pPr>
            <w:r>
              <w:t>32.86</w:t>
            </w:r>
          </w:p>
        </w:tc>
        <w:tc>
          <w:tcPr>
            <w:tcW w:w="964" w:type="dxa"/>
            <w:vAlign w:val="center"/>
          </w:tcPr>
          <w:p>
            <w:pPr>
              <w:pStyle w:val="12"/>
            </w:pPr>
            <w:r>
              <w:t>32.86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32.86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97.99</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项</w:t>
            </w:r>
          </w:p>
        </w:tc>
        <w:tc>
          <w:tcPr>
            <w:tcW w:w="850" w:type="dxa"/>
            <w:vAlign w:val="center"/>
          </w:tcPr>
          <w:p>
            <w:pPr>
              <w:pStyle w:val="12"/>
            </w:pPr>
            <w:r>
              <w:t>722.5</w:t>
            </w:r>
          </w:p>
        </w:tc>
        <w:tc>
          <w:tcPr>
            <w:tcW w:w="850" w:type="dxa"/>
            <w:vAlign w:val="center"/>
          </w:tcPr>
          <w:p>
            <w:pPr>
              <w:pStyle w:val="12"/>
            </w:pPr>
            <w:r>
              <w:t>0.02</w:t>
            </w:r>
          </w:p>
        </w:tc>
        <w:tc>
          <w:tcPr>
            <w:tcW w:w="964" w:type="dxa"/>
            <w:vAlign w:val="center"/>
          </w:tcPr>
          <w:p>
            <w:pPr>
              <w:pStyle w:val="12"/>
            </w:pPr>
            <w:r>
              <w:t>14.45</w:t>
            </w:r>
          </w:p>
        </w:tc>
        <w:tc>
          <w:tcPr>
            <w:tcW w:w="964" w:type="dxa"/>
            <w:vAlign w:val="center"/>
          </w:tcPr>
          <w:p>
            <w:pPr>
              <w:pStyle w:val="12"/>
            </w:pPr>
            <w:r>
              <w:t>14.45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14.45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劣质散煤检查卡口人员经费（RY)</w:t>
            </w:r>
          </w:p>
        </w:tc>
        <w:tc>
          <w:tcPr>
            <w:tcW w:w="964" w:type="dxa"/>
            <w:vAlign w:val="center"/>
          </w:tcPr>
          <w:p>
            <w:pPr>
              <w:pStyle w:val="12"/>
            </w:pPr>
            <w:r>
              <w:t>47.80</w:t>
            </w:r>
          </w:p>
        </w:tc>
        <w:tc>
          <w:tcPr>
            <w:tcW w:w="1134" w:type="dxa"/>
            <w:vAlign w:val="center"/>
          </w:tcPr>
          <w:p>
            <w:pPr>
              <w:pStyle w:val="13"/>
            </w:pPr>
            <w:r>
              <w:t>燃烧煤烟污染治理服务</w:t>
            </w:r>
          </w:p>
        </w:tc>
        <w:tc>
          <w:tcPr>
            <w:tcW w:w="1134" w:type="dxa"/>
            <w:vAlign w:val="center"/>
          </w:tcPr>
          <w:p>
            <w:pPr>
              <w:pStyle w:val="13"/>
            </w:pPr>
            <w:r>
              <w:t>C07020203</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47.80</w:t>
            </w:r>
          </w:p>
        </w:tc>
        <w:tc>
          <w:tcPr>
            <w:tcW w:w="964" w:type="dxa"/>
            <w:vAlign w:val="center"/>
          </w:tcPr>
          <w:p>
            <w:pPr>
              <w:pStyle w:val="12"/>
            </w:pPr>
            <w:r>
              <w:t>47.80</w:t>
            </w:r>
          </w:p>
        </w:tc>
        <w:tc>
          <w:tcPr>
            <w:tcW w:w="964" w:type="dxa"/>
            <w:vAlign w:val="center"/>
          </w:tcPr>
          <w:p>
            <w:pPr>
              <w:pStyle w:val="12"/>
            </w:pPr>
            <w:r>
              <w:t>47.80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47.80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食品检测经费</w:t>
            </w:r>
            <w:r>
              <w:tab/>
            </w:r>
          </w:p>
        </w:tc>
        <w:tc>
          <w:tcPr>
            <w:tcW w:w="964" w:type="dxa"/>
            <w:vAlign w:val="center"/>
          </w:tcPr>
          <w:p>
            <w:pPr>
              <w:pStyle w:val="12"/>
            </w:pPr>
            <w:r>
              <w:t>100.00</w:t>
            </w:r>
          </w:p>
        </w:tc>
        <w:tc>
          <w:tcPr>
            <w:tcW w:w="1134" w:type="dxa"/>
            <w:vAlign w:val="center"/>
          </w:tcPr>
          <w:p>
            <w:pPr>
              <w:pStyle w:val="13"/>
            </w:pPr>
            <w:r>
              <w:t>食品药品安全服务</w:t>
            </w:r>
          </w:p>
        </w:tc>
        <w:tc>
          <w:tcPr>
            <w:tcW w:w="1134" w:type="dxa"/>
            <w:vAlign w:val="center"/>
          </w:tcPr>
          <w:p>
            <w:pPr>
              <w:pStyle w:val="13"/>
            </w:pPr>
            <w:r>
              <w:t>C05040200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100.00</w:t>
            </w:r>
          </w:p>
        </w:tc>
        <w:tc>
          <w:tcPr>
            <w:tcW w:w="964" w:type="dxa"/>
            <w:vAlign w:val="center"/>
          </w:tcPr>
          <w:p>
            <w:pPr>
              <w:pStyle w:val="12"/>
            </w:pPr>
            <w:r>
              <w:t>100.00</w:t>
            </w:r>
          </w:p>
        </w:tc>
        <w:tc>
          <w:tcPr>
            <w:tcW w:w="964" w:type="dxa"/>
            <w:vAlign w:val="center"/>
          </w:tcPr>
          <w:p>
            <w:pPr>
              <w:pStyle w:val="12"/>
            </w:pPr>
            <w:r>
              <w:t>100.00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市场监管经费</w:t>
            </w:r>
            <w:r>
              <w:tab/>
            </w:r>
          </w:p>
        </w:tc>
        <w:tc>
          <w:tcPr>
            <w:tcW w:w="964" w:type="dxa"/>
            <w:vAlign w:val="center"/>
          </w:tcPr>
          <w:p>
            <w:pPr>
              <w:pStyle w:val="12"/>
            </w:pPr>
            <w:r>
              <w:t>50.00</w:t>
            </w:r>
          </w:p>
        </w:tc>
        <w:tc>
          <w:tcPr>
            <w:tcW w:w="1134" w:type="dxa"/>
            <w:vAlign w:val="center"/>
          </w:tcPr>
          <w:p>
            <w:pPr>
              <w:pStyle w:val="13"/>
            </w:pPr>
            <w:r>
              <w:t>公共安全服务</w:t>
            </w:r>
          </w:p>
        </w:tc>
        <w:tc>
          <w:tcPr>
            <w:tcW w:w="1134" w:type="dxa"/>
            <w:vAlign w:val="center"/>
          </w:tcPr>
          <w:p>
            <w:pPr>
              <w:pStyle w:val="13"/>
            </w:pPr>
            <w:r>
              <w:t>C05040100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50.00</w:t>
            </w:r>
          </w:p>
        </w:tc>
        <w:tc>
          <w:tcPr>
            <w:tcW w:w="964" w:type="dxa"/>
            <w:vAlign w:val="center"/>
          </w:tcPr>
          <w:p>
            <w:pPr>
              <w:pStyle w:val="12"/>
            </w:pPr>
            <w:r>
              <w:t>50.00</w:t>
            </w:r>
          </w:p>
        </w:tc>
        <w:tc>
          <w:tcPr>
            <w:tcW w:w="964" w:type="dxa"/>
            <w:vAlign w:val="center"/>
          </w:tcPr>
          <w:p>
            <w:pPr>
              <w:pStyle w:val="12"/>
            </w:pPr>
            <w:r>
              <w:t>50.00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秦皇岛市海港区市场监督管理局（含所属单位）上年末固定资产金额为4317.58万元（详见下表）。本年度拟购置固定资产总额为0.00万元，已按要求列入政府采购预算，详见政府采购预算表。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414秦皇岛市海港区市场监督管理局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4317.58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24314.76</w:t>
            </w:r>
          </w:p>
        </w:tc>
        <w:tc>
          <w:tcPr>
            <w:tcW w:w="2835" w:type="dxa"/>
            <w:vAlign w:val="center"/>
          </w:tcPr>
          <w:p>
            <w:pPr>
              <w:pStyle w:val="12"/>
            </w:pPr>
            <w:r>
              <w:t>3257.45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24314.76</w:t>
            </w:r>
          </w:p>
        </w:tc>
        <w:tc>
          <w:tcPr>
            <w:tcW w:w="2835" w:type="dxa"/>
            <w:vAlign w:val="center"/>
          </w:tcPr>
          <w:p>
            <w:pPr>
              <w:pStyle w:val="12"/>
            </w:pPr>
            <w:r>
              <w:t>3257.45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37</w:t>
            </w:r>
          </w:p>
        </w:tc>
        <w:tc>
          <w:tcPr>
            <w:tcW w:w="2835" w:type="dxa"/>
            <w:vAlign w:val="center"/>
          </w:tcPr>
          <w:p>
            <w:pPr>
              <w:pStyle w:val="12"/>
            </w:pPr>
            <w:r>
              <w:t>450.27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1659</w:t>
            </w:r>
          </w:p>
        </w:tc>
        <w:tc>
          <w:tcPr>
            <w:tcW w:w="2835" w:type="dxa"/>
            <w:vAlign w:val="center"/>
          </w:tcPr>
          <w:p>
            <w:pPr>
              <w:pStyle w:val="12"/>
            </w:pPr>
            <w:r>
              <w:t>609.86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 w:name="Arial">
    <w:panose1 w:val="020B0604020202020204"/>
    <w:charset w:val="00"/>
    <w:family w:val="auto"/>
    <w:pitch w:val="default"/>
    <w:sig w:usb0="E0002EFF" w:usb1="C0007843" w:usb2="00000009" w:usb3="00000000" w:csb0="400001FF" w:csb1="FFFF0000"/>
  </w:font>
  <w:font w:name="????_GBK">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_GBK">
    <w:altName w:val="Segoe Print"/>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7AC258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44</Pages>
  <TotalTime>5</TotalTime>
  <ScaleCrop>false</ScaleCrop>
  <LinksUpToDate>false</LinksUpToDate>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2025-04-07T15:51:00Z</dcterms:created>
  <dc:creator>Administrator</dc:creator>
  <cp:lastModifiedBy>Administrator</cp:lastModifiedBy>
  <dcterms:modified xsi:type="dcterms:W3CDTF">2025-04-21T01:16:07Z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