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一、秦皇岛太阳城商业区事务中心本级收支预算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一、秦皇岛太阳城商业区事务中心本级收支预算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555.19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535.05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555.19</w:t>
            </w:r>
          </w:p>
        </w:tc>
        <w:tc>
          <w:tcPr>
            <w:tcW w:w="4535" w:type="dxa"/>
            <w:vAlign w:val="center"/>
          </w:tcPr>
          <w:p>
            <w:pPr>
              <w:pStyle w:val="14"/>
            </w:pPr>
            <w:r>
              <w:t>本年支出合计</w:t>
            </w:r>
          </w:p>
        </w:tc>
        <w:tc>
          <w:tcPr>
            <w:tcW w:w="2126" w:type="dxa"/>
            <w:vAlign w:val="center"/>
          </w:tcPr>
          <w:p>
            <w:pPr>
              <w:pStyle w:val="15"/>
            </w:pPr>
            <w:r>
              <w:t>555.19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555.19</w:t>
            </w:r>
          </w:p>
        </w:tc>
        <w:tc>
          <w:tcPr>
            <w:tcW w:w="4535" w:type="dxa"/>
            <w:vAlign w:val="center"/>
          </w:tcPr>
          <w:p>
            <w:pPr>
              <w:pStyle w:val="14"/>
            </w:pPr>
            <w:r>
              <w:t>支出总计</w:t>
            </w:r>
          </w:p>
        </w:tc>
        <w:tc>
          <w:tcPr>
            <w:tcW w:w="2126" w:type="dxa"/>
            <w:vAlign w:val="center"/>
          </w:tcPr>
          <w:p>
            <w:pPr>
              <w:pStyle w:val="15"/>
            </w:pPr>
            <w:r>
              <w:t>555.19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555.19</w:t>
            </w:r>
          </w:p>
        </w:tc>
        <w:tc>
          <w:tcPr>
            <w:tcW w:w="1134" w:type="dxa"/>
            <w:vAlign w:val="center"/>
          </w:tcPr>
          <w:p>
            <w:pPr>
              <w:pStyle w:val="15"/>
            </w:pPr>
            <w:r>
              <w:t>555.19</w:t>
            </w:r>
          </w:p>
        </w:tc>
        <w:tc>
          <w:tcPr>
            <w:tcW w:w="1134" w:type="dxa"/>
            <w:vAlign w:val="center"/>
          </w:tcPr>
          <w:p>
            <w:pPr>
              <w:pStyle w:val="15"/>
            </w:pPr>
            <w:r>
              <w:t>555.19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r>
              <w:t>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2.94</w:t>
            </w:r>
          </w:p>
        </w:tc>
        <w:tc>
          <w:tcPr>
            <w:tcW w:w="1134" w:type="dxa"/>
            <w:vAlign w:val="center"/>
          </w:tcPr>
          <w:p>
            <w:pPr>
              <w:pStyle w:val="11"/>
            </w:pPr>
            <w:r>
              <w:t>2.94</w:t>
            </w:r>
          </w:p>
        </w:tc>
        <w:tc>
          <w:tcPr>
            <w:tcW w:w="1134" w:type="dxa"/>
            <w:vAlign w:val="center"/>
          </w:tcPr>
          <w:p>
            <w:pPr>
              <w:pStyle w:val="11"/>
            </w:pPr>
            <w:r>
              <w:t>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2.18</w:t>
            </w:r>
          </w:p>
        </w:tc>
        <w:tc>
          <w:tcPr>
            <w:tcW w:w="1134" w:type="dxa"/>
            <w:vAlign w:val="center"/>
          </w:tcPr>
          <w:p>
            <w:pPr>
              <w:pStyle w:val="11"/>
            </w:pPr>
            <w:r>
              <w:t>2.18</w:t>
            </w:r>
          </w:p>
        </w:tc>
        <w:tc>
          <w:tcPr>
            <w:tcW w:w="1134" w:type="dxa"/>
            <w:vAlign w:val="center"/>
          </w:tcPr>
          <w:p>
            <w:pPr>
              <w:pStyle w:val="11"/>
            </w:pPr>
            <w:r>
              <w:t>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535.05</w:t>
            </w:r>
          </w:p>
        </w:tc>
        <w:tc>
          <w:tcPr>
            <w:tcW w:w="1134" w:type="dxa"/>
            <w:vAlign w:val="center"/>
          </w:tcPr>
          <w:p>
            <w:pPr>
              <w:pStyle w:val="11"/>
            </w:pPr>
            <w:r>
              <w:t>535.05</w:t>
            </w:r>
          </w:p>
        </w:tc>
        <w:tc>
          <w:tcPr>
            <w:tcW w:w="1134" w:type="dxa"/>
            <w:vAlign w:val="center"/>
          </w:tcPr>
          <w:p>
            <w:pPr>
              <w:pStyle w:val="11"/>
            </w:pPr>
            <w:r>
              <w:t>535.05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535.05</w:t>
            </w:r>
          </w:p>
        </w:tc>
        <w:tc>
          <w:tcPr>
            <w:tcW w:w="1134" w:type="dxa"/>
            <w:vAlign w:val="center"/>
          </w:tcPr>
          <w:p>
            <w:pPr>
              <w:pStyle w:val="11"/>
            </w:pPr>
            <w:r>
              <w:t>535.05</w:t>
            </w:r>
          </w:p>
        </w:tc>
        <w:tc>
          <w:tcPr>
            <w:tcW w:w="1134" w:type="dxa"/>
            <w:vAlign w:val="center"/>
          </w:tcPr>
          <w:p>
            <w:pPr>
              <w:pStyle w:val="11"/>
            </w:pPr>
            <w:r>
              <w:t>535.05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535.05</w:t>
            </w:r>
          </w:p>
        </w:tc>
        <w:tc>
          <w:tcPr>
            <w:tcW w:w="1134" w:type="dxa"/>
            <w:vAlign w:val="center"/>
          </w:tcPr>
          <w:p>
            <w:pPr>
              <w:pStyle w:val="11"/>
            </w:pPr>
            <w:r>
              <w:t>535.05</w:t>
            </w:r>
          </w:p>
        </w:tc>
        <w:tc>
          <w:tcPr>
            <w:tcW w:w="1134" w:type="dxa"/>
            <w:vAlign w:val="center"/>
          </w:tcPr>
          <w:p>
            <w:pPr>
              <w:pStyle w:val="11"/>
            </w:pPr>
            <w:r>
              <w:t>535.05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r>
              <w:t>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555.19</w:t>
            </w:r>
          </w:p>
        </w:tc>
        <w:tc>
          <w:tcPr>
            <w:tcW w:w="1361" w:type="dxa"/>
            <w:vAlign w:val="center"/>
          </w:tcPr>
          <w:p>
            <w:pPr>
              <w:pStyle w:val="15"/>
            </w:pPr>
            <w:r>
              <w:t>85.19</w:t>
            </w:r>
          </w:p>
        </w:tc>
        <w:tc>
          <w:tcPr>
            <w:tcW w:w="1361" w:type="dxa"/>
            <w:vAlign w:val="center"/>
          </w:tcPr>
          <w:p>
            <w:pPr>
              <w:pStyle w:val="15"/>
            </w:pPr>
            <w:r>
              <w:t>470.00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8.49</w:t>
            </w:r>
          </w:p>
        </w:tc>
        <w:tc>
          <w:tcPr>
            <w:tcW w:w="1361" w:type="dxa"/>
            <w:vAlign w:val="center"/>
          </w:tcPr>
          <w:p>
            <w:pPr>
              <w:pStyle w:val="11"/>
            </w:pPr>
            <w:r>
              <w:t>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8.49</w:t>
            </w:r>
          </w:p>
        </w:tc>
        <w:tc>
          <w:tcPr>
            <w:tcW w:w="1361" w:type="dxa"/>
            <w:vAlign w:val="center"/>
          </w:tcPr>
          <w:p>
            <w:pPr>
              <w:pStyle w:val="11"/>
            </w:pPr>
            <w:r>
              <w:t>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8.49</w:t>
            </w:r>
          </w:p>
        </w:tc>
        <w:tc>
          <w:tcPr>
            <w:tcW w:w="1361" w:type="dxa"/>
            <w:vAlign w:val="center"/>
          </w:tcPr>
          <w:p>
            <w:pPr>
              <w:pStyle w:val="11"/>
            </w:pPr>
            <w:r>
              <w:t>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2.94</w:t>
            </w:r>
          </w:p>
        </w:tc>
        <w:tc>
          <w:tcPr>
            <w:tcW w:w="1361" w:type="dxa"/>
            <w:vAlign w:val="center"/>
          </w:tcPr>
          <w:p>
            <w:pPr>
              <w:pStyle w:val="11"/>
            </w:pPr>
            <w:r>
              <w:t>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2.18</w:t>
            </w:r>
          </w:p>
        </w:tc>
        <w:tc>
          <w:tcPr>
            <w:tcW w:w="1361" w:type="dxa"/>
            <w:vAlign w:val="center"/>
          </w:tcPr>
          <w:p>
            <w:pPr>
              <w:pStyle w:val="11"/>
            </w:pPr>
            <w:r>
              <w:t>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535.05</w:t>
            </w:r>
          </w:p>
        </w:tc>
        <w:tc>
          <w:tcPr>
            <w:tcW w:w="1361" w:type="dxa"/>
            <w:vAlign w:val="center"/>
          </w:tcPr>
          <w:p>
            <w:pPr>
              <w:pStyle w:val="11"/>
            </w:pPr>
            <w:r>
              <w:t>65.05</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535.05</w:t>
            </w:r>
          </w:p>
        </w:tc>
        <w:tc>
          <w:tcPr>
            <w:tcW w:w="1361" w:type="dxa"/>
            <w:vAlign w:val="center"/>
          </w:tcPr>
          <w:p>
            <w:pPr>
              <w:pStyle w:val="11"/>
            </w:pPr>
            <w:r>
              <w:t>65.05</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535.05</w:t>
            </w:r>
          </w:p>
        </w:tc>
        <w:tc>
          <w:tcPr>
            <w:tcW w:w="1361" w:type="dxa"/>
            <w:vAlign w:val="center"/>
          </w:tcPr>
          <w:p>
            <w:pPr>
              <w:pStyle w:val="11"/>
            </w:pPr>
            <w:r>
              <w:t>65.05</w:t>
            </w:r>
          </w:p>
        </w:tc>
        <w:tc>
          <w:tcPr>
            <w:tcW w:w="1361" w:type="dxa"/>
            <w:vAlign w:val="center"/>
          </w:tcPr>
          <w:p>
            <w:pPr>
              <w:pStyle w:val="11"/>
            </w:pPr>
            <w:r>
              <w:t>470.00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6.53</w:t>
            </w:r>
          </w:p>
        </w:tc>
        <w:tc>
          <w:tcPr>
            <w:tcW w:w="1361" w:type="dxa"/>
            <w:vAlign w:val="center"/>
          </w:tcPr>
          <w:p>
            <w:pPr>
              <w:pStyle w:val="11"/>
            </w:pPr>
            <w:r>
              <w:t>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555.19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8.49</w:t>
            </w:r>
          </w:p>
        </w:tc>
        <w:tc>
          <w:tcPr>
            <w:tcW w:w="1474" w:type="dxa"/>
            <w:vAlign w:val="center"/>
          </w:tcPr>
          <w:p>
            <w:pPr>
              <w:pStyle w:val="11"/>
            </w:pPr>
            <w:r>
              <w:t>8.49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5.12</w:t>
            </w:r>
          </w:p>
        </w:tc>
        <w:tc>
          <w:tcPr>
            <w:tcW w:w="1474" w:type="dxa"/>
            <w:vAlign w:val="center"/>
          </w:tcPr>
          <w:p>
            <w:pPr>
              <w:pStyle w:val="11"/>
            </w:pPr>
            <w:r>
              <w:t>5.12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535.05</w:t>
            </w:r>
          </w:p>
        </w:tc>
        <w:tc>
          <w:tcPr>
            <w:tcW w:w="1474" w:type="dxa"/>
            <w:vAlign w:val="center"/>
          </w:tcPr>
          <w:p>
            <w:pPr>
              <w:pStyle w:val="11"/>
            </w:pPr>
            <w:r>
              <w:t>535.05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6.53</w:t>
            </w:r>
          </w:p>
        </w:tc>
        <w:tc>
          <w:tcPr>
            <w:tcW w:w="1474" w:type="dxa"/>
            <w:vAlign w:val="center"/>
          </w:tcPr>
          <w:p>
            <w:pPr>
              <w:pStyle w:val="11"/>
            </w:pPr>
            <w:r>
              <w:t>6.53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555.19</w:t>
            </w:r>
          </w:p>
        </w:tc>
        <w:tc>
          <w:tcPr>
            <w:tcW w:w="3402" w:type="dxa"/>
            <w:vAlign w:val="center"/>
          </w:tcPr>
          <w:p>
            <w:pPr>
              <w:pStyle w:val="14"/>
            </w:pPr>
            <w:r>
              <w:t>本年支出合计</w:t>
            </w:r>
          </w:p>
        </w:tc>
        <w:tc>
          <w:tcPr>
            <w:tcW w:w="1474" w:type="dxa"/>
            <w:vAlign w:val="center"/>
          </w:tcPr>
          <w:p>
            <w:pPr>
              <w:pStyle w:val="15"/>
            </w:pPr>
            <w:r>
              <w:t>555.19</w:t>
            </w:r>
          </w:p>
        </w:tc>
        <w:tc>
          <w:tcPr>
            <w:tcW w:w="1474" w:type="dxa"/>
            <w:vAlign w:val="center"/>
          </w:tcPr>
          <w:p>
            <w:pPr>
              <w:pStyle w:val="15"/>
            </w:pPr>
            <w:r>
              <w:t>555.19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555.19</w:t>
            </w:r>
          </w:p>
        </w:tc>
        <w:tc>
          <w:tcPr>
            <w:tcW w:w="3402" w:type="dxa"/>
            <w:vAlign w:val="center"/>
          </w:tcPr>
          <w:p>
            <w:pPr>
              <w:pStyle w:val="14"/>
            </w:pPr>
            <w:r>
              <w:t>支出总计</w:t>
            </w:r>
          </w:p>
        </w:tc>
        <w:tc>
          <w:tcPr>
            <w:tcW w:w="1474" w:type="dxa"/>
            <w:vAlign w:val="center"/>
          </w:tcPr>
          <w:p>
            <w:pPr>
              <w:pStyle w:val="15"/>
            </w:pPr>
            <w:r>
              <w:t>555.19</w:t>
            </w:r>
          </w:p>
        </w:tc>
        <w:tc>
          <w:tcPr>
            <w:tcW w:w="1474" w:type="dxa"/>
            <w:vAlign w:val="center"/>
          </w:tcPr>
          <w:p>
            <w:pPr>
              <w:pStyle w:val="15"/>
            </w:pPr>
            <w:r>
              <w:t>555.19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555.19</w:t>
            </w:r>
          </w:p>
        </w:tc>
        <w:tc>
          <w:tcPr>
            <w:tcW w:w="2551" w:type="dxa"/>
            <w:vAlign w:val="center"/>
          </w:tcPr>
          <w:p>
            <w:pPr>
              <w:pStyle w:val="15"/>
            </w:pPr>
            <w:r>
              <w:t>85.19</w:t>
            </w:r>
          </w:p>
        </w:tc>
        <w:tc>
          <w:tcPr>
            <w:tcW w:w="2551" w:type="dxa"/>
            <w:vAlign w:val="center"/>
          </w:tcPr>
          <w:p>
            <w:pPr>
              <w:pStyle w:val="15"/>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8.49</w:t>
            </w:r>
          </w:p>
        </w:tc>
        <w:tc>
          <w:tcPr>
            <w:tcW w:w="2551" w:type="dxa"/>
            <w:vAlign w:val="center"/>
          </w:tcPr>
          <w:p>
            <w:pPr>
              <w:pStyle w:val="11"/>
            </w:pPr>
            <w:r>
              <w:t>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8.49</w:t>
            </w:r>
          </w:p>
        </w:tc>
        <w:tc>
          <w:tcPr>
            <w:tcW w:w="2551" w:type="dxa"/>
            <w:vAlign w:val="center"/>
          </w:tcPr>
          <w:p>
            <w:pPr>
              <w:pStyle w:val="11"/>
            </w:pPr>
            <w:r>
              <w:t>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8.49</w:t>
            </w:r>
          </w:p>
        </w:tc>
        <w:tc>
          <w:tcPr>
            <w:tcW w:w="2551" w:type="dxa"/>
            <w:vAlign w:val="center"/>
          </w:tcPr>
          <w:p>
            <w:pPr>
              <w:pStyle w:val="11"/>
            </w:pPr>
            <w:r>
              <w:t>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2.94</w:t>
            </w:r>
          </w:p>
        </w:tc>
        <w:tc>
          <w:tcPr>
            <w:tcW w:w="2551" w:type="dxa"/>
            <w:vAlign w:val="center"/>
          </w:tcPr>
          <w:p>
            <w:pPr>
              <w:pStyle w:val="11"/>
            </w:pPr>
            <w:r>
              <w:t>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2.18</w:t>
            </w:r>
          </w:p>
        </w:tc>
        <w:tc>
          <w:tcPr>
            <w:tcW w:w="2551" w:type="dxa"/>
            <w:vAlign w:val="center"/>
          </w:tcPr>
          <w:p>
            <w:pPr>
              <w:pStyle w:val="11"/>
            </w:pPr>
            <w:r>
              <w:t>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535.05</w:t>
            </w:r>
          </w:p>
        </w:tc>
        <w:tc>
          <w:tcPr>
            <w:tcW w:w="2551" w:type="dxa"/>
            <w:vAlign w:val="center"/>
          </w:tcPr>
          <w:p>
            <w:pPr>
              <w:pStyle w:val="11"/>
            </w:pPr>
            <w:r>
              <w:t>65.05</w:t>
            </w: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535.05</w:t>
            </w:r>
          </w:p>
        </w:tc>
        <w:tc>
          <w:tcPr>
            <w:tcW w:w="2551" w:type="dxa"/>
            <w:vAlign w:val="center"/>
          </w:tcPr>
          <w:p>
            <w:pPr>
              <w:pStyle w:val="11"/>
            </w:pPr>
            <w:r>
              <w:t>65.05</w:t>
            </w: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535.05</w:t>
            </w:r>
          </w:p>
        </w:tc>
        <w:tc>
          <w:tcPr>
            <w:tcW w:w="2551" w:type="dxa"/>
            <w:vAlign w:val="center"/>
          </w:tcPr>
          <w:p>
            <w:pPr>
              <w:pStyle w:val="11"/>
            </w:pPr>
            <w:r>
              <w:t>65.05</w:t>
            </w:r>
          </w:p>
        </w:tc>
        <w:tc>
          <w:tcPr>
            <w:tcW w:w="2551" w:type="dxa"/>
            <w:vAlign w:val="center"/>
          </w:tcPr>
          <w:p>
            <w:pPr>
              <w:pStyle w:val="11"/>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85.19</w:t>
            </w:r>
          </w:p>
        </w:tc>
        <w:tc>
          <w:tcPr>
            <w:tcW w:w="2551" w:type="dxa"/>
            <w:vAlign w:val="center"/>
          </w:tcPr>
          <w:p>
            <w:pPr>
              <w:pStyle w:val="15"/>
            </w:pPr>
            <w:r>
              <w:t>82.61</w:t>
            </w:r>
          </w:p>
        </w:tc>
        <w:tc>
          <w:tcPr>
            <w:tcW w:w="2551" w:type="dxa"/>
            <w:vAlign w:val="center"/>
          </w:tcPr>
          <w:p>
            <w:pPr>
              <w:pStyle w:val="15"/>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82.61</w:t>
            </w:r>
          </w:p>
        </w:tc>
        <w:tc>
          <w:tcPr>
            <w:tcW w:w="2551" w:type="dxa"/>
            <w:vAlign w:val="center"/>
          </w:tcPr>
          <w:p>
            <w:pPr>
              <w:pStyle w:val="11"/>
            </w:pPr>
            <w:r>
              <w:t>82.61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25.27</w:t>
            </w:r>
          </w:p>
        </w:tc>
        <w:tc>
          <w:tcPr>
            <w:tcW w:w="2551" w:type="dxa"/>
            <w:vAlign w:val="center"/>
          </w:tcPr>
          <w:p>
            <w:pPr>
              <w:pStyle w:val="11"/>
            </w:pPr>
            <w:r>
              <w:t>25.27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4.64</w:t>
            </w:r>
          </w:p>
        </w:tc>
        <w:tc>
          <w:tcPr>
            <w:tcW w:w="2551" w:type="dxa"/>
            <w:vAlign w:val="center"/>
          </w:tcPr>
          <w:p>
            <w:pPr>
              <w:pStyle w:val="11"/>
            </w:pPr>
            <w:r>
              <w:t>4.64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32.03</w:t>
            </w:r>
          </w:p>
        </w:tc>
        <w:tc>
          <w:tcPr>
            <w:tcW w:w="2551" w:type="dxa"/>
            <w:vAlign w:val="center"/>
          </w:tcPr>
          <w:p>
            <w:pPr>
              <w:pStyle w:val="11"/>
            </w:pPr>
            <w:r>
              <w:t>32.03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8.49</w:t>
            </w:r>
          </w:p>
        </w:tc>
        <w:tc>
          <w:tcPr>
            <w:tcW w:w="2551" w:type="dxa"/>
            <w:vAlign w:val="center"/>
          </w:tcPr>
          <w:p>
            <w:pPr>
              <w:pStyle w:val="11"/>
            </w:pPr>
            <w:r>
              <w:t>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2.94</w:t>
            </w:r>
          </w:p>
        </w:tc>
        <w:tc>
          <w:tcPr>
            <w:tcW w:w="2551" w:type="dxa"/>
            <w:vAlign w:val="center"/>
          </w:tcPr>
          <w:p>
            <w:pPr>
              <w:pStyle w:val="11"/>
            </w:pPr>
            <w:r>
              <w:t>2.94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2.18</w:t>
            </w:r>
          </w:p>
        </w:tc>
        <w:tc>
          <w:tcPr>
            <w:tcW w:w="2551" w:type="dxa"/>
            <w:vAlign w:val="center"/>
          </w:tcPr>
          <w:p>
            <w:pPr>
              <w:pStyle w:val="11"/>
            </w:pPr>
            <w:r>
              <w:t>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0.53</w:t>
            </w:r>
          </w:p>
        </w:tc>
        <w:tc>
          <w:tcPr>
            <w:tcW w:w="2551" w:type="dxa"/>
            <w:vAlign w:val="center"/>
          </w:tcPr>
          <w:p>
            <w:pPr>
              <w:pStyle w:val="11"/>
            </w:pPr>
            <w:r>
              <w:t>0.53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0.02</w:t>
            </w:r>
          </w:p>
        </w:tc>
        <w:tc>
          <w:tcPr>
            <w:tcW w:w="2551" w:type="dxa"/>
            <w:vAlign w:val="center"/>
          </w:tcPr>
          <w:p>
            <w:pPr>
              <w:pStyle w:val="11"/>
            </w:pPr>
          </w:p>
        </w:tc>
        <w:tc>
          <w:tcPr>
            <w:tcW w:w="2551"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0.02</w:t>
            </w:r>
          </w:p>
        </w:tc>
        <w:tc>
          <w:tcPr>
            <w:tcW w:w="2381" w:type="dxa"/>
            <w:vAlign w:val="center"/>
          </w:tcPr>
          <w:p>
            <w:pPr>
              <w:pStyle w:val="15"/>
            </w:pPr>
            <w:r>
              <w:t>0.02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0.02</w:t>
            </w:r>
          </w:p>
        </w:tc>
        <w:tc>
          <w:tcPr>
            <w:tcW w:w="2381" w:type="dxa"/>
            <w:vAlign w:val="center"/>
          </w:tcPr>
          <w:p>
            <w:pPr>
              <w:pStyle w:val="11"/>
            </w:pPr>
            <w:r>
              <w:t>0.02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0.02</w:t>
            </w:r>
          </w:p>
        </w:tc>
        <w:tc>
          <w:tcPr>
            <w:tcW w:w="2381" w:type="dxa"/>
            <w:vAlign w:val="center"/>
          </w:tcPr>
          <w:p>
            <w:pPr>
              <w:pStyle w:val="11"/>
            </w:pPr>
            <w:r>
              <w:t>0.02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秦皇岛太阳城商业区事务中心本级2025年单位预算信息公开情况说明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按照《中华人民共和国预算法》、《地方预决算公开操作规程》和《关于进一步推进预算公开工作的实施意见》规定，现将秦皇岛太阳城商业区事务中心本级2025年单位预算公开如下：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1、编制太阳城商业区经济、社会发展的总体规划，报区政府批准后实施；</w:t>
      </w:r>
    </w:p>
    <w:p>
      <w:pPr>
        <w:pStyle w:val="17"/>
      </w:pPr>
      <w:r>
        <w:t>2、开展调查研究，及时向区政府提出太阳城商业区发展意见，为领导决策服务；</w:t>
      </w:r>
    </w:p>
    <w:p>
      <w:pPr>
        <w:pStyle w:val="17"/>
      </w:pPr>
      <w:r>
        <w:t>3、根据太阳城商业区不同阶段发展情况，研究制定其发展政策，报区政府审批后实施；</w:t>
      </w:r>
    </w:p>
    <w:p>
      <w:pPr>
        <w:pStyle w:val="17"/>
      </w:pPr>
      <w:r>
        <w:t>4、负责对太阳城商业区内工商企业、经营业户的日常管理和服务；</w:t>
      </w:r>
    </w:p>
    <w:p>
      <w:pPr>
        <w:pStyle w:val="17"/>
      </w:pPr>
      <w:r>
        <w:t>5、负责太阳城商业区的招商引资和涉外经济活动；</w:t>
      </w:r>
    </w:p>
    <w:p>
      <w:pPr>
        <w:pStyle w:val="17"/>
      </w:pPr>
      <w:r>
        <w:t>6、领导和指导市、区有关部门设在商业区分支机构的工作，负责对工商、税务、金融、保险、土地、技术监督、城管、环保、邮政、电信等机构的监督与协调。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秦皇岛太阳城商业区事务中心本级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555.19万元，其中：一般公共预算收入555.19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太阳城商业区事务中心本级年度单位预算中支出预算的总体情况。2025年支出预算555.19万元，其中基本支出85.19万元，包括人员经费82.61万元和日常公用经费2.58万元；项目支出470.00万元，主要为差额人员补助450.00万元和城区公共基础设施维护费20.00万元。</w:t>
      </w:r>
    </w:p>
    <w:p>
      <w:pPr>
        <w:pStyle w:val="18"/>
      </w:pPr>
      <w:r>
        <w:t>3、比上年增减情况</w:t>
      </w:r>
    </w:p>
    <w:p>
      <w:pPr>
        <w:pStyle w:val="18"/>
      </w:pPr>
      <w:r>
        <w:t>2025年预算收支安排555.19万元，较2024年预算减少26.26万元，其中：基本支出减少16.26万元，主要为在职人员基本工资、津贴补贴、保险及公积金减少；项目支出减少10.00万元，主要为城区公共基础设施维护费项目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0.02万元，其中因公出国（境）费0.00万元；公务用车购置及运维费0.00万元（其中：公务用车购置费为0.00万元，公务用车运维费0.00万元)；公务接待费0.02万元。与2024年相比增加0.02万元，增减变化的主要原因是单位本年业务活动需要，导致公务接待费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1、差额人员补助（RY）绩效目标表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13030225P00016110005K</w:t>
            </w:r>
          </w:p>
        </w:tc>
        <w:tc>
          <w:tcPr>
            <w:tcW w:w="2835" w:type="dxa"/>
            <w:vAlign w:val="center"/>
          </w:tcPr>
          <w:p>
            <w:pPr>
              <w:pStyle w:val="10"/>
            </w:pPr>
            <w:r>
              <w:t>项目名称</w:t>
            </w:r>
          </w:p>
        </w:tc>
        <w:tc>
          <w:tcPr>
            <w:tcW w:w="6095" w:type="dxa"/>
            <w:gridSpan w:val="3"/>
            <w:vAlign w:val="center"/>
          </w:tcPr>
          <w:p>
            <w:pPr>
              <w:pStyle w:val="12"/>
            </w:pPr>
            <w:r>
              <w:t>差额人员补助（RY）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用于支付2025年差额人员工资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180.00</w:t>
            </w:r>
          </w:p>
        </w:tc>
        <w:tc>
          <w:tcPr>
            <w:tcW w:w="2835" w:type="dxa"/>
            <w:vAlign w:val="center"/>
          </w:tcPr>
          <w:p>
            <w:pPr>
              <w:pStyle w:val="13"/>
            </w:pPr>
            <w:r>
              <w:t>315.00</w:t>
            </w:r>
          </w:p>
        </w:tc>
        <w:tc>
          <w:tcPr>
            <w:tcW w:w="2551" w:type="dxa"/>
            <w:vAlign w:val="center"/>
          </w:tcPr>
          <w:p>
            <w:pPr>
              <w:pStyle w:val="13"/>
            </w:pPr>
            <w:r>
              <w:t>405.00</w:t>
            </w:r>
          </w:p>
        </w:tc>
        <w:tc>
          <w:tcPr>
            <w:tcW w:w="3544" w:type="dxa"/>
            <w:gridSpan w:val="2"/>
            <w:vAlign w:val="center"/>
          </w:tcPr>
          <w:p>
            <w:pPr>
              <w:pStyle w:val="13"/>
            </w:pPr>
            <w:r>
              <w:t>450.00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1.保持太阳城工作队伍稳定，提升管理水平完成太阳城城区卫生达标</w:t>
            </w:r>
          </w:p>
          <w:p>
            <w:pPr>
              <w:pStyle w:val="12"/>
            </w:pPr>
            <w:r>
              <w:t>2.通过项目实施，职工生活得到保障</w:t>
            </w:r>
          </w:p>
          <w:p>
            <w:pPr>
              <w:pStyle w:val="12"/>
            </w:pPr>
            <w:r>
              <w:t>3.完成太阳城城区秩序管理，保障工作顺利进行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非银行化人员工资发放人数</w:t>
            </w:r>
          </w:p>
        </w:tc>
        <w:tc>
          <w:tcPr>
            <w:tcW w:w="5386" w:type="dxa"/>
            <w:vAlign w:val="center"/>
          </w:tcPr>
          <w:p>
            <w:pPr>
              <w:pStyle w:val="12"/>
            </w:pPr>
            <w:r>
              <w:t>非银行化人员工资发放人数</w:t>
            </w:r>
          </w:p>
        </w:tc>
        <w:tc>
          <w:tcPr>
            <w:tcW w:w="2268" w:type="dxa"/>
            <w:vAlign w:val="center"/>
          </w:tcPr>
          <w:p>
            <w:pPr>
              <w:pStyle w:val="12"/>
            </w:pPr>
            <w:r>
              <w:t>36人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非银行化人员工资发放准确性</w:t>
            </w:r>
          </w:p>
        </w:tc>
        <w:tc>
          <w:tcPr>
            <w:tcW w:w="5386" w:type="dxa"/>
            <w:vAlign w:val="center"/>
          </w:tcPr>
          <w:p>
            <w:pPr>
              <w:pStyle w:val="12"/>
            </w:pPr>
            <w:r>
              <w:t>非银行化人员工资发放准确性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非银行化人员工资发放及时率</w:t>
            </w:r>
          </w:p>
        </w:tc>
        <w:tc>
          <w:tcPr>
            <w:tcW w:w="5386" w:type="dxa"/>
            <w:vAlign w:val="center"/>
          </w:tcPr>
          <w:p>
            <w:pPr>
              <w:pStyle w:val="12"/>
            </w:pPr>
            <w:r>
              <w:t>非银行化人员工资发放及时率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人均工资、保险支出金额</w:t>
            </w:r>
          </w:p>
        </w:tc>
        <w:tc>
          <w:tcPr>
            <w:tcW w:w="5386" w:type="dxa"/>
            <w:vAlign w:val="center"/>
          </w:tcPr>
          <w:p>
            <w:pPr>
              <w:pStyle w:val="12"/>
            </w:pPr>
            <w:r>
              <w:t>人均工资、保险支出金额</w:t>
            </w:r>
          </w:p>
        </w:tc>
        <w:tc>
          <w:tcPr>
            <w:tcW w:w="2268" w:type="dxa"/>
            <w:vAlign w:val="center"/>
          </w:tcPr>
          <w:p>
            <w:pPr>
              <w:pStyle w:val="12"/>
            </w:pPr>
            <w:r>
              <w:t>≤10769.23元/人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职工生活得到保障</w:t>
            </w:r>
          </w:p>
        </w:tc>
        <w:tc>
          <w:tcPr>
            <w:tcW w:w="5386" w:type="dxa"/>
            <w:vAlign w:val="center"/>
          </w:tcPr>
          <w:p>
            <w:pPr>
              <w:pStyle w:val="12"/>
            </w:pPr>
            <w:r>
              <w:t>职工生活得到保障</w:t>
            </w:r>
          </w:p>
        </w:tc>
        <w:tc>
          <w:tcPr>
            <w:tcW w:w="2268" w:type="dxa"/>
            <w:vAlign w:val="center"/>
          </w:tcPr>
          <w:p>
            <w:pPr>
              <w:pStyle w:val="12"/>
            </w:pPr>
            <w:r>
              <w:t>比上年有所提高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完成太阳城城区秩序管理，保障工作顺利进行</w:t>
            </w:r>
          </w:p>
        </w:tc>
        <w:tc>
          <w:tcPr>
            <w:tcW w:w="5386" w:type="dxa"/>
            <w:vAlign w:val="center"/>
          </w:tcPr>
          <w:p>
            <w:pPr>
              <w:pStyle w:val="12"/>
            </w:pPr>
            <w:r>
              <w:t>完成太阳城城区秩序管理，保障工作顺利进行</w:t>
            </w:r>
          </w:p>
        </w:tc>
        <w:tc>
          <w:tcPr>
            <w:tcW w:w="2268" w:type="dxa"/>
            <w:vAlign w:val="center"/>
          </w:tcPr>
          <w:p>
            <w:pPr>
              <w:pStyle w:val="12"/>
            </w:pPr>
            <w:r>
              <w:t>比上年有所提高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本单位非银行人员满意度</w:t>
            </w:r>
          </w:p>
        </w:tc>
        <w:tc>
          <w:tcPr>
            <w:tcW w:w="5386" w:type="dxa"/>
            <w:vAlign w:val="center"/>
          </w:tcPr>
          <w:p>
            <w:pPr>
              <w:pStyle w:val="12"/>
            </w:pPr>
            <w:r>
              <w:t>调查中满意人数占调查总人数比例</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2、城区公共基础设施维护费绩效目标表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13030225P00016110024P</w:t>
            </w:r>
          </w:p>
        </w:tc>
        <w:tc>
          <w:tcPr>
            <w:tcW w:w="2835" w:type="dxa"/>
            <w:vAlign w:val="center"/>
          </w:tcPr>
          <w:p>
            <w:pPr>
              <w:pStyle w:val="10"/>
            </w:pPr>
            <w:r>
              <w:t>项目名称</w:t>
            </w:r>
          </w:p>
        </w:tc>
        <w:tc>
          <w:tcPr>
            <w:tcW w:w="6095" w:type="dxa"/>
            <w:gridSpan w:val="3"/>
            <w:vAlign w:val="center"/>
          </w:tcPr>
          <w:p>
            <w:pPr>
              <w:pStyle w:val="12"/>
            </w:pPr>
            <w:r>
              <w:t>城区公共基础设施维护费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预算金额20万元，主要用于太阳城商业区城区保洁、垃圾清运所产生的人员经费、机械费用等。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1.保证城区美化、完善秩序管理</w:t>
            </w:r>
          </w:p>
          <w:p>
            <w:pPr>
              <w:pStyle w:val="12"/>
            </w:pPr>
            <w:r>
              <w:t>2.维持良好城区秩序，保证城区管理正常运转</w:t>
            </w:r>
          </w:p>
          <w:p>
            <w:pPr>
              <w:pStyle w:val="12"/>
            </w:pPr>
            <w:r>
              <w:t>3.完善城区基础设施，城区市容环境干净整洁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保洁区域面积</w:t>
            </w:r>
          </w:p>
        </w:tc>
        <w:tc>
          <w:tcPr>
            <w:tcW w:w="5386" w:type="dxa"/>
            <w:vAlign w:val="center"/>
          </w:tcPr>
          <w:p>
            <w:pPr>
              <w:pStyle w:val="12"/>
            </w:pPr>
            <w:r>
              <w:t>保洁区域面积</w:t>
            </w:r>
          </w:p>
        </w:tc>
        <w:tc>
          <w:tcPr>
            <w:tcW w:w="2268" w:type="dxa"/>
            <w:vAlign w:val="center"/>
          </w:tcPr>
          <w:p>
            <w:pPr>
              <w:pStyle w:val="12"/>
            </w:pPr>
            <w:r>
              <w:t>≥15万平方米</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环境卫生达标率</w:t>
            </w:r>
          </w:p>
        </w:tc>
        <w:tc>
          <w:tcPr>
            <w:tcW w:w="5386" w:type="dxa"/>
            <w:vAlign w:val="center"/>
          </w:tcPr>
          <w:p>
            <w:pPr>
              <w:pStyle w:val="12"/>
            </w:pPr>
            <w:r>
              <w:t>环境卫生达标率</w:t>
            </w:r>
          </w:p>
        </w:tc>
        <w:tc>
          <w:tcPr>
            <w:tcW w:w="2268" w:type="dxa"/>
            <w:vAlign w:val="center"/>
          </w:tcPr>
          <w:p>
            <w:pPr>
              <w:pStyle w:val="12"/>
            </w:pPr>
            <w:r>
              <w:t>≥90%</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保洁人员上岗率</w:t>
            </w:r>
          </w:p>
        </w:tc>
        <w:tc>
          <w:tcPr>
            <w:tcW w:w="5386" w:type="dxa"/>
            <w:vAlign w:val="center"/>
          </w:tcPr>
          <w:p>
            <w:pPr>
              <w:pStyle w:val="12"/>
            </w:pPr>
            <w:r>
              <w:t>保洁人员上岗率</w:t>
            </w:r>
          </w:p>
        </w:tc>
        <w:tc>
          <w:tcPr>
            <w:tcW w:w="2268" w:type="dxa"/>
            <w:vAlign w:val="center"/>
          </w:tcPr>
          <w:p>
            <w:pPr>
              <w:pStyle w:val="12"/>
            </w:pPr>
            <w:r>
              <w:t>100%</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保洁质量合格率</w:t>
            </w:r>
          </w:p>
        </w:tc>
        <w:tc>
          <w:tcPr>
            <w:tcW w:w="5386" w:type="dxa"/>
            <w:vAlign w:val="center"/>
          </w:tcPr>
          <w:p>
            <w:pPr>
              <w:pStyle w:val="12"/>
            </w:pPr>
            <w:r>
              <w:t>保洁质量合格率</w:t>
            </w:r>
          </w:p>
        </w:tc>
        <w:tc>
          <w:tcPr>
            <w:tcW w:w="2268" w:type="dxa"/>
            <w:vAlign w:val="center"/>
          </w:tcPr>
          <w:p>
            <w:pPr>
              <w:pStyle w:val="12"/>
            </w:pPr>
            <w:r>
              <w:t>≥95%</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保洁人员工作完成及时率</w:t>
            </w:r>
          </w:p>
        </w:tc>
        <w:tc>
          <w:tcPr>
            <w:tcW w:w="5386" w:type="dxa"/>
            <w:vAlign w:val="center"/>
          </w:tcPr>
          <w:p>
            <w:pPr>
              <w:pStyle w:val="12"/>
            </w:pPr>
            <w:r>
              <w:t>保洁人员工作完成及时率</w:t>
            </w:r>
          </w:p>
        </w:tc>
        <w:tc>
          <w:tcPr>
            <w:tcW w:w="2268" w:type="dxa"/>
            <w:vAlign w:val="center"/>
          </w:tcPr>
          <w:p>
            <w:pPr>
              <w:pStyle w:val="12"/>
            </w:pPr>
            <w:r>
              <w:t>100%</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≤20万元</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完善城区基础设施，城区市容环境干净整洁</w:t>
            </w:r>
          </w:p>
        </w:tc>
        <w:tc>
          <w:tcPr>
            <w:tcW w:w="5386" w:type="dxa"/>
            <w:vAlign w:val="center"/>
          </w:tcPr>
          <w:p>
            <w:pPr>
              <w:pStyle w:val="12"/>
            </w:pPr>
            <w:r>
              <w:t>完善城区基础设施，城区市容环境干净整洁</w:t>
            </w:r>
          </w:p>
        </w:tc>
        <w:tc>
          <w:tcPr>
            <w:tcW w:w="2268" w:type="dxa"/>
            <w:vAlign w:val="center"/>
          </w:tcPr>
          <w:p>
            <w:pPr>
              <w:pStyle w:val="12"/>
            </w:pPr>
            <w:r>
              <w:t>比上年有所提高</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保证城区美化、完善秩序管理</w:t>
            </w:r>
          </w:p>
        </w:tc>
        <w:tc>
          <w:tcPr>
            <w:tcW w:w="5386" w:type="dxa"/>
            <w:vAlign w:val="center"/>
          </w:tcPr>
          <w:p>
            <w:pPr>
              <w:pStyle w:val="12"/>
            </w:pPr>
            <w:r>
              <w:t>保证城区美化、完善秩序管理</w:t>
            </w:r>
          </w:p>
        </w:tc>
        <w:tc>
          <w:tcPr>
            <w:tcW w:w="2268" w:type="dxa"/>
            <w:vAlign w:val="center"/>
          </w:tcPr>
          <w:p>
            <w:pPr>
              <w:pStyle w:val="12"/>
            </w:pPr>
            <w:r>
              <w:t>比上年有所提高</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维持良好城区秩序，保证城区管理正常运转</w:t>
            </w:r>
          </w:p>
        </w:tc>
        <w:tc>
          <w:tcPr>
            <w:tcW w:w="5386" w:type="dxa"/>
            <w:vAlign w:val="center"/>
          </w:tcPr>
          <w:p>
            <w:pPr>
              <w:pStyle w:val="12"/>
            </w:pPr>
            <w:r>
              <w:t>维持良好城区秩序，保证城区管理正常运转</w:t>
            </w:r>
          </w:p>
        </w:tc>
        <w:tc>
          <w:tcPr>
            <w:tcW w:w="2268" w:type="dxa"/>
            <w:vAlign w:val="center"/>
          </w:tcPr>
          <w:p>
            <w:pPr>
              <w:pStyle w:val="12"/>
            </w:pPr>
            <w:r>
              <w:t>比上年有所提高</w:t>
            </w:r>
          </w:p>
        </w:tc>
        <w:tc>
          <w:tcPr>
            <w:tcW w:w="1276" w:type="dxa"/>
            <w:vAlign w:val="center"/>
          </w:tcPr>
          <w:p>
            <w:pPr>
              <w:pStyle w:val="12"/>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城区商户及游客满意度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合同约定及年初工作计划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20.43</w:t>
            </w:r>
          </w:p>
        </w:tc>
        <w:tc>
          <w:tcPr>
            <w:tcW w:w="964" w:type="dxa"/>
            <w:vAlign w:val="center"/>
          </w:tcPr>
          <w:p>
            <w:pPr>
              <w:pStyle w:val="15"/>
            </w:pPr>
            <w:r>
              <w:t>20.43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秦皇岛太阳城商业区事务中心本级小计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20.43</w:t>
            </w:r>
          </w:p>
        </w:tc>
        <w:tc>
          <w:tcPr>
            <w:tcW w:w="964" w:type="dxa"/>
            <w:vAlign w:val="center"/>
          </w:tcPr>
          <w:p>
            <w:pPr>
              <w:pStyle w:val="15"/>
            </w:pPr>
            <w:r>
              <w:t>20.43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城区公共基础设施维护费</w:t>
            </w:r>
          </w:p>
        </w:tc>
        <w:tc>
          <w:tcPr>
            <w:tcW w:w="964" w:type="dxa"/>
            <w:vAlign w:val="center"/>
          </w:tcPr>
          <w:p>
            <w:pPr>
              <w:pStyle w:val="11"/>
            </w:pPr>
            <w:r>
              <w:t>20.00</w:t>
            </w:r>
          </w:p>
        </w:tc>
        <w:tc>
          <w:tcPr>
            <w:tcW w:w="1134" w:type="dxa"/>
            <w:vAlign w:val="center"/>
          </w:tcPr>
          <w:p>
            <w:pPr>
              <w:pStyle w:val="12"/>
            </w:pPr>
            <w:r>
              <w:t>其他城镇公共卫生服务</w:t>
            </w:r>
          </w:p>
        </w:tc>
        <w:tc>
          <w:tcPr>
            <w:tcW w:w="1134" w:type="dxa"/>
            <w:vAlign w:val="center"/>
          </w:tcPr>
          <w:p>
            <w:pPr>
              <w:pStyle w:val="12"/>
            </w:pPr>
            <w:r>
              <w:t>C13059900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秦皇岛太阳城商业区事务中心本级上年末固定资产金额为338.73万元（详见下表）。本年度拟购置固定资产总额为0.00万元，已按要求列入政府采购预算，详见政府采购预算表。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437001秦皇岛太阳城商业区事务中心本级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183.26</w:t>
            </w:r>
          </w:p>
        </w:tc>
        <w:tc>
          <w:tcPr>
            <w:tcW w:w="2835" w:type="dxa"/>
            <w:vAlign w:val="center"/>
          </w:tcPr>
          <w:p>
            <w:pPr>
              <w:pStyle w:val="11"/>
            </w:pPr>
            <w:r>
              <w:t>59.81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76.79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868</w:t>
            </w:r>
          </w:p>
        </w:tc>
        <w:tc>
          <w:tcPr>
            <w:tcW w:w="2835" w:type="dxa"/>
            <w:vAlign w:val="center"/>
          </w:tcPr>
          <w:p>
            <w:pPr>
              <w:pStyle w:val="11"/>
            </w:pPr>
            <w:r>
              <w:t>172.63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5670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2025-04-02T15:07:00Z</dcterms:created>
  <dc:creator>Administrator</dc:creator>
  <cp:lastModifiedBy>Administrator</cp:lastModifiedBy>
  <dcterms:modified xsi:type="dcterms:W3CDTF">2025-04-02T07:02:19Z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502BC47827ED42F9BC2C89B22BE6CA00</vt:lpwstr>
  </property>
</Properties>
</file>