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977秦皇岛市海港区西港新城开发建设办公室</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115.74</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5.79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90.53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115.74</w:t>
            </w:r>
          </w:p>
        </w:tc>
        <w:tc>
          <w:tcPr>
            <w:tcW w:w="4535" w:type="dxa"/>
            <w:vAlign w:val="center"/>
          </w:tcPr>
          <w:p>
            <w:pPr>
              <w:pStyle w:val="15"/>
            </w:pPr>
            <w:r>
              <w:t>本年支出合计</w:t>
            </w:r>
          </w:p>
        </w:tc>
        <w:tc>
          <w:tcPr>
            <w:tcW w:w="2126" w:type="dxa"/>
            <w:vAlign w:val="center"/>
          </w:tcPr>
          <w:p>
            <w:pPr>
              <w:pStyle w:val="16"/>
            </w:pPr>
            <w:r>
              <w:t>115.74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115.74</w:t>
            </w:r>
          </w:p>
        </w:tc>
        <w:tc>
          <w:tcPr>
            <w:tcW w:w="4535" w:type="dxa"/>
            <w:vAlign w:val="center"/>
          </w:tcPr>
          <w:p>
            <w:pPr>
              <w:pStyle w:val="15"/>
            </w:pPr>
            <w:r>
              <w:t>支出总计</w:t>
            </w:r>
          </w:p>
        </w:tc>
        <w:tc>
          <w:tcPr>
            <w:tcW w:w="2126" w:type="dxa"/>
            <w:vAlign w:val="center"/>
          </w:tcPr>
          <w:p>
            <w:pPr>
              <w:pStyle w:val="16"/>
            </w:pPr>
            <w:r>
              <w:t>115.74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977秦皇岛市海港区西港新城开发建设办公室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115.74</w:t>
            </w:r>
          </w:p>
        </w:tc>
        <w:tc>
          <w:tcPr>
            <w:tcW w:w="1134" w:type="dxa"/>
            <w:vAlign w:val="center"/>
          </w:tcPr>
          <w:p>
            <w:pPr>
              <w:pStyle w:val="16"/>
            </w:pPr>
            <w:r>
              <w:t>115.74</w:t>
            </w:r>
          </w:p>
        </w:tc>
        <w:tc>
          <w:tcPr>
            <w:tcW w:w="1134" w:type="dxa"/>
            <w:vAlign w:val="center"/>
          </w:tcPr>
          <w:p>
            <w:pPr>
              <w:pStyle w:val="16"/>
            </w:pPr>
            <w:r>
              <w:t>115.74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12.43</w:t>
            </w:r>
          </w:p>
        </w:tc>
        <w:tc>
          <w:tcPr>
            <w:tcW w:w="1134" w:type="dxa"/>
            <w:vAlign w:val="center"/>
          </w:tcPr>
          <w:p>
            <w:pPr>
              <w:pStyle w:val="12"/>
            </w:pPr>
            <w:r>
              <w:t>12.43</w:t>
            </w:r>
          </w:p>
        </w:tc>
        <w:tc>
          <w:tcPr>
            <w:tcW w:w="1134" w:type="dxa"/>
            <w:vAlign w:val="center"/>
          </w:tcPr>
          <w:p>
            <w:pPr>
              <w:pStyle w:val="12"/>
            </w:pPr>
            <w:r>
              <w:t>12.43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12.43</w:t>
            </w:r>
          </w:p>
        </w:tc>
        <w:tc>
          <w:tcPr>
            <w:tcW w:w="1134" w:type="dxa"/>
            <w:vAlign w:val="center"/>
          </w:tcPr>
          <w:p>
            <w:pPr>
              <w:pStyle w:val="12"/>
            </w:pPr>
            <w:r>
              <w:t>12.43</w:t>
            </w:r>
          </w:p>
        </w:tc>
        <w:tc>
          <w:tcPr>
            <w:tcW w:w="1134" w:type="dxa"/>
            <w:vAlign w:val="center"/>
          </w:tcPr>
          <w:p>
            <w:pPr>
              <w:pStyle w:val="12"/>
            </w:pPr>
            <w:r>
              <w:t>12.43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3.30</w:t>
            </w:r>
          </w:p>
        </w:tc>
        <w:tc>
          <w:tcPr>
            <w:tcW w:w="1134" w:type="dxa"/>
            <w:vAlign w:val="center"/>
          </w:tcPr>
          <w:p>
            <w:pPr>
              <w:pStyle w:val="12"/>
            </w:pPr>
            <w:r>
              <w:t>3.30</w:t>
            </w:r>
          </w:p>
        </w:tc>
        <w:tc>
          <w:tcPr>
            <w:tcW w:w="1134" w:type="dxa"/>
            <w:vAlign w:val="center"/>
          </w:tcPr>
          <w:p>
            <w:pPr>
              <w:pStyle w:val="12"/>
            </w:pPr>
            <w:r>
              <w:t>3.30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9.13</w:t>
            </w:r>
          </w:p>
        </w:tc>
        <w:tc>
          <w:tcPr>
            <w:tcW w:w="1134" w:type="dxa"/>
            <w:vAlign w:val="center"/>
          </w:tcPr>
          <w:p>
            <w:pPr>
              <w:pStyle w:val="12"/>
            </w:pPr>
            <w:r>
              <w:t>9.13</w:t>
            </w:r>
          </w:p>
        </w:tc>
        <w:tc>
          <w:tcPr>
            <w:tcW w:w="1134" w:type="dxa"/>
            <w:vAlign w:val="center"/>
          </w:tcPr>
          <w:p>
            <w:pPr>
              <w:pStyle w:val="12"/>
            </w:pPr>
            <w:r>
              <w:t>9.13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5.79</w:t>
            </w:r>
          </w:p>
        </w:tc>
        <w:tc>
          <w:tcPr>
            <w:tcW w:w="1134" w:type="dxa"/>
            <w:vAlign w:val="center"/>
          </w:tcPr>
          <w:p>
            <w:pPr>
              <w:pStyle w:val="12"/>
            </w:pPr>
            <w:r>
              <w:t>5.79</w:t>
            </w:r>
          </w:p>
        </w:tc>
        <w:tc>
          <w:tcPr>
            <w:tcW w:w="1134" w:type="dxa"/>
            <w:vAlign w:val="center"/>
          </w:tcPr>
          <w:p>
            <w:pPr>
              <w:pStyle w:val="12"/>
            </w:pPr>
            <w:r>
              <w:t>5.79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5.79</w:t>
            </w:r>
          </w:p>
        </w:tc>
        <w:tc>
          <w:tcPr>
            <w:tcW w:w="1134" w:type="dxa"/>
            <w:vAlign w:val="center"/>
          </w:tcPr>
          <w:p>
            <w:pPr>
              <w:pStyle w:val="12"/>
            </w:pPr>
            <w:r>
              <w:t>5.79</w:t>
            </w:r>
          </w:p>
        </w:tc>
        <w:tc>
          <w:tcPr>
            <w:tcW w:w="1134" w:type="dxa"/>
            <w:vAlign w:val="center"/>
          </w:tcPr>
          <w:p>
            <w:pPr>
              <w:pStyle w:val="12"/>
            </w:pPr>
            <w:r>
              <w:t>5.79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3.20</w:t>
            </w:r>
          </w:p>
        </w:tc>
        <w:tc>
          <w:tcPr>
            <w:tcW w:w="1134" w:type="dxa"/>
            <w:vAlign w:val="center"/>
          </w:tcPr>
          <w:p>
            <w:pPr>
              <w:pStyle w:val="12"/>
            </w:pPr>
            <w:r>
              <w:t>3.20</w:t>
            </w:r>
          </w:p>
        </w:tc>
        <w:tc>
          <w:tcPr>
            <w:tcW w:w="1134" w:type="dxa"/>
            <w:vAlign w:val="center"/>
          </w:tcPr>
          <w:p>
            <w:pPr>
              <w:pStyle w:val="12"/>
            </w:pPr>
            <w:r>
              <w:t>3.20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2.59</w:t>
            </w:r>
          </w:p>
        </w:tc>
        <w:tc>
          <w:tcPr>
            <w:tcW w:w="1134" w:type="dxa"/>
            <w:vAlign w:val="center"/>
          </w:tcPr>
          <w:p>
            <w:pPr>
              <w:pStyle w:val="12"/>
            </w:pPr>
            <w:r>
              <w:t>2.59</w:t>
            </w:r>
          </w:p>
        </w:tc>
        <w:tc>
          <w:tcPr>
            <w:tcW w:w="1134" w:type="dxa"/>
            <w:vAlign w:val="center"/>
          </w:tcPr>
          <w:p>
            <w:pPr>
              <w:pStyle w:val="12"/>
            </w:pPr>
            <w:r>
              <w:t>2.59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90.53</w:t>
            </w:r>
          </w:p>
        </w:tc>
        <w:tc>
          <w:tcPr>
            <w:tcW w:w="1134" w:type="dxa"/>
            <w:vAlign w:val="center"/>
          </w:tcPr>
          <w:p>
            <w:pPr>
              <w:pStyle w:val="12"/>
            </w:pPr>
            <w:r>
              <w:t>90.53</w:t>
            </w:r>
          </w:p>
        </w:tc>
        <w:tc>
          <w:tcPr>
            <w:tcW w:w="1134" w:type="dxa"/>
            <w:vAlign w:val="center"/>
          </w:tcPr>
          <w:p>
            <w:pPr>
              <w:pStyle w:val="12"/>
            </w:pPr>
            <w:r>
              <w:t>90.53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21299</w:t>
            </w:r>
          </w:p>
        </w:tc>
        <w:tc>
          <w:tcPr>
            <w:tcW w:w="1559" w:type="dxa"/>
            <w:vAlign w:val="center"/>
          </w:tcPr>
          <w:p>
            <w:pPr>
              <w:pStyle w:val="13"/>
            </w:pPr>
            <w:r>
              <w:t>其他城乡社区支出</w:t>
            </w:r>
          </w:p>
        </w:tc>
        <w:tc>
          <w:tcPr>
            <w:tcW w:w="1134" w:type="dxa"/>
            <w:vAlign w:val="center"/>
          </w:tcPr>
          <w:p>
            <w:pPr>
              <w:pStyle w:val="12"/>
            </w:pPr>
            <w:r>
              <w:t>90.53</w:t>
            </w:r>
          </w:p>
        </w:tc>
        <w:tc>
          <w:tcPr>
            <w:tcW w:w="1134" w:type="dxa"/>
            <w:vAlign w:val="center"/>
          </w:tcPr>
          <w:p>
            <w:pPr>
              <w:pStyle w:val="12"/>
            </w:pPr>
            <w:r>
              <w:t>90.53</w:t>
            </w:r>
          </w:p>
        </w:tc>
        <w:tc>
          <w:tcPr>
            <w:tcW w:w="1134" w:type="dxa"/>
            <w:vAlign w:val="center"/>
          </w:tcPr>
          <w:p>
            <w:pPr>
              <w:pStyle w:val="12"/>
            </w:pPr>
            <w:r>
              <w:t>90.53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2129999</w:t>
            </w:r>
          </w:p>
        </w:tc>
        <w:tc>
          <w:tcPr>
            <w:tcW w:w="1559" w:type="dxa"/>
            <w:vAlign w:val="center"/>
          </w:tcPr>
          <w:p>
            <w:pPr>
              <w:pStyle w:val="13"/>
            </w:pPr>
            <w:r>
              <w:t>其他城乡社区支出</w:t>
            </w:r>
          </w:p>
        </w:tc>
        <w:tc>
          <w:tcPr>
            <w:tcW w:w="1134" w:type="dxa"/>
            <w:vAlign w:val="center"/>
          </w:tcPr>
          <w:p>
            <w:pPr>
              <w:pStyle w:val="12"/>
            </w:pPr>
            <w:r>
              <w:t>90.53</w:t>
            </w:r>
          </w:p>
        </w:tc>
        <w:tc>
          <w:tcPr>
            <w:tcW w:w="1134" w:type="dxa"/>
            <w:vAlign w:val="center"/>
          </w:tcPr>
          <w:p>
            <w:pPr>
              <w:pStyle w:val="12"/>
            </w:pPr>
            <w:r>
              <w:t>90.53</w:t>
            </w:r>
          </w:p>
        </w:tc>
        <w:tc>
          <w:tcPr>
            <w:tcW w:w="1134" w:type="dxa"/>
            <w:vAlign w:val="center"/>
          </w:tcPr>
          <w:p>
            <w:pPr>
              <w:pStyle w:val="12"/>
            </w:pPr>
            <w:r>
              <w:t>90.53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6.99</w:t>
            </w:r>
          </w:p>
        </w:tc>
        <w:tc>
          <w:tcPr>
            <w:tcW w:w="1134" w:type="dxa"/>
            <w:vAlign w:val="center"/>
          </w:tcPr>
          <w:p>
            <w:pPr>
              <w:pStyle w:val="12"/>
            </w:pPr>
            <w:r>
              <w:t>6.99</w:t>
            </w:r>
          </w:p>
        </w:tc>
        <w:tc>
          <w:tcPr>
            <w:tcW w:w="1134" w:type="dxa"/>
            <w:vAlign w:val="center"/>
          </w:tcPr>
          <w:p>
            <w:pPr>
              <w:pStyle w:val="12"/>
            </w:pPr>
            <w:r>
              <w:t>6.99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6.99</w:t>
            </w:r>
          </w:p>
        </w:tc>
        <w:tc>
          <w:tcPr>
            <w:tcW w:w="1134" w:type="dxa"/>
            <w:vAlign w:val="center"/>
          </w:tcPr>
          <w:p>
            <w:pPr>
              <w:pStyle w:val="12"/>
            </w:pPr>
            <w:r>
              <w:t>6.99</w:t>
            </w:r>
          </w:p>
        </w:tc>
        <w:tc>
          <w:tcPr>
            <w:tcW w:w="1134" w:type="dxa"/>
            <w:vAlign w:val="center"/>
          </w:tcPr>
          <w:p>
            <w:pPr>
              <w:pStyle w:val="12"/>
            </w:pPr>
            <w:r>
              <w:t>6.99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6.99</w:t>
            </w:r>
          </w:p>
        </w:tc>
        <w:tc>
          <w:tcPr>
            <w:tcW w:w="1134" w:type="dxa"/>
            <w:vAlign w:val="center"/>
          </w:tcPr>
          <w:p>
            <w:pPr>
              <w:pStyle w:val="12"/>
            </w:pPr>
            <w:r>
              <w:t>6.99</w:t>
            </w:r>
          </w:p>
        </w:tc>
        <w:tc>
          <w:tcPr>
            <w:tcW w:w="1134" w:type="dxa"/>
            <w:vAlign w:val="center"/>
          </w:tcPr>
          <w:p>
            <w:pPr>
              <w:pStyle w:val="12"/>
            </w:pPr>
            <w:r>
              <w:t>6.99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977秦皇岛市海港区西港新城开发建设办公室</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115.74</w:t>
            </w:r>
          </w:p>
        </w:tc>
        <w:tc>
          <w:tcPr>
            <w:tcW w:w="1361" w:type="dxa"/>
            <w:vAlign w:val="center"/>
          </w:tcPr>
          <w:p>
            <w:pPr>
              <w:pStyle w:val="16"/>
            </w:pPr>
            <w:r>
              <w:t>102.74</w:t>
            </w:r>
          </w:p>
        </w:tc>
        <w:tc>
          <w:tcPr>
            <w:tcW w:w="1361" w:type="dxa"/>
            <w:vAlign w:val="center"/>
          </w:tcPr>
          <w:p>
            <w:pPr>
              <w:pStyle w:val="16"/>
            </w:pPr>
            <w:r>
              <w:t>13.00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12.43</w:t>
            </w:r>
          </w:p>
        </w:tc>
        <w:tc>
          <w:tcPr>
            <w:tcW w:w="1361" w:type="dxa"/>
            <w:vAlign w:val="center"/>
          </w:tcPr>
          <w:p>
            <w:pPr>
              <w:pStyle w:val="12"/>
            </w:pPr>
            <w:r>
              <w:t>12.43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12.43</w:t>
            </w:r>
          </w:p>
        </w:tc>
        <w:tc>
          <w:tcPr>
            <w:tcW w:w="1361" w:type="dxa"/>
            <w:vAlign w:val="center"/>
          </w:tcPr>
          <w:p>
            <w:pPr>
              <w:pStyle w:val="12"/>
            </w:pPr>
            <w:r>
              <w:t>12.43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3.30</w:t>
            </w:r>
          </w:p>
        </w:tc>
        <w:tc>
          <w:tcPr>
            <w:tcW w:w="1361" w:type="dxa"/>
            <w:vAlign w:val="center"/>
          </w:tcPr>
          <w:p>
            <w:pPr>
              <w:pStyle w:val="12"/>
            </w:pPr>
            <w:r>
              <w:t>3.30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9.13</w:t>
            </w:r>
          </w:p>
        </w:tc>
        <w:tc>
          <w:tcPr>
            <w:tcW w:w="1361" w:type="dxa"/>
            <w:vAlign w:val="center"/>
          </w:tcPr>
          <w:p>
            <w:pPr>
              <w:pStyle w:val="12"/>
            </w:pPr>
            <w:r>
              <w:t>9.13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5.79</w:t>
            </w:r>
          </w:p>
        </w:tc>
        <w:tc>
          <w:tcPr>
            <w:tcW w:w="1361" w:type="dxa"/>
            <w:vAlign w:val="center"/>
          </w:tcPr>
          <w:p>
            <w:pPr>
              <w:pStyle w:val="12"/>
            </w:pPr>
            <w:r>
              <w:t>5.79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5.79</w:t>
            </w:r>
          </w:p>
        </w:tc>
        <w:tc>
          <w:tcPr>
            <w:tcW w:w="1361" w:type="dxa"/>
            <w:vAlign w:val="center"/>
          </w:tcPr>
          <w:p>
            <w:pPr>
              <w:pStyle w:val="12"/>
            </w:pPr>
            <w:r>
              <w:t>5.79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3.20</w:t>
            </w:r>
          </w:p>
        </w:tc>
        <w:tc>
          <w:tcPr>
            <w:tcW w:w="1361" w:type="dxa"/>
            <w:vAlign w:val="center"/>
          </w:tcPr>
          <w:p>
            <w:pPr>
              <w:pStyle w:val="12"/>
            </w:pPr>
            <w:r>
              <w:t>3.20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2.59</w:t>
            </w:r>
          </w:p>
        </w:tc>
        <w:tc>
          <w:tcPr>
            <w:tcW w:w="1361" w:type="dxa"/>
            <w:vAlign w:val="center"/>
          </w:tcPr>
          <w:p>
            <w:pPr>
              <w:pStyle w:val="12"/>
            </w:pPr>
            <w:r>
              <w:t>2.59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90.53</w:t>
            </w:r>
          </w:p>
        </w:tc>
        <w:tc>
          <w:tcPr>
            <w:tcW w:w="1361" w:type="dxa"/>
            <w:vAlign w:val="center"/>
          </w:tcPr>
          <w:p>
            <w:pPr>
              <w:pStyle w:val="12"/>
            </w:pPr>
            <w:r>
              <w:t>77.53</w:t>
            </w: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21299</w:t>
            </w:r>
          </w:p>
        </w:tc>
        <w:tc>
          <w:tcPr>
            <w:tcW w:w="4535" w:type="dxa"/>
            <w:vAlign w:val="center"/>
          </w:tcPr>
          <w:p>
            <w:pPr>
              <w:pStyle w:val="13"/>
            </w:pPr>
            <w:r>
              <w:t>其他城乡社区支出</w:t>
            </w:r>
          </w:p>
        </w:tc>
        <w:tc>
          <w:tcPr>
            <w:tcW w:w="1361" w:type="dxa"/>
            <w:vAlign w:val="center"/>
          </w:tcPr>
          <w:p>
            <w:pPr>
              <w:pStyle w:val="12"/>
            </w:pPr>
            <w:r>
              <w:t>90.53</w:t>
            </w:r>
          </w:p>
        </w:tc>
        <w:tc>
          <w:tcPr>
            <w:tcW w:w="1361" w:type="dxa"/>
            <w:vAlign w:val="center"/>
          </w:tcPr>
          <w:p>
            <w:pPr>
              <w:pStyle w:val="12"/>
            </w:pPr>
            <w:r>
              <w:t>77.53</w:t>
            </w: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2129999</w:t>
            </w:r>
          </w:p>
        </w:tc>
        <w:tc>
          <w:tcPr>
            <w:tcW w:w="4535" w:type="dxa"/>
            <w:vAlign w:val="center"/>
          </w:tcPr>
          <w:p>
            <w:pPr>
              <w:pStyle w:val="13"/>
            </w:pPr>
            <w:r>
              <w:t>其他城乡社区支出</w:t>
            </w:r>
          </w:p>
        </w:tc>
        <w:tc>
          <w:tcPr>
            <w:tcW w:w="1361" w:type="dxa"/>
            <w:vAlign w:val="center"/>
          </w:tcPr>
          <w:p>
            <w:pPr>
              <w:pStyle w:val="12"/>
            </w:pPr>
            <w:r>
              <w:t>90.53</w:t>
            </w:r>
          </w:p>
        </w:tc>
        <w:tc>
          <w:tcPr>
            <w:tcW w:w="1361" w:type="dxa"/>
            <w:vAlign w:val="center"/>
          </w:tcPr>
          <w:p>
            <w:pPr>
              <w:pStyle w:val="12"/>
            </w:pPr>
            <w:r>
              <w:t>77.53</w:t>
            </w:r>
          </w:p>
        </w:tc>
        <w:tc>
          <w:tcPr>
            <w:tcW w:w="1361" w:type="dxa"/>
            <w:vAlign w:val="center"/>
          </w:tcPr>
          <w:p>
            <w:pPr>
              <w:pStyle w:val="12"/>
            </w:pPr>
            <w:r>
              <w:t>13.00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6.99</w:t>
            </w:r>
          </w:p>
        </w:tc>
        <w:tc>
          <w:tcPr>
            <w:tcW w:w="1361" w:type="dxa"/>
            <w:vAlign w:val="center"/>
          </w:tcPr>
          <w:p>
            <w:pPr>
              <w:pStyle w:val="12"/>
            </w:pPr>
            <w:r>
              <w:t>6.99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6.99</w:t>
            </w:r>
          </w:p>
        </w:tc>
        <w:tc>
          <w:tcPr>
            <w:tcW w:w="1361" w:type="dxa"/>
            <w:vAlign w:val="center"/>
          </w:tcPr>
          <w:p>
            <w:pPr>
              <w:pStyle w:val="12"/>
            </w:pPr>
            <w:r>
              <w:t>6.99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6.99</w:t>
            </w:r>
          </w:p>
        </w:tc>
        <w:tc>
          <w:tcPr>
            <w:tcW w:w="1361" w:type="dxa"/>
            <w:vAlign w:val="center"/>
          </w:tcPr>
          <w:p>
            <w:pPr>
              <w:pStyle w:val="12"/>
            </w:pPr>
            <w:r>
              <w:t>6.99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977秦皇岛市海港区西港新城开发建设办公室</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115.74</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12.43</w:t>
            </w:r>
          </w:p>
        </w:tc>
        <w:tc>
          <w:tcPr>
            <w:tcW w:w="1474" w:type="dxa"/>
            <w:vAlign w:val="center"/>
          </w:tcPr>
          <w:p>
            <w:pPr>
              <w:pStyle w:val="12"/>
            </w:pPr>
            <w:r>
              <w:t>12.43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5.79</w:t>
            </w:r>
          </w:p>
        </w:tc>
        <w:tc>
          <w:tcPr>
            <w:tcW w:w="1474" w:type="dxa"/>
            <w:vAlign w:val="center"/>
          </w:tcPr>
          <w:p>
            <w:pPr>
              <w:pStyle w:val="12"/>
            </w:pPr>
            <w:r>
              <w:t>5.79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90.53</w:t>
            </w:r>
          </w:p>
        </w:tc>
        <w:tc>
          <w:tcPr>
            <w:tcW w:w="1474" w:type="dxa"/>
            <w:vAlign w:val="center"/>
          </w:tcPr>
          <w:p>
            <w:pPr>
              <w:pStyle w:val="12"/>
            </w:pPr>
            <w:r>
              <w:t>90.53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6.99</w:t>
            </w:r>
          </w:p>
        </w:tc>
        <w:tc>
          <w:tcPr>
            <w:tcW w:w="1474" w:type="dxa"/>
            <w:vAlign w:val="center"/>
          </w:tcPr>
          <w:p>
            <w:pPr>
              <w:pStyle w:val="12"/>
            </w:pPr>
            <w:r>
              <w:t>6.99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115.74</w:t>
            </w:r>
          </w:p>
        </w:tc>
        <w:tc>
          <w:tcPr>
            <w:tcW w:w="3402" w:type="dxa"/>
            <w:vAlign w:val="center"/>
          </w:tcPr>
          <w:p>
            <w:pPr>
              <w:pStyle w:val="15"/>
            </w:pPr>
            <w:r>
              <w:t>本年支出合计</w:t>
            </w:r>
          </w:p>
        </w:tc>
        <w:tc>
          <w:tcPr>
            <w:tcW w:w="1474" w:type="dxa"/>
            <w:vAlign w:val="center"/>
          </w:tcPr>
          <w:p>
            <w:pPr>
              <w:pStyle w:val="16"/>
            </w:pPr>
            <w:r>
              <w:t>115.74</w:t>
            </w:r>
          </w:p>
        </w:tc>
        <w:tc>
          <w:tcPr>
            <w:tcW w:w="1474" w:type="dxa"/>
            <w:vAlign w:val="center"/>
          </w:tcPr>
          <w:p>
            <w:pPr>
              <w:pStyle w:val="16"/>
            </w:pPr>
            <w:r>
              <w:t>115.74</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115.74</w:t>
            </w:r>
          </w:p>
        </w:tc>
        <w:tc>
          <w:tcPr>
            <w:tcW w:w="3402" w:type="dxa"/>
            <w:vAlign w:val="center"/>
          </w:tcPr>
          <w:p>
            <w:pPr>
              <w:pStyle w:val="15"/>
            </w:pPr>
            <w:r>
              <w:t>支出总计</w:t>
            </w:r>
          </w:p>
        </w:tc>
        <w:tc>
          <w:tcPr>
            <w:tcW w:w="1474" w:type="dxa"/>
            <w:vAlign w:val="center"/>
          </w:tcPr>
          <w:p>
            <w:pPr>
              <w:pStyle w:val="16"/>
            </w:pPr>
            <w:r>
              <w:t>115.74</w:t>
            </w:r>
          </w:p>
        </w:tc>
        <w:tc>
          <w:tcPr>
            <w:tcW w:w="1474" w:type="dxa"/>
            <w:vAlign w:val="center"/>
          </w:tcPr>
          <w:p>
            <w:pPr>
              <w:pStyle w:val="16"/>
            </w:pPr>
            <w:r>
              <w:t>115.74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977秦皇岛市海港区西港新城开发建设办公室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115.74</w:t>
            </w:r>
          </w:p>
        </w:tc>
        <w:tc>
          <w:tcPr>
            <w:tcW w:w="2551" w:type="dxa"/>
            <w:vAlign w:val="center"/>
          </w:tcPr>
          <w:p>
            <w:pPr>
              <w:pStyle w:val="16"/>
            </w:pPr>
            <w:r>
              <w:t>102.74</w:t>
            </w:r>
          </w:p>
        </w:tc>
        <w:tc>
          <w:tcPr>
            <w:tcW w:w="2551" w:type="dxa"/>
            <w:vAlign w:val="center"/>
          </w:tcPr>
          <w:p>
            <w:pPr>
              <w:pStyle w:val="16"/>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12.43</w:t>
            </w:r>
          </w:p>
        </w:tc>
        <w:tc>
          <w:tcPr>
            <w:tcW w:w="2551" w:type="dxa"/>
            <w:vAlign w:val="center"/>
          </w:tcPr>
          <w:p>
            <w:pPr>
              <w:pStyle w:val="12"/>
            </w:pPr>
            <w:r>
              <w:t>12.43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12.43</w:t>
            </w:r>
          </w:p>
        </w:tc>
        <w:tc>
          <w:tcPr>
            <w:tcW w:w="2551" w:type="dxa"/>
            <w:vAlign w:val="center"/>
          </w:tcPr>
          <w:p>
            <w:pPr>
              <w:pStyle w:val="12"/>
            </w:pPr>
            <w:r>
              <w:t>12.43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3.30</w:t>
            </w:r>
          </w:p>
        </w:tc>
        <w:tc>
          <w:tcPr>
            <w:tcW w:w="2551" w:type="dxa"/>
            <w:vAlign w:val="center"/>
          </w:tcPr>
          <w:p>
            <w:pPr>
              <w:pStyle w:val="12"/>
            </w:pPr>
            <w:r>
              <w:t>3.30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9.13</w:t>
            </w:r>
          </w:p>
        </w:tc>
        <w:tc>
          <w:tcPr>
            <w:tcW w:w="2551" w:type="dxa"/>
            <w:vAlign w:val="center"/>
          </w:tcPr>
          <w:p>
            <w:pPr>
              <w:pStyle w:val="12"/>
            </w:pPr>
            <w:r>
              <w:t>9.13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5.79</w:t>
            </w:r>
          </w:p>
        </w:tc>
        <w:tc>
          <w:tcPr>
            <w:tcW w:w="2551" w:type="dxa"/>
            <w:vAlign w:val="center"/>
          </w:tcPr>
          <w:p>
            <w:pPr>
              <w:pStyle w:val="12"/>
            </w:pPr>
            <w:r>
              <w:t>5.79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5.79</w:t>
            </w:r>
          </w:p>
        </w:tc>
        <w:tc>
          <w:tcPr>
            <w:tcW w:w="2551" w:type="dxa"/>
            <w:vAlign w:val="center"/>
          </w:tcPr>
          <w:p>
            <w:pPr>
              <w:pStyle w:val="12"/>
            </w:pPr>
            <w:r>
              <w:t>5.79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3.20</w:t>
            </w:r>
          </w:p>
        </w:tc>
        <w:tc>
          <w:tcPr>
            <w:tcW w:w="2551" w:type="dxa"/>
            <w:vAlign w:val="center"/>
          </w:tcPr>
          <w:p>
            <w:pPr>
              <w:pStyle w:val="12"/>
            </w:pPr>
            <w:r>
              <w:t>3.20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2.59</w:t>
            </w:r>
          </w:p>
        </w:tc>
        <w:tc>
          <w:tcPr>
            <w:tcW w:w="2551" w:type="dxa"/>
            <w:vAlign w:val="center"/>
          </w:tcPr>
          <w:p>
            <w:pPr>
              <w:pStyle w:val="12"/>
            </w:pPr>
            <w:r>
              <w:t>2.59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90.53</w:t>
            </w:r>
          </w:p>
        </w:tc>
        <w:tc>
          <w:tcPr>
            <w:tcW w:w="2551" w:type="dxa"/>
            <w:vAlign w:val="center"/>
          </w:tcPr>
          <w:p>
            <w:pPr>
              <w:pStyle w:val="12"/>
            </w:pPr>
            <w:r>
              <w:t>77.53</w:t>
            </w:r>
          </w:p>
        </w:tc>
        <w:tc>
          <w:tcPr>
            <w:tcW w:w="2551" w:type="dxa"/>
            <w:vAlign w:val="center"/>
          </w:tcPr>
          <w:p>
            <w:pPr>
              <w:pStyle w:val="12"/>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21299</w:t>
            </w:r>
          </w:p>
        </w:tc>
        <w:tc>
          <w:tcPr>
            <w:tcW w:w="4535" w:type="dxa"/>
            <w:vAlign w:val="center"/>
          </w:tcPr>
          <w:p>
            <w:pPr>
              <w:pStyle w:val="13"/>
            </w:pPr>
            <w:r>
              <w:t>其他城乡社区支出</w:t>
            </w:r>
          </w:p>
        </w:tc>
        <w:tc>
          <w:tcPr>
            <w:tcW w:w="2551" w:type="dxa"/>
            <w:vAlign w:val="center"/>
          </w:tcPr>
          <w:p>
            <w:pPr>
              <w:pStyle w:val="12"/>
            </w:pPr>
            <w:r>
              <w:t>90.53</w:t>
            </w:r>
          </w:p>
        </w:tc>
        <w:tc>
          <w:tcPr>
            <w:tcW w:w="2551" w:type="dxa"/>
            <w:vAlign w:val="center"/>
          </w:tcPr>
          <w:p>
            <w:pPr>
              <w:pStyle w:val="12"/>
            </w:pPr>
            <w:r>
              <w:t>77.53</w:t>
            </w:r>
          </w:p>
        </w:tc>
        <w:tc>
          <w:tcPr>
            <w:tcW w:w="2551" w:type="dxa"/>
            <w:vAlign w:val="center"/>
          </w:tcPr>
          <w:p>
            <w:pPr>
              <w:pStyle w:val="12"/>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2129999</w:t>
            </w:r>
          </w:p>
        </w:tc>
        <w:tc>
          <w:tcPr>
            <w:tcW w:w="4535" w:type="dxa"/>
            <w:vAlign w:val="center"/>
          </w:tcPr>
          <w:p>
            <w:pPr>
              <w:pStyle w:val="13"/>
            </w:pPr>
            <w:r>
              <w:t>其他城乡社区支出</w:t>
            </w:r>
          </w:p>
        </w:tc>
        <w:tc>
          <w:tcPr>
            <w:tcW w:w="2551" w:type="dxa"/>
            <w:vAlign w:val="center"/>
          </w:tcPr>
          <w:p>
            <w:pPr>
              <w:pStyle w:val="12"/>
            </w:pPr>
            <w:r>
              <w:t>90.53</w:t>
            </w:r>
          </w:p>
        </w:tc>
        <w:tc>
          <w:tcPr>
            <w:tcW w:w="2551" w:type="dxa"/>
            <w:vAlign w:val="center"/>
          </w:tcPr>
          <w:p>
            <w:pPr>
              <w:pStyle w:val="12"/>
            </w:pPr>
            <w:r>
              <w:t>77.53</w:t>
            </w:r>
          </w:p>
        </w:tc>
        <w:tc>
          <w:tcPr>
            <w:tcW w:w="2551" w:type="dxa"/>
            <w:vAlign w:val="center"/>
          </w:tcPr>
          <w:p>
            <w:pPr>
              <w:pStyle w:val="12"/>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6.99</w:t>
            </w:r>
          </w:p>
        </w:tc>
        <w:tc>
          <w:tcPr>
            <w:tcW w:w="2551" w:type="dxa"/>
            <w:vAlign w:val="center"/>
          </w:tcPr>
          <w:p>
            <w:pPr>
              <w:pStyle w:val="12"/>
            </w:pPr>
            <w:r>
              <w:t>6.99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6.99</w:t>
            </w:r>
          </w:p>
        </w:tc>
        <w:tc>
          <w:tcPr>
            <w:tcW w:w="2551" w:type="dxa"/>
            <w:vAlign w:val="center"/>
          </w:tcPr>
          <w:p>
            <w:pPr>
              <w:pStyle w:val="12"/>
            </w:pPr>
            <w:r>
              <w:t>6.99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6.99</w:t>
            </w:r>
          </w:p>
        </w:tc>
        <w:tc>
          <w:tcPr>
            <w:tcW w:w="2551" w:type="dxa"/>
            <w:vAlign w:val="center"/>
          </w:tcPr>
          <w:p>
            <w:pPr>
              <w:pStyle w:val="12"/>
            </w:pPr>
            <w:r>
              <w:t>6.99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977秦皇岛市海港区西港新城开发建设办公室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102.74</w:t>
            </w:r>
          </w:p>
        </w:tc>
        <w:tc>
          <w:tcPr>
            <w:tcW w:w="2551" w:type="dxa"/>
            <w:vAlign w:val="center"/>
          </w:tcPr>
          <w:p>
            <w:pPr>
              <w:pStyle w:val="16"/>
            </w:pPr>
            <w:r>
              <w:t>92.36</w:t>
            </w:r>
          </w:p>
        </w:tc>
        <w:tc>
          <w:tcPr>
            <w:tcW w:w="2551" w:type="dxa"/>
            <w:vAlign w:val="center"/>
          </w:tcPr>
          <w:p>
            <w:pPr>
              <w:pStyle w:val="16"/>
            </w:pPr>
            <w:r>
              <w:t>10.38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88.57</w:t>
            </w:r>
          </w:p>
        </w:tc>
        <w:tc>
          <w:tcPr>
            <w:tcW w:w="2551" w:type="dxa"/>
            <w:vAlign w:val="center"/>
          </w:tcPr>
          <w:p>
            <w:pPr>
              <w:pStyle w:val="12"/>
            </w:pPr>
            <w:r>
              <w:t>88.57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27.19</w:t>
            </w:r>
          </w:p>
        </w:tc>
        <w:tc>
          <w:tcPr>
            <w:tcW w:w="2551" w:type="dxa"/>
            <w:vAlign w:val="center"/>
          </w:tcPr>
          <w:p>
            <w:pPr>
              <w:pStyle w:val="12"/>
            </w:pPr>
            <w:r>
              <w:t>27.19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22.97</w:t>
            </w:r>
          </w:p>
        </w:tc>
        <w:tc>
          <w:tcPr>
            <w:tcW w:w="2551" w:type="dxa"/>
            <w:vAlign w:val="center"/>
          </w:tcPr>
          <w:p>
            <w:pPr>
              <w:pStyle w:val="12"/>
            </w:pPr>
            <w:r>
              <w:t>22.97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16.26</w:t>
            </w:r>
          </w:p>
        </w:tc>
        <w:tc>
          <w:tcPr>
            <w:tcW w:w="2551" w:type="dxa"/>
            <w:vAlign w:val="center"/>
          </w:tcPr>
          <w:p>
            <w:pPr>
              <w:pStyle w:val="12"/>
            </w:pPr>
            <w:r>
              <w:t>16.26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9.13</w:t>
            </w:r>
          </w:p>
        </w:tc>
        <w:tc>
          <w:tcPr>
            <w:tcW w:w="2551" w:type="dxa"/>
            <w:vAlign w:val="center"/>
          </w:tcPr>
          <w:p>
            <w:pPr>
              <w:pStyle w:val="12"/>
            </w:pPr>
            <w:r>
              <w:t>9.13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3.20</w:t>
            </w:r>
          </w:p>
        </w:tc>
        <w:tc>
          <w:tcPr>
            <w:tcW w:w="2551" w:type="dxa"/>
            <w:vAlign w:val="center"/>
          </w:tcPr>
          <w:p>
            <w:pPr>
              <w:pStyle w:val="12"/>
            </w:pPr>
            <w:r>
              <w:t>3.20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2.59</w:t>
            </w:r>
          </w:p>
        </w:tc>
        <w:tc>
          <w:tcPr>
            <w:tcW w:w="2551" w:type="dxa"/>
            <w:vAlign w:val="center"/>
          </w:tcPr>
          <w:p>
            <w:pPr>
              <w:pStyle w:val="12"/>
            </w:pPr>
            <w:r>
              <w:t>2.59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0.24</w:t>
            </w:r>
          </w:p>
        </w:tc>
        <w:tc>
          <w:tcPr>
            <w:tcW w:w="2551" w:type="dxa"/>
            <w:vAlign w:val="center"/>
          </w:tcPr>
          <w:p>
            <w:pPr>
              <w:pStyle w:val="12"/>
            </w:pPr>
            <w:r>
              <w:t>0.24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6.99</w:t>
            </w:r>
          </w:p>
        </w:tc>
        <w:tc>
          <w:tcPr>
            <w:tcW w:w="2551" w:type="dxa"/>
            <w:vAlign w:val="center"/>
          </w:tcPr>
          <w:p>
            <w:pPr>
              <w:pStyle w:val="12"/>
            </w:pPr>
            <w:r>
              <w:t>6.99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10.38</w:t>
            </w:r>
          </w:p>
        </w:tc>
        <w:tc>
          <w:tcPr>
            <w:tcW w:w="2551" w:type="dxa"/>
            <w:vAlign w:val="center"/>
          </w:tcPr>
          <w:p>
            <w:pPr>
              <w:pStyle w:val="12"/>
            </w:pPr>
          </w:p>
        </w:tc>
        <w:tc>
          <w:tcPr>
            <w:tcW w:w="2551" w:type="dxa"/>
            <w:vAlign w:val="center"/>
          </w:tcPr>
          <w:p>
            <w:pPr>
              <w:pStyle w:val="12"/>
            </w:pPr>
            <w:r>
              <w:t>10.38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3.10</w:t>
            </w:r>
          </w:p>
        </w:tc>
        <w:tc>
          <w:tcPr>
            <w:tcW w:w="2551" w:type="dxa"/>
            <w:vAlign w:val="center"/>
          </w:tcPr>
          <w:p>
            <w:pPr>
              <w:pStyle w:val="12"/>
            </w:pPr>
          </w:p>
        </w:tc>
        <w:tc>
          <w:tcPr>
            <w:tcW w:w="2551" w:type="dxa"/>
            <w:vAlign w:val="center"/>
          </w:tcPr>
          <w:p>
            <w:pPr>
              <w:pStyle w:val="12"/>
            </w:pPr>
            <w:r>
              <w:t>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0.02</w:t>
            </w:r>
          </w:p>
        </w:tc>
        <w:tc>
          <w:tcPr>
            <w:tcW w:w="2551" w:type="dxa"/>
            <w:vAlign w:val="center"/>
          </w:tcPr>
          <w:p>
            <w:pPr>
              <w:pStyle w:val="12"/>
            </w:pPr>
          </w:p>
        </w:tc>
        <w:tc>
          <w:tcPr>
            <w:tcW w:w="2551" w:type="dxa"/>
            <w:vAlign w:val="center"/>
          </w:tcPr>
          <w:p>
            <w:pPr>
              <w:pStyle w:val="12"/>
            </w:pPr>
            <w: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0.90</w:t>
            </w:r>
          </w:p>
        </w:tc>
        <w:tc>
          <w:tcPr>
            <w:tcW w:w="2551" w:type="dxa"/>
            <w:vAlign w:val="center"/>
          </w:tcPr>
          <w:p>
            <w:pPr>
              <w:pStyle w:val="12"/>
            </w:pPr>
          </w:p>
        </w:tc>
        <w:tc>
          <w:tcPr>
            <w:tcW w:w="2551" w:type="dxa"/>
            <w:vAlign w:val="center"/>
          </w:tcPr>
          <w:p>
            <w:pPr>
              <w:pStyle w:val="12"/>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0.79</w:t>
            </w:r>
          </w:p>
        </w:tc>
        <w:tc>
          <w:tcPr>
            <w:tcW w:w="2551" w:type="dxa"/>
            <w:vAlign w:val="center"/>
          </w:tcPr>
          <w:p>
            <w:pPr>
              <w:pStyle w:val="12"/>
            </w:pPr>
          </w:p>
        </w:tc>
        <w:tc>
          <w:tcPr>
            <w:tcW w:w="2551" w:type="dxa"/>
            <w:vAlign w:val="center"/>
          </w:tcPr>
          <w:p>
            <w:pPr>
              <w:pStyle w:val="12"/>
            </w:pPr>
            <w:r>
              <w:t>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4.44</w:t>
            </w:r>
          </w:p>
        </w:tc>
        <w:tc>
          <w:tcPr>
            <w:tcW w:w="2551" w:type="dxa"/>
            <w:vAlign w:val="center"/>
          </w:tcPr>
          <w:p>
            <w:pPr>
              <w:pStyle w:val="12"/>
            </w:pPr>
          </w:p>
        </w:tc>
        <w:tc>
          <w:tcPr>
            <w:tcW w:w="2551" w:type="dxa"/>
            <w:vAlign w:val="center"/>
          </w:tcPr>
          <w:p>
            <w:pPr>
              <w:pStyle w:val="12"/>
            </w:pPr>
            <w:r>
              <w:t>4.44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0.13</w:t>
            </w:r>
          </w:p>
        </w:tc>
        <w:tc>
          <w:tcPr>
            <w:tcW w:w="2551" w:type="dxa"/>
            <w:vAlign w:val="center"/>
          </w:tcPr>
          <w:p>
            <w:pPr>
              <w:pStyle w:val="12"/>
            </w:pPr>
          </w:p>
        </w:tc>
        <w:tc>
          <w:tcPr>
            <w:tcW w:w="2551" w:type="dxa"/>
            <w:vAlign w:val="center"/>
          </w:tcPr>
          <w:p>
            <w:pPr>
              <w:pStyle w:val="12"/>
            </w:pPr>
            <w:r>
              <w:t>0.13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3.79</w:t>
            </w:r>
          </w:p>
        </w:tc>
        <w:tc>
          <w:tcPr>
            <w:tcW w:w="2551" w:type="dxa"/>
            <w:vAlign w:val="center"/>
          </w:tcPr>
          <w:p>
            <w:pPr>
              <w:pStyle w:val="12"/>
            </w:pPr>
            <w:r>
              <w:t>3.79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3.30</w:t>
            </w:r>
          </w:p>
        </w:tc>
        <w:tc>
          <w:tcPr>
            <w:tcW w:w="2551" w:type="dxa"/>
            <w:vAlign w:val="center"/>
          </w:tcPr>
          <w:p>
            <w:pPr>
              <w:pStyle w:val="12"/>
            </w:pPr>
            <w:r>
              <w:t>3.30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0.49</w:t>
            </w:r>
          </w:p>
        </w:tc>
        <w:tc>
          <w:tcPr>
            <w:tcW w:w="2551" w:type="dxa"/>
            <w:vAlign w:val="center"/>
          </w:tcPr>
          <w:p>
            <w:pPr>
              <w:pStyle w:val="12"/>
            </w:pPr>
            <w:r>
              <w:t>0.49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977秦皇岛市海港区西港新城开发建设办公室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977秦皇岛市海港区西港新城开发建设办公室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977秦皇岛市海港区西港新城开发建设办公室</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0.02</w:t>
            </w:r>
          </w:p>
        </w:tc>
        <w:tc>
          <w:tcPr>
            <w:tcW w:w="2381" w:type="dxa"/>
            <w:vAlign w:val="center"/>
          </w:tcPr>
          <w:p>
            <w:pPr>
              <w:pStyle w:val="16"/>
            </w:pPr>
            <w:r>
              <w:t>0.02</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0.02</w:t>
            </w:r>
          </w:p>
        </w:tc>
        <w:tc>
          <w:tcPr>
            <w:tcW w:w="2381" w:type="dxa"/>
            <w:vAlign w:val="center"/>
          </w:tcPr>
          <w:p>
            <w:pPr>
              <w:pStyle w:val="12"/>
            </w:pPr>
            <w:r>
              <w:t>0.02</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0.02</w:t>
            </w:r>
          </w:p>
        </w:tc>
        <w:tc>
          <w:tcPr>
            <w:tcW w:w="2381" w:type="dxa"/>
            <w:vAlign w:val="center"/>
          </w:tcPr>
          <w:p>
            <w:pPr>
              <w:pStyle w:val="12"/>
            </w:pPr>
            <w:r>
              <w:t>0.02</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秦皇岛市海港区西港新城开发建设办公室2025年部门预算信息公开情况说明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秦皇岛市海港区西港新城开发建设办公室2025年部门预算信息公开情况说明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按照《中华人民共和国预算法》、《地方预决算公开操作规程》和《关于进一步推进预算公开工作的实施意见》规定，现将秦皇岛市海港区西港新城开发建设办公室2025年部门预算公开如下：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1、负责统筹协调、指导推进西港搬迁改造涉及的有关工作，并及时督促落实；</w:t>
      </w:r>
    </w:p>
    <w:p>
      <w:pPr>
        <w:pStyle w:val="18"/>
      </w:pPr>
      <w:r>
        <w:t>2、负责配合编制辖区各项规划；</w:t>
      </w:r>
    </w:p>
    <w:p>
      <w:pPr>
        <w:pStyle w:val="18"/>
      </w:pPr>
      <w:r>
        <w:t>3、负责与省、市相关部门联系沟通，争取政策、项目和资金支持；</w:t>
      </w:r>
    </w:p>
    <w:p>
      <w:pPr>
        <w:pStyle w:val="18"/>
      </w:pPr>
      <w:r>
        <w:t>4、负责做好招商引资及对外宣传等工作；</w:t>
      </w:r>
    </w:p>
    <w:p>
      <w:pPr>
        <w:pStyle w:val="18"/>
      </w:pPr>
      <w:r>
        <w:t>5、负责协调配合推进辖区范围内征地拆迁、补偿安置等工作；</w:t>
      </w:r>
    </w:p>
    <w:p>
      <w:pPr>
        <w:pStyle w:val="18"/>
      </w:pPr>
      <w:r>
        <w:t>6、负责协调配合推进辖区基础设施和公共设施的建设和管理；</w:t>
      </w:r>
    </w:p>
    <w:p>
      <w:pPr>
        <w:pStyle w:val="18"/>
      </w:pPr>
      <w:r>
        <w:t>7、负责相关政策的统一解释工作；</w:t>
      </w:r>
    </w:p>
    <w:p>
      <w:pPr>
        <w:pStyle w:val="18"/>
      </w:pPr>
      <w:r>
        <w:t>8、承担区委、区政府交办的其他事项。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秦皇岛市海港区西港新城开发建设办公室本级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按照预算管理有关规定，目前部门预算的编制实行综合预算管理，即全部收入和支出都反映在预算中。秦皇岛市海港区西港新城开发建设办公室机关及所属事业单位的收支包含在部门预算中。</w:t>
      </w:r>
    </w:p>
    <w:p>
      <w:pPr>
        <w:pStyle w:val="19"/>
      </w:pPr>
      <w:r>
        <w:t>1、收入说明</w:t>
      </w:r>
    </w:p>
    <w:p>
      <w:pPr>
        <w:pStyle w:val="19"/>
      </w:pPr>
      <w:r>
        <w:t>反映本部门当年全部收入。2025年预算收入115.74万元，其中：一般公共预算收入115.74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秦皇岛市海港区西港新城开发建设办公室年度部门预算中支出预算的总体情况。2025年支出预算115.74万元，其中基本支出102.74万元，包括人员经费92.36万元和日常公用经费10.38万元；项目支出13.00万元，主要为劳务服务费10.5万元，办公费2.5万元。</w:t>
      </w:r>
    </w:p>
    <w:p>
      <w:pPr>
        <w:pStyle w:val="19"/>
      </w:pPr>
      <w:r>
        <w:t>3、比上年增减情况</w:t>
      </w:r>
    </w:p>
    <w:p>
      <w:pPr>
        <w:pStyle w:val="19"/>
      </w:pPr>
      <w:r>
        <w:t>2025年预算收支安排115.74万元，较2024年预算增加18.84万元，其中：基本支出增加20.84万元，主要为人员经费增加17.92万元，日常公用经费增加2.92万元。项目支出减少2.00万元，主要为财政压减支出2万元。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2025年，我部门机关运行经费共计安排10.38万元，主要用于日常维修、办公用房水电费、办公用房取暖费、办公用房物业管理费等日常运行支出。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0.02万元，其中因公出国（境）费0.00万元；公务用车购置及运维费0.00万元（其中：公务用车购置费为0.00万元，公务用车运维费0.00万元)；公务接待费0.02万元。与2024年相比增加0.02万元，增减变化的主要原因是2025年预算安排公务接待费0.02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一是发挥桥梁纽带作用，服务好河港集团港口转型升级工作。积极与河港集团、市直相关部门沟通协调，建立和深化与河港集团、市直有关部门全面对接机制，细化明确与各方合作事宜，加强长期沟通对接协作，实现更深层次更高水准的合作格局，及时协调解决港口转型升级出现的矛盾和问题，全方位高质量服务好港口转型升级工作；二是配合河港集团、市级相关部门编制好《西港片区控制性详细规划和城市设计》《秦皇岛港口总体规划》《秦皇岛港口转型升级发展规划》《秦皇岛港口转型产业规划实施方案》《秦皇岛国土空间规划》等规划，提供编制上述规划所需的基础数据和有参考价值的意见和建议；三是按照以城定港，港产城融合发展，建设一流国际旅游港和现代综合贸易港总体思路，积极围绕邮轮游艇、总部经济、海洋经济、物联网、生物医药、现代物流、新技术新材料等产业开展调研，在产业优先发展方向选择方面为领导决策提供参考；四是严格执行批准的《西港片区控制性详细规划和城市设计》《秦皇岛港口转型升级产业发展规划》《秦皇岛港口转型产业规划实施方案》，科学有序推进西港新城区开发建设。</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一、西港新城开发建设工作</w:t>
      </w:r>
    </w:p>
    <w:p>
      <w:pPr>
        <w:pStyle w:val="23"/>
      </w:pPr>
      <w:r>
        <w:t>1、绩效目标：加强与河北港口集团和市级相关部门合作，争取开发建设项目和资金。</w:t>
      </w:r>
    </w:p>
    <w:p>
      <w:pPr>
        <w:pStyle w:val="23"/>
      </w:pPr>
      <w:r>
        <w:t>绩效指标：项目实施受益人口数量</w:t>
      </w:r>
    </w:p>
    <w:p>
      <w:pPr>
        <w:pStyle w:val="23"/>
      </w:pPr>
      <w:r>
        <w:t>2、绩效目标：继续配合河港集团、市级相关部门编制好《秦皇岛国土空间规划》、《秦皇岛港口规划》。</w:t>
      </w:r>
    </w:p>
    <w:p>
      <w:pPr>
        <w:pStyle w:val="23"/>
      </w:pPr>
      <w:r>
        <w:t>绩效指标：配合完成编制工作</w:t>
      </w:r>
    </w:p>
    <w:p>
      <w:pPr>
        <w:pStyle w:val="23"/>
      </w:pPr>
      <w:r>
        <w:t>3、绩效目标：按照批准的《西港片区控制性详细规划和城市设计》《产业发展规划实施方案》与河港集团谋划的项目，全面启动西港新城区开发建设。</w:t>
      </w:r>
    </w:p>
    <w:p>
      <w:pPr>
        <w:pStyle w:val="23"/>
      </w:pPr>
      <w:r>
        <w:t>绩效指标：不断加强西港片区开发建设工作</w:t>
      </w:r>
    </w:p>
    <w:p>
      <w:pPr>
        <w:pStyle w:val="23"/>
      </w:pPr>
      <w:r>
        <w:t>二、部门国有资产管理</w:t>
      </w:r>
    </w:p>
    <w:p>
      <w:pPr>
        <w:pStyle w:val="23"/>
      </w:pPr>
      <w:r>
        <w:t>1、绩效目标：加强部门国有资产管理</w:t>
      </w:r>
    </w:p>
    <w:p>
      <w:pPr>
        <w:pStyle w:val="23"/>
      </w:pPr>
      <w:r>
        <w:t>绩效指标：按月统计国有资产变动情况</w:t>
      </w:r>
    </w:p>
    <w:p>
      <w:pPr>
        <w:pStyle w:val="23"/>
      </w:pPr>
      <w:r>
        <w:t>2 、绩效目标：全面掌握国有资产动态信息</w:t>
      </w:r>
    </w:p>
    <w:p>
      <w:pPr>
        <w:pStyle w:val="23"/>
      </w:pPr>
      <w:r>
        <w:t>绩效指标：维护国有资产的安全和完整</w:t>
      </w:r>
    </w:p>
    <w:p>
      <w:pPr>
        <w:pStyle w:val="23"/>
      </w:pPr>
      <w:r>
        <w:t>3、 绩效目标：探索适合机关及行政事业性的国有资产管理绩效评价体系</w:t>
      </w:r>
    </w:p>
    <w:p>
      <w:pPr>
        <w:pStyle w:val="23"/>
      </w:pPr>
      <w:r>
        <w:t>绩效指标：引入适合机关及行政事业单位的绩效管理理念</w:t>
      </w:r>
    </w:p>
    <w:p>
      <w:pPr>
        <w:pStyle w:val="23"/>
      </w:pPr>
      <w:r>
        <w:t>三、政府采购管理</w:t>
      </w:r>
    </w:p>
    <w:p>
      <w:pPr>
        <w:pStyle w:val="23"/>
      </w:pPr>
      <w:r>
        <w:t>1、绩效目标：推进政府采购管理体系的制度化、规范化</w:t>
      </w:r>
    </w:p>
    <w:p>
      <w:pPr>
        <w:pStyle w:val="23"/>
      </w:pPr>
      <w:r>
        <w:t>绩效指标：按照政府采购文件要求，做到项目不漏采</w:t>
      </w:r>
    </w:p>
    <w:p>
      <w:pPr>
        <w:pStyle w:val="23"/>
      </w:pPr>
      <w:r>
        <w:t>2 、绩效目标：拓展政府采购产品范围</w:t>
      </w:r>
    </w:p>
    <w:p>
      <w:pPr>
        <w:pStyle w:val="23"/>
      </w:pPr>
      <w:r>
        <w:t>绩效指标：做到采购产品在政府采购范围内</w:t>
      </w:r>
    </w:p>
    <w:p>
      <w:pPr>
        <w:pStyle w:val="23"/>
      </w:pPr>
      <w:r>
        <w:t>3、 绩效目标：规范政府采购管理及实施情况</w:t>
      </w:r>
    </w:p>
    <w:p>
      <w:pPr>
        <w:pStyle w:val="23"/>
      </w:pPr>
      <w:r>
        <w:t>绩效指标：政府采购管理的完整性、规范性、准确性</w:t>
      </w:r>
    </w:p>
    <w:p>
      <w:pPr>
        <w:pStyle w:val="23"/>
      </w:pPr>
      <w:r>
        <w:t>四、预算绩效管理</w:t>
      </w:r>
    </w:p>
    <w:p>
      <w:pPr>
        <w:pStyle w:val="23"/>
      </w:pPr>
      <w:r>
        <w:t>1、绩效目标：全面实施预算绩效管理</w:t>
      </w:r>
    </w:p>
    <w:p>
      <w:pPr>
        <w:pStyle w:val="23"/>
      </w:pPr>
      <w:r>
        <w:t>绩效指标：加强西港开发建设预算编制工作</w:t>
      </w:r>
    </w:p>
    <w:p>
      <w:pPr>
        <w:pStyle w:val="23"/>
      </w:pPr>
      <w:r>
        <w:t>2 、绩效目标：建立全方位、全过程、全覆盖的预算绩效管理体系</w:t>
      </w:r>
    </w:p>
    <w:p>
      <w:pPr>
        <w:pStyle w:val="23"/>
      </w:pPr>
      <w:r>
        <w:t>绩效指标：加强西港开发建设资金预算编制工作</w:t>
      </w:r>
    </w:p>
    <w:p>
      <w:pPr>
        <w:pStyle w:val="23"/>
      </w:pPr>
      <w:r>
        <w:t>3、 绩效目标：加强预算绩效管理体系的应用</w:t>
      </w:r>
    </w:p>
    <w:p>
      <w:pPr>
        <w:pStyle w:val="23"/>
      </w:pPr>
      <w:r>
        <w:t>绩效指标：在预算绩效管理过程中设置预算指标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完善制度建设：制定完善部门预算绩效管理制度、部门资金使用管理办法、工作保障制度等，为全年预算绩效目标的实现奠定制度基础。</w:t>
      </w:r>
    </w:p>
    <w:p>
      <w:pPr>
        <w:pStyle w:val="24"/>
      </w:pPr>
      <w:r>
        <w:t>加强支出管理：优化支出结构，编细编实部门预算，规范采购流程，提高资金使用效率，确保支出进度达标。</w:t>
      </w:r>
    </w:p>
    <w:p>
      <w:pPr>
        <w:pStyle w:val="24"/>
      </w:pPr>
      <w:r>
        <w:t>加强绩效运行监控：开展部门预算绩效运行监控，发现问题及时采取措施，确保绩效目标如期保质实现。</w:t>
      </w:r>
    </w:p>
    <w:p>
      <w:pPr>
        <w:pStyle w:val="24"/>
      </w:pPr>
    </w:p>
    <w:p>
      <w:pPr>
        <w:pStyle w:val="24"/>
      </w:pPr>
      <w:r>
        <w:t>做好绩效自评：按要求开展上年度部门预算绩效自评和重点评价工作，对评价中发现的问题及时整改，调整优化支出结构，提高部门资金使用效益。</w:t>
      </w:r>
    </w:p>
    <w:p>
      <w:pPr>
        <w:pStyle w:val="24"/>
      </w:pPr>
      <w:r>
        <w:t>规范财务资产管理：完善部门内部财务管理制度，严格审批程序，加强固定资产登记、使用和报废处置管理，做到支出合理，物尽其用。</w:t>
      </w:r>
    </w:p>
    <w:p>
      <w:pPr>
        <w:pStyle w:val="24"/>
      </w:pPr>
      <w:r>
        <w:t>加强内部监督：加强部门内部监督制度建设，对绩效运行情况、资产处置及其他重要经济业务事项的决策和执行进行督导，对会计资料进行内部审计，并配合做好审计、部门监督等外部监督工作，确保本部门资金安全有效。</w:t>
      </w:r>
    </w:p>
    <w:p>
      <w:pPr>
        <w:pStyle w:val="24"/>
        <w:sectPr>
          <w:pgSz w:w="16840" w:h="11900" w:orient="landscape"/>
          <w:pgMar w:top="1361" w:right="1020" w:bottom="1361" w:left="1020" w:header="720" w:footer="720" w:gutter="0"/>
          <w:cols w:space="720" w:num="1"/>
        </w:sectPr>
      </w:pPr>
      <w:r>
        <w:t>加强宣传培训调研等：加强本部门人员培训，提高职工业务素质；加强调研，提出优化部门资金配置、提高资金使用效益的意见意见；加大宣传力度，强化预算绩效管理意识，促进预算绩效管理水平进一步提升。</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bookmarkStart w:id="15" w:name="_Toc_3_3_0000000016"/>
    </w:p>
    <w:p>
      <w:pPr>
        <w:numPr>
          <w:numId w:val="0"/>
        </w:numPr>
        <w:spacing w:before="10" w:after="10" w:line="360" w:lineRule="auto"/>
        <w:ind w:firstLine="640" w:firstLineChars="200"/>
        <w:jc w:val="left"/>
        <w:outlineLvl w:val="2"/>
        <w:sectPr>
          <w:pgSz w:w="16840" w:h="11900" w:orient="landscape"/>
          <w:pgMar w:top="1361" w:right="1020" w:bottom="1134" w:left="1020" w:header="720" w:footer="720" w:gutter="0"/>
          <w:cols w:space="720" w:num="1"/>
        </w:sectPr>
      </w:pPr>
      <w:bookmarkStart w:id="20" w:name="_GoBack"/>
      <w:bookmarkEnd w:id="20"/>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1、专项工作经费绩效目标表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13030225P004563100058</w:t>
            </w:r>
          </w:p>
        </w:tc>
        <w:tc>
          <w:tcPr>
            <w:tcW w:w="2835" w:type="dxa"/>
            <w:vAlign w:val="center"/>
          </w:tcPr>
          <w:p>
            <w:pPr>
              <w:pStyle w:val="11"/>
            </w:pPr>
            <w:r>
              <w:t>项目名称</w:t>
            </w:r>
          </w:p>
        </w:tc>
        <w:tc>
          <w:tcPr>
            <w:tcW w:w="6095" w:type="dxa"/>
            <w:gridSpan w:val="3"/>
            <w:vAlign w:val="center"/>
          </w:tcPr>
          <w:p>
            <w:pPr>
              <w:pStyle w:val="13"/>
            </w:pPr>
            <w:r>
              <w:t>专项工作经费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13.00</w:t>
            </w:r>
          </w:p>
        </w:tc>
        <w:tc>
          <w:tcPr>
            <w:tcW w:w="2835" w:type="dxa"/>
            <w:vAlign w:val="center"/>
          </w:tcPr>
          <w:p>
            <w:pPr>
              <w:pStyle w:val="11"/>
            </w:pPr>
            <w:r>
              <w:t>其中：财政    资金</w:t>
            </w:r>
          </w:p>
        </w:tc>
        <w:tc>
          <w:tcPr>
            <w:tcW w:w="2551" w:type="dxa"/>
            <w:vAlign w:val="center"/>
          </w:tcPr>
          <w:p>
            <w:pPr>
              <w:pStyle w:val="13"/>
            </w:pPr>
            <w:r>
              <w:t>13.00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建设现代化西港新城区,推动港城融合发展。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4.00</w:t>
            </w:r>
          </w:p>
        </w:tc>
        <w:tc>
          <w:tcPr>
            <w:tcW w:w="2835" w:type="dxa"/>
            <w:vAlign w:val="center"/>
          </w:tcPr>
          <w:p>
            <w:pPr>
              <w:pStyle w:val="14"/>
            </w:pPr>
            <w:r>
              <w:t>7.00</w:t>
            </w:r>
          </w:p>
        </w:tc>
        <w:tc>
          <w:tcPr>
            <w:tcW w:w="2551" w:type="dxa"/>
            <w:vAlign w:val="center"/>
          </w:tcPr>
          <w:p>
            <w:pPr>
              <w:pStyle w:val="14"/>
            </w:pPr>
            <w:r>
              <w:t>10.00</w:t>
            </w:r>
          </w:p>
        </w:tc>
        <w:tc>
          <w:tcPr>
            <w:tcW w:w="3544" w:type="dxa"/>
            <w:gridSpan w:val="2"/>
            <w:vAlign w:val="center"/>
          </w:tcPr>
          <w:p>
            <w:pPr>
              <w:pStyle w:val="14"/>
            </w:pPr>
            <w:r>
              <w:t>13.00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1.健全港城推进机制，高水平规划开发西港片区</w:t>
            </w:r>
          </w:p>
          <w:p>
            <w:pPr>
              <w:pStyle w:val="13"/>
            </w:pPr>
            <w:r>
              <w:t>2.争创国家物流枢纽建设承载城市</w:t>
            </w:r>
          </w:p>
          <w:p>
            <w:pPr>
              <w:pStyle w:val="13"/>
            </w:pPr>
            <w:r>
              <w:t>3.以城定港，港产城融合，优化港口功能布局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受益人口数量</w:t>
            </w:r>
          </w:p>
        </w:tc>
        <w:tc>
          <w:tcPr>
            <w:tcW w:w="5386" w:type="dxa"/>
            <w:vAlign w:val="center"/>
          </w:tcPr>
          <w:p>
            <w:pPr>
              <w:pStyle w:val="13"/>
            </w:pPr>
            <w:r>
              <w:t>西港新城区改造提升受益人口的数量</w:t>
            </w:r>
          </w:p>
          <w:p>
            <w:pPr>
              <w:pStyle w:val="13"/>
            </w:pPr>
          </w:p>
        </w:tc>
        <w:tc>
          <w:tcPr>
            <w:tcW w:w="2268" w:type="dxa"/>
            <w:vAlign w:val="center"/>
          </w:tcPr>
          <w:p>
            <w:pPr>
              <w:pStyle w:val="13"/>
            </w:pPr>
            <w:r>
              <w:t>≥5万人</w:t>
            </w:r>
          </w:p>
        </w:tc>
        <w:tc>
          <w:tcPr>
            <w:tcW w:w="1276" w:type="dxa"/>
            <w:vAlign w:val="center"/>
          </w:tcPr>
          <w:p>
            <w:pPr>
              <w:pStyle w:val="13"/>
            </w:pPr>
          </w:p>
          <w:p>
            <w:pPr>
              <w:pStyle w:val="13"/>
            </w:pPr>
            <w:r>
              <w:t>西港片区规划与设计，市发改委争创国家物流枢纽承载城市的文件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入户调查次数</w:t>
            </w:r>
          </w:p>
        </w:tc>
        <w:tc>
          <w:tcPr>
            <w:tcW w:w="5386" w:type="dxa"/>
            <w:vAlign w:val="center"/>
          </w:tcPr>
          <w:p>
            <w:pPr>
              <w:pStyle w:val="13"/>
            </w:pPr>
            <w:r>
              <w:t>摸清底数，实际入户调查的次数</w:t>
            </w:r>
          </w:p>
          <w:p>
            <w:pPr>
              <w:pStyle w:val="13"/>
            </w:pPr>
          </w:p>
        </w:tc>
        <w:tc>
          <w:tcPr>
            <w:tcW w:w="2268" w:type="dxa"/>
            <w:vAlign w:val="center"/>
          </w:tcPr>
          <w:p>
            <w:pPr>
              <w:pStyle w:val="13"/>
            </w:pPr>
            <w:r>
              <w:t>≥30次</w:t>
            </w:r>
          </w:p>
        </w:tc>
        <w:tc>
          <w:tcPr>
            <w:tcW w:w="1276" w:type="dxa"/>
            <w:vAlign w:val="center"/>
          </w:tcPr>
          <w:p>
            <w:pPr>
              <w:pStyle w:val="13"/>
            </w:pPr>
            <w:r>
              <w:t>西港片区规划与设计，市发改委争创国家物流枢纽承载城市的文件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具体工作达标率</w:t>
            </w:r>
          </w:p>
        </w:tc>
        <w:tc>
          <w:tcPr>
            <w:tcW w:w="5386" w:type="dxa"/>
            <w:vAlign w:val="center"/>
          </w:tcPr>
          <w:p>
            <w:pPr>
              <w:pStyle w:val="13"/>
            </w:pPr>
            <w:r>
              <w:t>各项工作达到要求，圆满完成的比率</w:t>
            </w:r>
          </w:p>
          <w:p>
            <w:pPr>
              <w:pStyle w:val="13"/>
            </w:pPr>
          </w:p>
        </w:tc>
        <w:tc>
          <w:tcPr>
            <w:tcW w:w="2268" w:type="dxa"/>
            <w:vAlign w:val="center"/>
          </w:tcPr>
          <w:p>
            <w:pPr>
              <w:pStyle w:val="13"/>
            </w:pPr>
            <w:r>
              <w:t>≥90%</w:t>
            </w:r>
          </w:p>
        </w:tc>
        <w:tc>
          <w:tcPr>
            <w:tcW w:w="1276" w:type="dxa"/>
            <w:vAlign w:val="center"/>
          </w:tcPr>
          <w:p>
            <w:pPr>
              <w:pStyle w:val="13"/>
            </w:pPr>
            <w:r>
              <w:t>西港片区规划与设计，市发改委争创国家物流枢纽承载城市的文件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工作完成的及时性</w:t>
            </w:r>
          </w:p>
        </w:tc>
        <w:tc>
          <w:tcPr>
            <w:tcW w:w="5386" w:type="dxa"/>
            <w:vAlign w:val="center"/>
          </w:tcPr>
          <w:p>
            <w:pPr>
              <w:pStyle w:val="13"/>
            </w:pPr>
            <w:r>
              <w:t>按计划完成工作时间</w:t>
            </w:r>
          </w:p>
        </w:tc>
        <w:tc>
          <w:tcPr>
            <w:tcW w:w="2268" w:type="dxa"/>
            <w:vAlign w:val="center"/>
          </w:tcPr>
          <w:p>
            <w:pPr>
              <w:pStyle w:val="13"/>
            </w:pPr>
            <w:r>
              <w:t>及时完成</w:t>
            </w:r>
          </w:p>
        </w:tc>
        <w:tc>
          <w:tcPr>
            <w:tcW w:w="1276" w:type="dxa"/>
            <w:vAlign w:val="center"/>
          </w:tcPr>
          <w:p>
            <w:pPr>
              <w:pStyle w:val="13"/>
            </w:pPr>
            <w:r>
              <w:t>西港片区规划与设计，市发改委争创国家物流枢纽承载城市的文件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控制项目支出预算额度</w:t>
            </w:r>
          </w:p>
        </w:tc>
        <w:tc>
          <w:tcPr>
            <w:tcW w:w="5386" w:type="dxa"/>
            <w:vAlign w:val="center"/>
          </w:tcPr>
          <w:p>
            <w:pPr>
              <w:pStyle w:val="13"/>
            </w:pPr>
            <w:r>
              <w:t>项目经费成本</w:t>
            </w:r>
          </w:p>
        </w:tc>
        <w:tc>
          <w:tcPr>
            <w:tcW w:w="2268" w:type="dxa"/>
            <w:vAlign w:val="center"/>
          </w:tcPr>
          <w:p>
            <w:pPr>
              <w:pStyle w:val="13"/>
            </w:pPr>
            <w:r>
              <w:t>≤13万元</w:t>
            </w:r>
          </w:p>
        </w:tc>
        <w:tc>
          <w:tcPr>
            <w:tcW w:w="1276" w:type="dxa"/>
            <w:vAlign w:val="center"/>
          </w:tcPr>
          <w:p>
            <w:pPr>
              <w:pStyle w:val="13"/>
            </w:pPr>
            <w:r>
              <w:t>西港片区规划与设计，市发改委争创国家物流枢纽承载城市的文件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以城定港，港产城融合，优化港口功能布局</w:t>
            </w:r>
          </w:p>
          <w:p>
            <w:pPr>
              <w:pStyle w:val="13"/>
            </w:pPr>
          </w:p>
        </w:tc>
        <w:tc>
          <w:tcPr>
            <w:tcW w:w="5386" w:type="dxa"/>
            <w:vAlign w:val="center"/>
          </w:tcPr>
          <w:p>
            <w:pPr>
              <w:pStyle w:val="13"/>
            </w:pPr>
            <w:r>
              <w:t>以城定港，港产城融合，优化港口功能布局</w:t>
            </w:r>
          </w:p>
          <w:p>
            <w:pPr>
              <w:pStyle w:val="13"/>
            </w:pPr>
          </w:p>
        </w:tc>
        <w:tc>
          <w:tcPr>
            <w:tcW w:w="2268" w:type="dxa"/>
            <w:vAlign w:val="center"/>
          </w:tcPr>
          <w:p>
            <w:pPr>
              <w:pStyle w:val="13"/>
            </w:pPr>
            <w:r>
              <w:t>较上年有所提高</w:t>
            </w:r>
          </w:p>
        </w:tc>
        <w:tc>
          <w:tcPr>
            <w:tcW w:w="1276" w:type="dxa"/>
            <w:vAlign w:val="center"/>
          </w:tcPr>
          <w:p>
            <w:pPr>
              <w:pStyle w:val="13"/>
            </w:pPr>
            <w:r>
              <w:t>西港片区规划与设计，市发改委争创国家物流枢纽承载城市的文件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通过西港新城建设，促进港城经济建设</w:t>
            </w:r>
          </w:p>
          <w:p>
            <w:pPr>
              <w:pStyle w:val="13"/>
            </w:pPr>
          </w:p>
        </w:tc>
        <w:tc>
          <w:tcPr>
            <w:tcW w:w="5386" w:type="dxa"/>
            <w:vAlign w:val="center"/>
          </w:tcPr>
          <w:p>
            <w:pPr>
              <w:pStyle w:val="13"/>
            </w:pPr>
            <w:r>
              <w:t>通过西港新城建设，促进港城经济建设</w:t>
            </w:r>
          </w:p>
          <w:p>
            <w:pPr>
              <w:pStyle w:val="13"/>
            </w:pPr>
          </w:p>
        </w:tc>
        <w:tc>
          <w:tcPr>
            <w:tcW w:w="2268" w:type="dxa"/>
            <w:vAlign w:val="center"/>
          </w:tcPr>
          <w:p>
            <w:pPr>
              <w:pStyle w:val="13"/>
            </w:pPr>
            <w:r>
              <w:t>较上年有所提高</w:t>
            </w:r>
          </w:p>
        </w:tc>
        <w:tc>
          <w:tcPr>
            <w:tcW w:w="1276" w:type="dxa"/>
            <w:vAlign w:val="center"/>
          </w:tcPr>
          <w:p>
            <w:pPr>
              <w:pStyle w:val="13"/>
            </w:pPr>
            <w:r>
              <w:t>西港片区规划与设计，市发改委争创国家物流枢纽承载城市的文件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河港集团、区政府满意度</w:t>
            </w:r>
          </w:p>
        </w:tc>
        <w:tc>
          <w:tcPr>
            <w:tcW w:w="5386" w:type="dxa"/>
            <w:vAlign w:val="center"/>
          </w:tcPr>
          <w:p>
            <w:pPr>
              <w:pStyle w:val="13"/>
            </w:pPr>
            <w:r>
              <w:t>河港集团、区政府满意度</w:t>
            </w:r>
          </w:p>
        </w:tc>
        <w:tc>
          <w:tcPr>
            <w:tcW w:w="2268" w:type="dxa"/>
            <w:vAlign w:val="center"/>
          </w:tcPr>
          <w:p>
            <w:pPr>
              <w:pStyle w:val="13"/>
            </w:pPr>
            <w:r>
              <w:t>≥95%</w:t>
            </w:r>
          </w:p>
        </w:tc>
        <w:tc>
          <w:tcPr>
            <w:tcW w:w="1276" w:type="dxa"/>
            <w:vAlign w:val="center"/>
          </w:tcPr>
          <w:p>
            <w:pPr>
              <w:pStyle w:val="13"/>
            </w:pPr>
            <w:r>
              <w:t>西港新城大数据调查</w:t>
            </w:r>
          </w:p>
          <w:p>
            <w:pPr>
              <w:pStyle w:val="13"/>
            </w:pPr>
          </w:p>
        </w:tc>
      </w:tr>
    </w:tbl>
    <w:p>
      <w:pPr>
        <w:sectPr>
          <w:type w:val="continuous"/>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977秦皇岛市海港区西港新城开发建设办公室</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秦皇岛市海港区西港新城开发建设办公室（含所属单位）上年末固定资产金额为20.25万元（详见下表）。本年度拟购置固定资产总额为0.00万元，已按要求列入政府采购预算，详见政府采购预算表。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977秦皇岛市海港区西港新城开发建设办公室</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87</w:t>
            </w:r>
          </w:p>
        </w:tc>
        <w:tc>
          <w:tcPr>
            <w:tcW w:w="2835" w:type="dxa"/>
            <w:vAlign w:val="center"/>
          </w:tcPr>
          <w:p>
            <w:pPr>
              <w:pStyle w:val="12"/>
            </w:pPr>
            <w:r>
              <w:t>20.25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42252"/>
    <w:multiLevelType w:val="singleLevel"/>
    <w:tmpl w:val="CAC4225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361666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TotalTime>1</TotalTime>
  <ScaleCrop>false</ScaleCrop>
  <LinksUpToDate>false</LinksUpToDate>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2025-04-03T14:56:00Z</dcterms:created>
  <dc:creator>Administrator</dc:creator>
  <cp:lastModifiedBy>冯占敏</cp:lastModifiedBy>
  <dcterms:modified xsi:type="dcterms:W3CDTF">2025-04-03T07:25:09Z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358C532E241C4B3FB24175A0EB1AEDA8</vt:lpwstr>
  </property>
</Properties>
</file>