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2655.82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2515.18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2655.82</w:t>
            </w:r>
          </w:p>
        </w:tc>
        <w:tc>
          <w:tcPr>
            <w:tcW w:w="4535" w:type="dxa"/>
            <w:vAlign w:val="center"/>
          </w:tcPr>
          <w:p>
            <w:pPr>
              <w:pStyle w:val="14"/>
            </w:pPr>
            <w:r>
              <w:t>本年支出合计</w:t>
            </w:r>
          </w:p>
        </w:tc>
        <w:tc>
          <w:tcPr>
            <w:tcW w:w="2126" w:type="dxa"/>
            <w:vAlign w:val="center"/>
          </w:tcPr>
          <w:p>
            <w:pPr>
              <w:pStyle w:val="15"/>
            </w:pPr>
            <w:r>
              <w:t>2705.84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50.02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2705.84</w:t>
            </w:r>
          </w:p>
        </w:tc>
        <w:tc>
          <w:tcPr>
            <w:tcW w:w="4535" w:type="dxa"/>
            <w:vAlign w:val="center"/>
          </w:tcPr>
          <w:p>
            <w:pPr>
              <w:pStyle w:val="14"/>
            </w:pPr>
            <w:r>
              <w:t>支出总计</w:t>
            </w:r>
          </w:p>
        </w:tc>
        <w:tc>
          <w:tcPr>
            <w:tcW w:w="2126" w:type="dxa"/>
            <w:vAlign w:val="center"/>
          </w:tcPr>
          <w:p>
            <w:pPr>
              <w:pStyle w:val="15"/>
            </w:pPr>
            <w:r>
              <w:t>2705.84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2705.84</w:t>
            </w:r>
          </w:p>
        </w:tc>
        <w:tc>
          <w:tcPr>
            <w:tcW w:w="1134" w:type="dxa"/>
            <w:vAlign w:val="center"/>
          </w:tcPr>
          <w:p>
            <w:pPr>
              <w:pStyle w:val="15"/>
            </w:pPr>
            <w:r>
              <w:t>2655.82</w:t>
            </w:r>
          </w:p>
        </w:tc>
        <w:tc>
          <w:tcPr>
            <w:tcW w:w="1134" w:type="dxa"/>
            <w:vAlign w:val="center"/>
          </w:tcPr>
          <w:p>
            <w:pPr>
              <w:pStyle w:val="15"/>
            </w:pPr>
            <w:r>
              <w:t>2655.82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84.16</w:t>
            </w:r>
          </w:p>
        </w:tc>
        <w:tc>
          <w:tcPr>
            <w:tcW w:w="1134" w:type="dxa"/>
            <w:vAlign w:val="center"/>
          </w:tcPr>
          <w:p>
            <w:pPr>
              <w:pStyle w:val="11"/>
            </w:pPr>
            <w:r>
              <w:t>84.16</w:t>
            </w:r>
          </w:p>
        </w:tc>
        <w:tc>
          <w:tcPr>
            <w:tcW w:w="1134" w:type="dxa"/>
            <w:vAlign w:val="center"/>
          </w:tcPr>
          <w:p>
            <w:pPr>
              <w:pStyle w:val="11"/>
            </w:pPr>
            <w:r>
              <w:t>84.16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84.16</w:t>
            </w:r>
          </w:p>
        </w:tc>
        <w:tc>
          <w:tcPr>
            <w:tcW w:w="1134" w:type="dxa"/>
            <w:vAlign w:val="center"/>
          </w:tcPr>
          <w:p>
            <w:pPr>
              <w:pStyle w:val="11"/>
            </w:pPr>
            <w:r>
              <w:t>84.16</w:t>
            </w:r>
          </w:p>
        </w:tc>
        <w:tc>
          <w:tcPr>
            <w:tcW w:w="1134" w:type="dxa"/>
            <w:vAlign w:val="center"/>
          </w:tcPr>
          <w:p>
            <w:pPr>
              <w:pStyle w:val="11"/>
            </w:pPr>
            <w:r>
              <w:t>84.16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77.33</w:t>
            </w:r>
          </w:p>
        </w:tc>
        <w:tc>
          <w:tcPr>
            <w:tcW w:w="1134" w:type="dxa"/>
            <w:vAlign w:val="center"/>
          </w:tcPr>
          <w:p>
            <w:pPr>
              <w:pStyle w:val="11"/>
            </w:pPr>
            <w:r>
              <w:t>77.33</w:t>
            </w:r>
          </w:p>
        </w:tc>
        <w:tc>
          <w:tcPr>
            <w:tcW w:w="1134" w:type="dxa"/>
            <w:vAlign w:val="center"/>
          </w:tcPr>
          <w:p>
            <w:pPr>
              <w:pStyle w:val="11"/>
            </w:pPr>
            <w:r>
              <w:t>77.33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46.46</w:t>
            </w:r>
          </w:p>
        </w:tc>
        <w:tc>
          <w:tcPr>
            <w:tcW w:w="1134" w:type="dxa"/>
            <w:vAlign w:val="center"/>
          </w:tcPr>
          <w:p>
            <w:pPr>
              <w:pStyle w:val="11"/>
            </w:pPr>
            <w:r>
              <w:t>46.46</w:t>
            </w:r>
          </w:p>
        </w:tc>
        <w:tc>
          <w:tcPr>
            <w:tcW w:w="1134" w:type="dxa"/>
            <w:vAlign w:val="center"/>
          </w:tcPr>
          <w:p>
            <w:pPr>
              <w:pStyle w:val="11"/>
            </w:pPr>
            <w:r>
              <w:t>46.46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46.46</w:t>
            </w:r>
          </w:p>
        </w:tc>
        <w:tc>
          <w:tcPr>
            <w:tcW w:w="1134" w:type="dxa"/>
            <w:vAlign w:val="center"/>
          </w:tcPr>
          <w:p>
            <w:pPr>
              <w:pStyle w:val="11"/>
            </w:pPr>
            <w:r>
              <w:t>46.46</w:t>
            </w:r>
          </w:p>
        </w:tc>
        <w:tc>
          <w:tcPr>
            <w:tcW w:w="1134" w:type="dxa"/>
            <w:vAlign w:val="center"/>
          </w:tcPr>
          <w:p>
            <w:pPr>
              <w:pStyle w:val="11"/>
            </w:pPr>
            <w:r>
              <w:t>46.46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26.32</w:t>
            </w:r>
          </w:p>
        </w:tc>
        <w:tc>
          <w:tcPr>
            <w:tcW w:w="1134" w:type="dxa"/>
            <w:vAlign w:val="center"/>
          </w:tcPr>
          <w:p>
            <w:pPr>
              <w:pStyle w:val="11"/>
            </w:pPr>
            <w:r>
              <w:t>26.32</w:t>
            </w:r>
          </w:p>
        </w:tc>
        <w:tc>
          <w:tcPr>
            <w:tcW w:w="1134" w:type="dxa"/>
            <w:vAlign w:val="center"/>
          </w:tcPr>
          <w:p>
            <w:pPr>
              <w:pStyle w:val="11"/>
            </w:pPr>
            <w:r>
              <w:t>26.32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20.14</w:t>
            </w:r>
          </w:p>
        </w:tc>
        <w:tc>
          <w:tcPr>
            <w:tcW w:w="1134" w:type="dxa"/>
            <w:vAlign w:val="center"/>
          </w:tcPr>
          <w:p>
            <w:pPr>
              <w:pStyle w:val="11"/>
            </w:pPr>
            <w:r>
              <w:t>20.14</w:t>
            </w:r>
          </w:p>
        </w:tc>
        <w:tc>
          <w:tcPr>
            <w:tcW w:w="1134" w:type="dxa"/>
            <w:vAlign w:val="center"/>
          </w:tcPr>
          <w:p>
            <w:pPr>
              <w:pStyle w:val="11"/>
            </w:pPr>
            <w:r>
              <w:t>20.14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r>
              <w:t>60.04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2515.18</w:t>
            </w:r>
          </w:p>
        </w:tc>
        <w:tc>
          <w:tcPr>
            <w:tcW w:w="1134" w:type="dxa"/>
            <w:vAlign w:val="center"/>
          </w:tcPr>
          <w:p>
            <w:pPr>
              <w:pStyle w:val="11"/>
            </w:pPr>
            <w:r>
              <w:t>2465.16</w:t>
            </w:r>
          </w:p>
        </w:tc>
        <w:tc>
          <w:tcPr>
            <w:tcW w:w="1134" w:type="dxa"/>
            <w:vAlign w:val="center"/>
          </w:tcPr>
          <w:p>
            <w:pPr>
              <w:pStyle w:val="11"/>
            </w:pPr>
            <w:r>
              <w:t>2465.16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1682.78</w:t>
            </w:r>
          </w:p>
        </w:tc>
        <w:tc>
          <w:tcPr>
            <w:tcW w:w="1134" w:type="dxa"/>
            <w:vAlign w:val="center"/>
          </w:tcPr>
          <w:p>
            <w:pPr>
              <w:pStyle w:val="11"/>
            </w:pPr>
            <w:r>
              <w:t>1632.76</w:t>
            </w:r>
          </w:p>
        </w:tc>
        <w:tc>
          <w:tcPr>
            <w:tcW w:w="1134" w:type="dxa"/>
            <w:vAlign w:val="center"/>
          </w:tcPr>
          <w:p>
            <w:pPr>
              <w:pStyle w:val="11"/>
            </w:pPr>
            <w:r>
              <w:t>1632.76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885.56</w:t>
            </w:r>
          </w:p>
        </w:tc>
        <w:tc>
          <w:tcPr>
            <w:tcW w:w="1134" w:type="dxa"/>
            <w:vAlign w:val="center"/>
          </w:tcPr>
          <w:p>
            <w:pPr>
              <w:pStyle w:val="11"/>
            </w:pPr>
            <w:r>
              <w:t>885.56</w:t>
            </w:r>
          </w:p>
        </w:tc>
        <w:tc>
          <w:tcPr>
            <w:tcW w:w="1134" w:type="dxa"/>
            <w:vAlign w:val="center"/>
          </w:tcPr>
          <w:p>
            <w:pPr>
              <w:pStyle w:val="11"/>
            </w:pPr>
            <w:r>
              <w:t>885.56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2240108</w:t>
            </w:r>
          </w:p>
        </w:tc>
        <w:tc>
          <w:tcPr>
            <w:tcW w:w="1559" w:type="dxa"/>
            <w:vAlign w:val="center"/>
          </w:tcPr>
          <w:p>
            <w:pPr>
              <w:pStyle w:val="12"/>
            </w:pPr>
            <w:r>
              <w:t>应急救援</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368.22</w:t>
            </w:r>
          </w:p>
        </w:tc>
        <w:tc>
          <w:tcPr>
            <w:tcW w:w="1134" w:type="dxa"/>
            <w:vAlign w:val="center"/>
          </w:tcPr>
          <w:p>
            <w:pPr>
              <w:pStyle w:val="11"/>
            </w:pPr>
            <w:r>
              <w:t>318.20</w:t>
            </w:r>
          </w:p>
        </w:tc>
        <w:tc>
          <w:tcPr>
            <w:tcW w:w="1134" w:type="dxa"/>
            <w:vAlign w:val="center"/>
          </w:tcPr>
          <w:p>
            <w:pPr>
              <w:pStyle w:val="11"/>
            </w:pPr>
            <w:r>
              <w:t>318.20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2705.84</w:t>
            </w:r>
          </w:p>
        </w:tc>
        <w:tc>
          <w:tcPr>
            <w:tcW w:w="1361" w:type="dxa"/>
            <w:vAlign w:val="center"/>
          </w:tcPr>
          <w:p>
            <w:pPr>
              <w:pStyle w:val="15"/>
            </w:pPr>
            <w:r>
              <w:t>1076.22</w:t>
            </w:r>
          </w:p>
        </w:tc>
        <w:tc>
          <w:tcPr>
            <w:tcW w:w="1361" w:type="dxa"/>
            <w:vAlign w:val="center"/>
          </w:tcPr>
          <w:p>
            <w:pPr>
              <w:pStyle w:val="15"/>
            </w:pPr>
            <w:r>
              <w:t>1629.62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84.16</w:t>
            </w:r>
          </w:p>
        </w:tc>
        <w:tc>
          <w:tcPr>
            <w:tcW w:w="1361" w:type="dxa"/>
            <w:vAlign w:val="center"/>
          </w:tcPr>
          <w:p>
            <w:pPr>
              <w:pStyle w:val="11"/>
            </w:pPr>
            <w:r>
              <w:t>84.16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84.16</w:t>
            </w:r>
          </w:p>
        </w:tc>
        <w:tc>
          <w:tcPr>
            <w:tcW w:w="1361" w:type="dxa"/>
            <w:vAlign w:val="center"/>
          </w:tcPr>
          <w:p>
            <w:pPr>
              <w:pStyle w:val="11"/>
            </w:pPr>
            <w:r>
              <w:t>84.16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6.83</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77.33</w:t>
            </w:r>
          </w:p>
        </w:tc>
        <w:tc>
          <w:tcPr>
            <w:tcW w:w="1361" w:type="dxa"/>
            <w:vAlign w:val="center"/>
          </w:tcPr>
          <w:p>
            <w:pPr>
              <w:pStyle w:val="11"/>
            </w:pPr>
            <w:r>
              <w:t>77.33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46.46</w:t>
            </w:r>
          </w:p>
        </w:tc>
        <w:tc>
          <w:tcPr>
            <w:tcW w:w="1361" w:type="dxa"/>
            <w:vAlign w:val="center"/>
          </w:tcPr>
          <w:p>
            <w:pPr>
              <w:pStyle w:val="11"/>
            </w:pPr>
            <w:r>
              <w:t>46.46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46.46</w:t>
            </w:r>
          </w:p>
        </w:tc>
        <w:tc>
          <w:tcPr>
            <w:tcW w:w="1361" w:type="dxa"/>
            <w:vAlign w:val="center"/>
          </w:tcPr>
          <w:p>
            <w:pPr>
              <w:pStyle w:val="11"/>
            </w:pPr>
            <w:r>
              <w:t>46.46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26.32</w:t>
            </w:r>
          </w:p>
        </w:tc>
        <w:tc>
          <w:tcPr>
            <w:tcW w:w="1361" w:type="dxa"/>
            <w:vAlign w:val="center"/>
          </w:tcPr>
          <w:p>
            <w:pPr>
              <w:pStyle w:val="11"/>
            </w:pPr>
            <w:r>
              <w:t>26.32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20.14</w:t>
            </w:r>
          </w:p>
        </w:tc>
        <w:tc>
          <w:tcPr>
            <w:tcW w:w="1361" w:type="dxa"/>
            <w:vAlign w:val="center"/>
          </w:tcPr>
          <w:p>
            <w:pPr>
              <w:pStyle w:val="11"/>
            </w:pPr>
            <w:r>
              <w:t>20.14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60.04</w:t>
            </w:r>
          </w:p>
        </w:tc>
        <w:tc>
          <w:tcPr>
            <w:tcW w:w="1361" w:type="dxa"/>
            <w:vAlign w:val="center"/>
          </w:tcPr>
          <w:p>
            <w:pPr>
              <w:pStyle w:val="11"/>
            </w:pPr>
            <w:r>
              <w:t>60.04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60.04</w:t>
            </w:r>
          </w:p>
        </w:tc>
        <w:tc>
          <w:tcPr>
            <w:tcW w:w="1361" w:type="dxa"/>
            <w:vAlign w:val="center"/>
          </w:tcPr>
          <w:p>
            <w:pPr>
              <w:pStyle w:val="11"/>
            </w:pPr>
            <w:r>
              <w:t>60.04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60.04</w:t>
            </w:r>
          </w:p>
        </w:tc>
        <w:tc>
          <w:tcPr>
            <w:tcW w:w="1361" w:type="dxa"/>
            <w:vAlign w:val="center"/>
          </w:tcPr>
          <w:p>
            <w:pPr>
              <w:pStyle w:val="11"/>
            </w:pPr>
            <w:r>
              <w:t>60.04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2515.18</w:t>
            </w:r>
          </w:p>
        </w:tc>
        <w:tc>
          <w:tcPr>
            <w:tcW w:w="1361" w:type="dxa"/>
            <w:vAlign w:val="center"/>
          </w:tcPr>
          <w:p>
            <w:pPr>
              <w:pStyle w:val="11"/>
            </w:pPr>
            <w:r>
              <w:t>885.56</w:t>
            </w:r>
          </w:p>
        </w:tc>
        <w:tc>
          <w:tcPr>
            <w:tcW w:w="1361" w:type="dxa"/>
            <w:vAlign w:val="center"/>
          </w:tcPr>
          <w:p>
            <w:pPr>
              <w:pStyle w:val="11"/>
            </w:pPr>
            <w:r>
              <w:t>1629.62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1682.78</w:t>
            </w:r>
          </w:p>
        </w:tc>
        <w:tc>
          <w:tcPr>
            <w:tcW w:w="1361" w:type="dxa"/>
            <w:vAlign w:val="center"/>
          </w:tcPr>
          <w:p>
            <w:pPr>
              <w:pStyle w:val="11"/>
            </w:pPr>
            <w:r>
              <w:t>885.56</w:t>
            </w:r>
          </w:p>
        </w:tc>
        <w:tc>
          <w:tcPr>
            <w:tcW w:w="1361" w:type="dxa"/>
            <w:vAlign w:val="center"/>
          </w:tcPr>
          <w:p>
            <w:pPr>
              <w:pStyle w:val="11"/>
            </w:pPr>
            <w:r>
              <w:t>797.22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885.56</w:t>
            </w:r>
          </w:p>
        </w:tc>
        <w:tc>
          <w:tcPr>
            <w:tcW w:w="1361" w:type="dxa"/>
            <w:vAlign w:val="center"/>
          </w:tcPr>
          <w:p>
            <w:pPr>
              <w:pStyle w:val="11"/>
            </w:pPr>
            <w:r>
              <w:t>885.56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2240108</w:t>
            </w:r>
          </w:p>
        </w:tc>
        <w:tc>
          <w:tcPr>
            <w:tcW w:w="4535" w:type="dxa"/>
            <w:vAlign w:val="center"/>
          </w:tcPr>
          <w:p>
            <w:pPr>
              <w:pStyle w:val="12"/>
            </w:pPr>
            <w:r>
              <w:t>应急救援</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368.22</w:t>
            </w:r>
          </w:p>
        </w:tc>
        <w:tc>
          <w:tcPr>
            <w:tcW w:w="1361" w:type="dxa"/>
            <w:vAlign w:val="center"/>
          </w:tcPr>
          <w:p>
            <w:pPr>
              <w:pStyle w:val="11"/>
            </w:pPr>
          </w:p>
        </w:tc>
        <w:tc>
          <w:tcPr>
            <w:tcW w:w="1361" w:type="dxa"/>
            <w:vAlign w:val="center"/>
          </w:tcPr>
          <w:p>
            <w:pPr>
              <w:pStyle w:val="11"/>
            </w:pPr>
            <w:r>
              <w:t>368.22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2655.82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84.16</w:t>
            </w:r>
          </w:p>
        </w:tc>
        <w:tc>
          <w:tcPr>
            <w:tcW w:w="1474" w:type="dxa"/>
            <w:vAlign w:val="center"/>
          </w:tcPr>
          <w:p>
            <w:pPr>
              <w:pStyle w:val="11"/>
            </w:pPr>
            <w:r>
              <w:t>84.16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46.46</w:t>
            </w:r>
          </w:p>
        </w:tc>
        <w:tc>
          <w:tcPr>
            <w:tcW w:w="1474" w:type="dxa"/>
            <w:vAlign w:val="center"/>
          </w:tcPr>
          <w:p>
            <w:pPr>
              <w:pStyle w:val="11"/>
            </w:pPr>
            <w:r>
              <w:t>46.46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60.04</w:t>
            </w:r>
          </w:p>
        </w:tc>
        <w:tc>
          <w:tcPr>
            <w:tcW w:w="1474" w:type="dxa"/>
            <w:vAlign w:val="center"/>
          </w:tcPr>
          <w:p>
            <w:pPr>
              <w:pStyle w:val="11"/>
            </w:pPr>
            <w:r>
              <w:t>60.04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2515.18</w:t>
            </w:r>
          </w:p>
        </w:tc>
        <w:tc>
          <w:tcPr>
            <w:tcW w:w="1474" w:type="dxa"/>
            <w:vAlign w:val="center"/>
          </w:tcPr>
          <w:p>
            <w:pPr>
              <w:pStyle w:val="11"/>
            </w:pPr>
            <w:r>
              <w:t>2515.18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2655.82</w:t>
            </w:r>
          </w:p>
        </w:tc>
        <w:tc>
          <w:tcPr>
            <w:tcW w:w="3402" w:type="dxa"/>
            <w:vAlign w:val="center"/>
          </w:tcPr>
          <w:p>
            <w:pPr>
              <w:pStyle w:val="14"/>
            </w:pPr>
            <w:r>
              <w:t>本年支出合计</w:t>
            </w:r>
          </w:p>
        </w:tc>
        <w:tc>
          <w:tcPr>
            <w:tcW w:w="1474" w:type="dxa"/>
            <w:vAlign w:val="center"/>
          </w:tcPr>
          <w:p>
            <w:pPr>
              <w:pStyle w:val="15"/>
            </w:pPr>
            <w:r>
              <w:t>2705.84</w:t>
            </w:r>
          </w:p>
        </w:tc>
        <w:tc>
          <w:tcPr>
            <w:tcW w:w="1474" w:type="dxa"/>
            <w:vAlign w:val="center"/>
          </w:tcPr>
          <w:p>
            <w:pPr>
              <w:pStyle w:val="15"/>
            </w:pPr>
            <w:r>
              <w:t>2705.84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50.02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50.02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2705.84</w:t>
            </w:r>
          </w:p>
        </w:tc>
        <w:tc>
          <w:tcPr>
            <w:tcW w:w="3402" w:type="dxa"/>
            <w:vAlign w:val="center"/>
          </w:tcPr>
          <w:p>
            <w:pPr>
              <w:pStyle w:val="14"/>
            </w:pPr>
            <w:r>
              <w:t>支出总计</w:t>
            </w:r>
          </w:p>
        </w:tc>
        <w:tc>
          <w:tcPr>
            <w:tcW w:w="1474" w:type="dxa"/>
            <w:vAlign w:val="center"/>
          </w:tcPr>
          <w:p>
            <w:pPr>
              <w:pStyle w:val="15"/>
            </w:pPr>
            <w:r>
              <w:t>2705.84</w:t>
            </w:r>
          </w:p>
        </w:tc>
        <w:tc>
          <w:tcPr>
            <w:tcW w:w="1474" w:type="dxa"/>
            <w:vAlign w:val="center"/>
          </w:tcPr>
          <w:p>
            <w:pPr>
              <w:pStyle w:val="15"/>
            </w:pPr>
            <w:r>
              <w:t>2705.84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2705.84</w:t>
            </w:r>
          </w:p>
        </w:tc>
        <w:tc>
          <w:tcPr>
            <w:tcW w:w="2551" w:type="dxa"/>
            <w:vAlign w:val="center"/>
          </w:tcPr>
          <w:p>
            <w:pPr>
              <w:pStyle w:val="15"/>
            </w:pPr>
            <w:r>
              <w:t>1076.22</w:t>
            </w:r>
          </w:p>
        </w:tc>
        <w:tc>
          <w:tcPr>
            <w:tcW w:w="2551" w:type="dxa"/>
            <w:vAlign w:val="center"/>
          </w:tcPr>
          <w:p>
            <w:pPr>
              <w:pStyle w:val="15"/>
            </w:pPr>
            <w:r>
              <w:t>1629.62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84.16</w:t>
            </w:r>
          </w:p>
        </w:tc>
        <w:tc>
          <w:tcPr>
            <w:tcW w:w="2551" w:type="dxa"/>
            <w:vAlign w:val="center"/>
          </w:tcPr>
          <w:p>
            <w:pPr>
              <w:pStyle w:val="11"/>
            </w:pPr>
            <w:r>
              <w:t>84.16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84.16</w:t>
            </w:r>
          </w:p>
        </w:tc>
        <w:tc>
          <w:tcPr>
            <w:tcW w:w="2551" w:type="dxa"/>
            <w:vAlign w:val="center"/>
          </w:tcPr>
          <w:p>
            <w:pPr>
              <w:pStyle w:val="11"/>
            </w:pPr>
            <w:r>
              <w:t>84.16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6.83</w:t>
            </w:r>
          </w:p>
        </w:tc>
        <w:tc>
          <w:tcPr>
            <w:tcW w:w="2551" w:type="dxa"/>
            <w:vAlign w:val="center"/>
          </w:tcPr>
          <w:p>
            <w:pPr>
              <w:pStyle w:val="11"/>
            </w:pPr>
            <w:r>
              <w:t>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77.33</w:t>
            </w:r>
          </w:p>
        </w:tc>
        <w:tc>
          <w:tcPr>
            <w:tcW w:w="2551" w:type="dxa"/>
            <w:vAlign w:val="center"/>
          </w:tcPr>
          <w:p>
            <w:pPr>
              <w:pStyle w:val="11"/>
            </w:pPr>
            <w:r>
              <w:t>77.33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46.46</w:t>
            </w:r>
          </w:p>
        </w:tc>
        <w:tc>
          <w:tcPr>
            <w:tcW w:w="2551" w:type="dxa"/>
            <w:vAlign w:val="center"/>
          </w:tcPr>
          <w:p>
            <w:pPr>
              <w:pStyle w:val="11"/>
            </w:pPr>
            <w:r>
              <w:t>46.46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46.46</w:t>
            </w:r>
          </w:p>
        </w:tc>
        <w:tc>
          <w:tcPr>
            <w:tcW w:w="2551" w:type="dxa"/>
            <w:vAlign w:val="center"/>
          </w:tcPr>
          <w:p>
            <w:pPr>
              <w:pStyle w:val="11"/>
            </w:pPr>
            <w:r>
              <w:t>46.46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26.32</w:t>
            </w:r>
          </w:p>
        </w:tc>
        <w:tc>
          <w:tcPr>
            <w:tcW w:w="2551" w:type="dxa"/>
            <w:vAlign w:val="center"/>
          </w:tcPr>
          <w:p>
            <w:pPr>
              <w:pStyle w:val="11"/>
            </w:pPr>
            <w:r>
              <w:t>26.32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20.14</w:t>
            </w:r>
          </w:p>
        </w:tc>
        <w:tc>
          <w:tcPr>
            <w:tcW w:w="2551" w:type="dxa"/>
            <w:vAlign w:val="center"/>
          </w:tcPr>
          <w:p>
            <w:pPr>
              <w:pStyle w:val="11"/>
            </w:pPr>
            <w:r>
              <w:t>20.14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60.04</w:t>
            </w:r>
          </w:p>
        </w:tc>
        <w:tc>
          <w:tcPr>
            <w:tcW w:w="2551" w:type="dxa"/>
            <w:vAlign w:val="center"/>
          </w:tcPr>
          <w:p>
            <w:pPr>
              <w:pStyle w:val="11"/>
            </w:pPr>
            <w:r>
              <w:t>60.04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60.04</w:t>
            </w:r>
          </w:p>
        </w:tc>
        <w:tc>
          <w:tcPr>
            <w:tcW w:w="2551" w:type="dxa"/>
            <w:vAlign w:val="center"/>
          </w:tcPr>
          <w:p>
            <w:pPr>
              <w:pStyle w:val="11"/>
            </w:pPr>
            <w:r>
              <w:t>60.04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60.04</w:t>
            </w:r>
          </w:p>
        </w:tc>
        <w:tc>
          <w:tcPr>
            <w:tcW w:w="2551" w:type="dxa"/>
            <w:vAlign w:val="center"/>
          </w:tcPr>
          <w:p>
            <w:pPr>
              <w:pStyle w:val="11"/>
            </w:pPr>
            <w:r>
              <w:t>60.04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2515.18</w:t>
            </w:r>
          </w:p>
        </w:tc>
        <w:tc>
          <w:tcPr>
            <w:tcW w:w="2551" w:type="dxa"/>
            <w:vAlign w:val="center"/>
          </w:tcPr>
          <w:p>
            <w:pPr>
              <w:pStyle w:val="11"/>
            </w:pPr>
            <w:r>
              <w:t>885.56</w:t>
            </w:r>
          </w:p>
        </w:tc>
        <w:tc>
          <w:tcPr>
            <w:tcW w:w="2551" w:type="dxa"/>
            <w:vAlign w:val="center"/>
          </w:tcPr>
          <w:p>
            <w:pPr>
              <w:pStyle w:val="11"/>
            </w:pPr>
            <w:r>
              <w:t>1629.62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1682.78</w:t>
            </w:r>
          </w:p>
        </w:tc>
        <w:tc>
          <w:tcPr>
            <w:tcW w:w="2551" w:type="dxa"/>
            <w:vAlign w:val="center"/>
          </w:tcPr>
          <w:p>
            <w:pPr>
              <w:pStyle w:val="11"/>
            </w:pPr>
            <w:r>
              <w:t>885.56</w:t>
            </w:r>
          </w:p>
        </w:tc>
        <w:tc>
          <w:tcPr>
            <w:tcW w:w="2551" w:type="dxa"/>
            <w:vAlign w:val="center"/>
          </w:tcPr>
          <w:p>
            <w:pPr>
              <w:pStyle w:val="11"/>
            </w:pPr>
            <w:r>
              <w:t>797.22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885.56</w:t>
            </w:r>
          </w:p>
        </w:tc>
        <w:tc>
          <w:tcPr>
            <w:tcW w:w="2551" w:type="dxa"/>
            <w:vAlign w:val="center"/>
          </w:tcPr>
          <w:p>
            <w:pPr>
              <w:pStyle w:val="11"/>
            </w:pPr>
            <w:r>
              <w:t>885.56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2240108</w:t>
            </w:r>
          </w:p>
        </w:tc>
        <w:tc>
          <w:tcPr>
            <w:tcW w:w="4535" w:type="dxa"/>
            <w:vAlign w:val="center"/>
          </w:tcPr>
          <w:p>
            <w:pPr>
              <w:pStyle w:val="12"/>
            </w:pPr>
            <w:r>
              <w:t>应急救援</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368.22</w:t>
            </w:r>
          </w:p>
        </w:tc>
        <w:tc>
          <w:tcPr>
            <w:tcW w:w="2551" w:type="dxa"/>
            <w:vAlign w:val="center"/>
          </w:tcPr>
          <w:p>
            <w:pPr>
              <w:pStyle w:val="11"/>
            </w:pPr>
          </w:p>
        </w:tc>
        <w:tc>
          <w:tcPr>
            <w:tcW w:w="2551" w:type="dxa"/>
            <w:vAlign w:val="center"/>
          </w:tcPr>
          <w:p>
            <w:pPr>
              <w:pStyle w:val="11"/>
            </w:pPr>
            <w:r>
              <w:t>368.22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32.40</w:t>
            </w:r>
          </w:p>
        </w:tc>
        <w:tc>
          <w:tcPr>
            <w:tcW w:w="2551" w:type="dxa"/>
            <w:vAlign w:val="center"/>
          </w:tcPr>
          <w:p>
            <w:pPr>
              <w:pStyle w:val="11"/>
            </w:pPr>
          </w:p>
        </w:tc>
        <w:tc>
          <w:tcPr>
            <w:tcW w:w="2551" w:type="dxa"/>
            <w:vAlign w:val="center"/>
          </w:tcPr>
          <w:p>
            <w:pPr>
              <w:pStyle w:val="11"/>
            </w:pPr>
            <w:r>
              <w:t>32.40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32.40</w:t>
            </w:r>
          </w:p>
        </w:tc>
        <w:tc>
          <w:tcPr>
            <w:tcW w:w="2551" w:type="dxa"/>
            <w:vAlign w:val="center"/>
          </w:tcPr>
          <w:p>
            <w:pPr>
              <w:pStyle w:val="11"/>
            </w:pPr>
          </w:p>
        </w:tc>
        <w:tc>
          <w:tcPr>
            <w:tcW w:w="2551" w:type="dxa"/>
            <w:vAlign w:val="center"/>
          </w:tcPr>
          <w:p>
            <w:pPr>
              <w:pStyle w:val="11"/>
            </w:pPr>
            <w:r>
              <w:t>32.40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1076.22</w:t>
            </w:r>
          </w:p>
        </w:tc>
        <w:tc>
          <w:tcPr>
            <w:tcW w:w="2551" w:type="dxa"/>
            <w:vAlign w:val="center"/>
          </w:tcPr>
          <w:p>
            <w:pPr>
              <w:pStyle w:val="15"/>
            </w:pPr>
            <w:r>
              <w:t>972.33</w:t>
            </w:r>
          </w:p>
        </w:tc>
        <w:tc>
          <w:tcPr>
            <w:tcW w:w="2551" w:type="dxa"/>
            <w:vAlign w:val="center"/>
          </w:tcPr>
          <w:p>
            <w:pPr>
              <w:pStyle w:val="15"/>
            </w:pPr>
            <w:r>
              <w:t>103.89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963.09</w:t>
            </w:r>
          </w:p>
        </w:tc>
        <w:tc>
          <w:tcPr>
            <w:tcW w:w="2551" w:type="dxa"/>
            <w:vAlign w:val="center"/>
          </w:tcPr>
          <w:p>
            <w:pPr>
              <w:pStyle w:val="11"/>
            </w:pPr>
            <w:r>
              <w:t>963.09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207.65</w:t>
            </w:r>
          </w:p>
        </w:tc>
        <w:tc>
          <w:tcPr>
            <w:tcW w:w="2551" w:type="dxa"/>
            <w:vAlign w:val="center"/>
          </w:tcPr>
          <w:p>
            <w:pPr>
              <w:pStyle w:val="11"/>
            </w:pPr>
            <w:r>
              <w:t>207.65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107.20</w:t>
            </w:r>
          </w:p>
        </w:tc>
        <w:tc>
          <w:tcPr>
            <w:tcW w:w="2551" w:type="dxa"/>
            <w:vAlign w:val="center"/>
          </w:tcPr>
          <w:p>
            <w:pPr>
              <w:pStyle w:val="11"/>
            </w:pPr>
            <w:r>
              <w:t>107.20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36.49</w:t>
            </w:r>
          </w:p>
        </w:tc>
        <w:tc>
          <w:tcPr>
            <w:tcW w:w="2551" w:type="dxa"/>
            <w:vAlign w:val="center"/>
          </w:tcPr>
          <w:p>
            <w:pPr>
              <w:pStyle w:val="11"/>
            </w:pPr>
            <w:r>
              <w:t>36.49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244.50</w:t>
            </w:r>
          </w:p>
        </w:tc>
        <w:tc>
          <w:tcPr>
            <w:tcW w:w="2551" w:type="dxa"/>
            <w:vAlign w:val="center"/>
          </w:tcPr>
          <w:p>
            <w:pPr>
              <w:pStyle w:val="11"/>
            </w:pPr>
            <w:r>
              <w:t>244.50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77.33</w:t>
            </w:r>
          </w:p>
        </w:tc>
        <w:tc>
          <w:tcPr>
            <w:tcW w:w="2551" w:type="dxa"/>
            <w:vAlign w:val="center"/>
          </w:tcPr>
          <w:p>
            <w:pPr>
              <w:pStyle w:val="11"/>
            </w:pPr>
            <w:r>
              <w:t>77.33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26.32</w:t>
            </w:r>
          </w:p>
        </w:tc>
        <w:tc>
          <w:tcPr>
            <w:tcW w:w="2551" w:type="dxa"/>
            <w:vAlign w:val="center"/>
          </w:tcPr>
          <w:p>
            <w:pPr>
              <w:pStyle w:val="11"/>
            </w:pPr>
            <w:r>
              <w:t>26.32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20.14</w:t>
            </w:r>
          </w:p>
        </w:tc>
        <w:tc>
          <w:tcPr>
            <w:tcW w:w="2551" w:type="dxa"/>
            <w:vAlign w:val="center"/>
          </w:tcPr>
          <w:p>
            <w:pPr>
              <w:pStyle w:val="11"/>
            </w:pPr>
            <w:r>
              <w:t>20.14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60.04</w:t>
            </w:r>
          </w:p>
        </w:tc>
        <w:tc>
          <w:tcPr>
            <w:tcW w:w="2551" w:type="dxa"/>
            <w:vAlign w:val="center"/>
          </w:tcPr>
          <w:p>
            <w:pPr>
              <w:pStyle w:val="11"/>
            </w:pPr>
            <w:r>
              <w:t>60.04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179.40</w:t>
            </w:r>
          </w:p>
        </w:tc>
        <w:tc>
          <w:tcPr>
            <w:tcW w:w="2551" w:type="dxa"/>
            <w:vAlign w:val="center"/>
          </w:tcPr>
          <w:p>
            <w:pPr>
              <w:pStyle w:val="11"/>
            </w:pPr>
            <w:r>
              <w:t>179.40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103.89</w:t>
            </w:r>
          </w:p>
        </w:tc>
        <w:tc>
          <w:tcPr>
            <w:tcW w:w="2551" w:type="dxa"/>
            <w:vAlign w:val="center"/>
          </w:tcPr>
          <w:p>
            <w:pPr>
              <w:pStyle w:val="11"/>
            </w:pPr>
          </w:p>
        </w:tc>
        <w:tc>
          <w:tcPr>
            <w:tcW w:w="2551" w:type="dxa"/>
            <w:vAlign w:val="center"/>
          </w:tcPr>
          <w:p>
            <w:pPr>
              <w:pStyle w:val="11"/>
            </w:pPr>
            <w:r>
              <w:t>103.89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16.60</w:t>
            </w:r>
          </w:p>
        </w:tc>
        <w:tc>
          <w:tcPr>
            <w:tcW w:w="2551" w:type="dxa"/>
            <w:vAlign w:val="center"/>
          </w:tcPr>
          <w:p>
            <w:pPr>
              <w:pStyle w:val="11"/>
            </w:pPr>
          </w:p>
        </w:tc>
        <w:tc>
          <w:tcPr>
            <w:tcW w:w="2551" w:type="dxa"/>
            <w:vAlign w:val="center"/>
          </w:tcPr>
          <w:p>
            <w:pPr>
              <w:pStyle w:val="11"/>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6.32</w:t>
            </w:r>
          </w:p>
        </w:tc>
        <w:tc>
          <w:tcPr>
            <w:tcW w:w="2551" w:type="dxa"/>
            <w:vAlign w:val="center"/>
          </w:tcPr>
          <w:p>
            <w:pPr>
              <w:pStyle w:val="11"/>
            </w:pPr>
          </w:p>
        </w:tc>
        <w:tc>
          <w:tcPr>
            <w:tcW w:w="2551" w:type="dxa"/>
            <w:vAlign w:val="center"/>
          </w:tcPr>
          <w:p>
            <w:pPr>
              <w:pStyle w:val="11"/>
            </w:pPr>
            <w:r>
              <w:t>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8.80</w:t>
            </w:r>
          </w:p>
        </w:tc>
        <w:tc>
          <w:tcPr>
            <w:tcW w:w="2551" w:type="dxa"/>
            <w:vAlign w:val="center"/>
          </w:tcPr>
          <w:p>
            <w:pPr>
              <w:pStyle w:val="11"/>
            </w:pPr>
          </w:p>
        </w:tc>
        <w:tc>
          <w:tcPr>
            <w:tcW w:w="2551" w:type="dxa"/>
            <w:vAlign w:val="center"/>
          </w:tcPr>
          <w:p>
            <w:pPr>
              <w:pStyle w:val="11"/>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6.81</w:t>
            </w:r>
          </w:p>
        </w:tc>
        <w:tc>
          <w:tcPr>
            <w:tcW w:w="2551" w:type="dxa"/>
            <w:vAlign w:val="center"/>
          </w:tcPr>
          <w:p>
            <w:pPr>
              <w:pStyle w:val="11"/>
            </w:pPr>
          </w:p>
        </w:tc>
        <w:tc>
          <w:tcPr>
            <w:tcW w:w="2551" w:type="dxa"/>
            <w:vAlign w:val="center"/>
          </w:tcPr>
          <w:p>
            <w:pPr>
              <w:pStyle w:val="11"/>
            </w:pPr>
            <w:r>
              <w:t>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56.33</w:t>
            </w:r>
          </w:p>
        </w:tc>
        <w:tc>
          <w:tcPr>
            <w:tcW w:w="2551" w:type="dxa"/>
            <w:vAlign w:val="center"/>
          </w:tcPr>
          <w:p>
            <w:pPr>
              <w:pStyle w:val="11"/>
            </w:pPr>
          </w:p>
        </w:tc>
        <w:tc>
          <w:tcPr>
            <w:tcW w:w="2551" w:type="dxa"/>
            <w:vAlign w:val="center"/>
          </w:tcPr>
          <w:p>
            <w:pPr>
              <w:pStyle w:val="11"/>
            </w:pPr>
            <w:r>
              <w:t>56.33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7.92</w:t>
            </w:r>
          </w:p>
        </w:tc>
        <w:tc>
          <w:tcPr>
            <w:tcW w:w="2551" w:type="dxa"/>
            <w:vAlign w:val="center"/>
          </w:tcPr>
          <w:p>
            <w:pPr>
              <w:pStyle w:val="11"/>
            </w:pPr>
          </w:p>
        </w:tc>
        <w:tc>
          <w:tcPr>
            <w:tcW w:w="2551" w:type="dxa"/>
            <w:vAlign w:val="center"/>
          </w:tcPr>
          <w:p>
            <w:pPr>
              <w:pStyle w:val="11"/>
            </w:pPr>
            <w:r>
              <w:t>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6.83</w:t>
            </w:r>
          </w:p>
        </w:tc>
        <w:tc>
          <w:tcPr>
            <w:tcW w:w="2551" w:type="dxa"/>
            <w:vAlign w:val="center"/>
          </w:tcPr>
          <w:p>
            <w:pPr>
              <w:pStyle w:val="11"/>
            </w:pPr>
            <w:r>
              <w:t>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2.41</w:t>
            </w:r>
          </w:p>
        </w:tc>
        <w:tc>
          <w:tcPr>
            <w:tcW w:w="2551" w:type="dxa"/>
            <w:vAlign w:val="center"/>
          </w:tcPr>
          <w:p>
            <w:pPr>
              <w:pStyle w:val="11"/>
            </w:pPr>
            <w:r>
              <w:t>2.41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56.66</w:t>
            </w:r>
          </w:p>
        </w:tc>
        <w:tc>
          <w:tcPr>
            <w:tcW w:w="2381" w:type="dxa"/>
            <w:vAlign w:val="center"/>
          </w:tcPr>
          <w:p>
            <w:pPr>
              <w:pStyle w:val="15"/>
            </w:pPr>
            <w:r>
              <w:t>56.66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56.66</w:t>
            </w:r>
          </w:p>
        </w:tc>
        <w:tc>
          <w:tcPr>
            <w:tcW w:w="2381" w:type="dxa"/>
            <w:vAlign w:val="center"/>
          </w:tcPr>
          <w:p>
            <w:pPr>
              <w:pStyle w:val="11"/>
            </w:pPr>
            <w:r>
              <w:t>56.66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56.33</w:t>
            </w:r>
          </w:p>
        </w:tc>
        <w:tc>
          <w:tcPr>
            <w:tcW w:w="2381" w:type="dxa"/>
            <w:vAlign w:val="center"/>
          </w:tcPr>
          <w:p>
            <w:pPr>
              <w:pStyle w:val="11"/>
            </w:pPr>
            <w:r>
              <w:t>56.33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56.33</w:t>
            </w:r>
          </w:p>
        </w:tc>
        <w:tc>
          <w:tcPr>
            <w:tcW w:w="2381" w:type="dxa"/>
            <w:vAlign w:val="center"/>
          </w:tcPr>
          <w:p>
            <w:pPr>
              <w:pStyle w:val="11"/>
            </w:pPr>
            <w:r>
              <w:t>56.33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0.33</w:t>
            </w:r>
          </w:p>
        </w:tc>
        <w:tc>
          <w:tcPr>
            <w:tcW w:w="2381" w:type="dxa"/>
            <w:vAlign w:val="center"/>
          </w:tcPr>
          <w:p>
            <w:pPr>
              <w:pStyle w:val="11"/>
            </w:pPr>
            <w:r>
              <w:t>0.33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秦皇岛市海港区应急管理局本级2025年单位预算信息公开情况说明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按照《中华人民共和国预算法》、《地方预决算公开操作规程》和《关于进一步推进预算公开工作的实施意见》规定，现将秦皇岛市海港区应急管理局本级2025年单位预算公开如下：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（1）负责应急管理工作，指导各级各部门应对安全生产类、自然灾害类等突发事件和综合防灾减灾救灾工作。负责安全生产综合监督管理和工矿商贸行业安全生产监督管理工作。</w:t>
      </w:r>
    </w:p>
    <w:p>
      <w:pPr>
        <w:pStyle w:val="17"/>
      </w:pPr>
      <w:r>
        <w:t>（2）拟订应急管理、安全生产等政策规定，组织编制区应急体系建设、安全生产和综合防灾减灾规划，组织制定相关规程和标准并监督实施。</w:t>
      </w:r>
    </w:p>
    <w:p>
      <w:pPr>
        <w:pStyle w:val="17"/>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（4）牵头建立统一的全区应急管理信息系统，负责信息传输渠道的规划和布局，建立监测预警和灾情报告制度，健全自然灾害信息资源获取和共享机制，依法统一发布灾情。</w:t>
      </w:r>
    </w:p>
    <w:p>
      <w:pPr>
        <w:pStyle w:val="17"/>
      </w:pPr>
      <w:r>
        <w:t>（5）组织指导协调安全生产类、自然灾害类等突发事件应急救援，承担区应对重大灾害指挥部工作，综合研判突发事件发展态势并提出应对建议，协助区委、区政府指定的负责同志组织重大灾害应急处置工作。</w:t>
      </w:r>
    </w:p>
    <w:p>
      <w:pPr>
        <w:pStyle w:val="17"/>
      </w:pPr>
      <w:r>
        <w:t>（6）统一协调指挥各类应急专业队伍，建立应急协调联动机制，推进指挥平台对接。衔接解放军和武警部队参与应急救援工作。</w:t>
      </w:r>
    </w:p>
    <w:p>
      <w:pPr>
        <w:pStyle w:val="17"/>
      </w:pPr>
      <w:r>
        <w:t>（7）统筹应急救援力量建设，负责消防、抗洪抢险、地震和地质灾害救援、生产安全事故救援等专业应急救援力量建设。管理区综合性应急救援队伍，指导各级及社会应急救援力量建设。</w:t>
      </w:r>
    </w:p>
    <w:p>
      <w:pPr>
        <w:pStyle w:val="17"/>
      </w:pPr>
      <w:r>
        <w:t>（8）组织协调消防工作。指导各级消防监督、火灾预防、火灾扑救等工作。</w:t>
      </w:r>
    </w:p>
    <w:p>
      <w:pPr>
        <w:pStyle w:val="17"/>
      </w:pPr>
      <w:r>
        <w:t>（9）指导协调森林火灾、水旱灾害、地震和地质灾害等防治工作，负责自然灾害综合监测预警工作，指导开展自然灾害综合风险评估工作。</w:t>
      </w:r>
    </w:p>
    <w:p>
      <w:pPr>
        <w:pStyle w:val="17"/>
      </w:pPr>
      <w:r>
        <w:t>（10）组织协调灾害救助工作。组织指导灾情核查、损失评估、救灾捐赠工作，管理、分配区救灾款物并监督使用。</w:t>
      </w:r>
    </w:p>
    <w:p>
      <w:pPr>
        <w:pStyle w:val="17"/>
      </w:pPr>
      <w:r>
        <w:t>（11）依法行使区安全生产综合监督管理职权，指导协调、监督检查区有关部门和各镇政府、街道办事处的安全生产工作。组织开展安全生产巡查、考核工作。</w:t>
      </w:r>
    </w:p>
    <w:p>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负责危险化学品安全监督管理综合工作和烟花爆竹安全生产监督管理工作。</w:t>
      </w:r>
    </w:p>
    <w:p>
      <w:pPr>
        <w:pStyle w:val="17"/>
      </w:pPr>
      <w:r>
        <w:t>（13）依法组织指导生产安全事故调查处理，监督事故查处和责任追究落实情况。组织开展自然灾害类突发事件的调查评估工作。</w:t>
      </w:r>
    </w:p>
    <w:p>
      <w:pPr>
        <w:pStyle w:val="17"/>
      </w:pPr>
      <w:r>
        <w:t xml:space="preserve">（14）制定应急物资储备和应急救援装备规划并组织实施，会同区粮食和物资储备局等部门建立健全应急物资信息平台和调拨制度，在救灾时统一调度。  </w:t>
      </w:r>
    </w:p>
    <w:p>
      <w:pPr>
        <w:pStyle w:val="17"/>
      </w:pPr>
      <w:r>
        <w:t>（15）负责应急管理、安全生产宣传教育和培训工作，组织指导应急管理、安全生产的科学技术研究、推广应用和信息化建设工作。</w:t>
      </w:r>
    </w:p>
    <w:p>
      <w:pPr>
        <w:pStyle w:val="17"/>
      </w:pPr>
      <w:r>
        <w:t>（16）起草煤矿安全监管标准并组织实施。组织指导煤炭资源的合理开发和煤炭产业结构调整。承担职责范围内的全区煤矿安全、煤炭生产监管责任，组织开展对煤矿企业执法检查。</w:t>
      </w:r>
    </w:p>
    <w:p>
      <w:pPr>
        <w:pStyle w:val="17"/>
      </w:pPr>
      <w:r>
        <w:t>（17）负责组织指导协调和监督全区安全生产行政执法工作，组织开展对区属企业的执法检查，组织开展对安全生产重点企业的执法检查。</w:t>
      </w:r>
    </w:p>
    <w:p>
      <w:pPr>
        <w:pStyle w:val="17"/>
      </w:pPr>
      <w:r>
        <w:t>（18）组织开展应急管理方面的对外交流与合作。</w:t>
      </w:r>
    </w:p>
    <w:p>
      <w:pPr>
        <w:pStyle w:val="17"/>
      </w:pPr>
      <w:r>
        <w:t>（19）负责贯彻落实国家、省、市、区防震减灾工作方针政策、法律法规和行业标准，贯彻执行国家、省、市、区地震监测预报制度；负责地震监测工作；负责会同有关部门拟订全区防震减灾规划，参与制定地震灾区重建规划。</w:t>
      </w:r>
    </w:p>
    <w:p>
      <w:pPr>
        <w:pStyle w:val="17"/>
      </w:pPr>
      <w:r>
        <w:t>（20）完成区委、区政府交办的其他任务。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2705.84万元，其中：一般公共预算收入2655.82万元，基金预算收入0.00万元，国有资本经营预算收入0.00万元，财政专户核拨收入0.00万元，单位资金收入0.00万元，上年结转结余50.02万元。</w:t>
      </w:r>
    </w:p>
    <w:p>
      <w:pPr>
        <w:pStyle w:val="18"/>
      </w:pPr>
      <w:r>
        <w:t>2、支出说明</w:t>
      </w:r>
    </w:p>
    <w:p>
      <w:pPr>
        <w:pStyle w:val="18"/>
      </w:pPr>
      <w:r>
        <w:t>收支预算总表支出栏、基本支出表、项目支出表按经济分类和支出功能分类科目编制，反映秦皇岛市海港区应急管理局本级年度单位预算中支出预算的总体情况。2025年支出预算2705.84万元，其中基本支出1076.22万元，包括人员经费972.33万元和日常公用经费103.89万元；项目支出1629.62万元，主要为应急救援队专项资金</w:t>
      </w:r>
    </w:p>
    <w:p>
      <w:pPr>
        <w:pStyle w:val="18"/>
      </w:pPr>
      <w:r>
        <w:t>政府救助保险费</w:t>
      </w:r>
    </w:p>
    <w:p>
      <w:pPr>
        <w:pStyle w:val="18"/>
      </w:pPr>
      <w:r>
        <w:t>森林防火视频维护费</w:t>
      </w:r>
    </w:p>
    <w:p>
      <w:pPr>
        <w:pStyle w:val="18"/>
      </w:pPr>
      <w:r>
        <w:t>3、比上年增减情况</w:t>
      </w:r>
    </w:p>
    <w:p>
      <w:pPr>
        <w:pStyle w:val="18"/>
      </w:pPr>
      <w:r>
        <w:t>2025年预算收支安排2705.84万元，较2024年预算减少57.99万元，其中：基本支出增加26.39万元，主要为保险调基项目支出减少84.38万元，主要为安全生产举报奖励经费</w:t>
      </w:r>
    </w:p>
    <w:p>
      <w:pPr>
        <w:pStyle w:val="18"/>
      </w:pPr>
      <w:r>
        <w:t>农房保险经费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2025年，我单位机关运行经费共计安排103.89万元，主要用于日常维修、办公用房水电费、办公用房取暖费、办公用房物业管理等日常运行支出。</w:t>
      </w:r>
    </w:p>
    <w:p>
      <w:pPr>
        <w:spacing w:before="10" w:after="10" w:line="240" w:lineRule="auto"/>
        <w:ind w:firstLine="640" w:firstLineChars="200"/>
        <w:jc w:val="left"/>
        <w:outlineLvl w:val="5"/>
      </w:pPr>
      <w:bookmarkStart w:id="1" w:name="_GoBack"/>
      <w:bookmarkEnd w:id="1"/>
      <w:r>
        <w:rPr>
          <w:rFonts w:ascii="黑体" w:hAnsi="黑体" w:eastAsia="黑体" w:cs="黑体"/>
          <w:color w:val="000000"/>
          <w:sz w:val="32"/>
        </w:rPr>
        <w:t>四、财政拨款“三公”经费预算情况及增减变化原因</w:t>
      </w:r>
    </w:p>
    <w:p>
      <w:pPr>
        <w:pStyle w:val="20"/>
      </w:pPr>
      <w:r>
        <w:t>2025年，我单位财政拨款“三公”经费预算安排56.66万元，其中因公出国（境）费0.00万元；公务用车购置及运维费56.33万元（其中：公务用车购置费为0.00万元，公务用车运维费56.33万元)；公务接待费0.33万元。与2024年相比增加56.66万元，增减变化的主要原因是单位机构车辆划转</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1、（上级）秦财建【2024】59号关于下达增发2023年国债自然灾害应急能力提升工程（应急领域）省级补助资金预算的通知绩效目标表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13030224P00A4XD10442A</w:t>
            </w:r>
          </w:p>
        </w:tc>
        <w:tc>
          <w:tcPr>
            <w:tcW w:w="2835" w:type="dxa"/>
            <w:vAlign w:val="center"/>
          </w:tcPr>
          <w:p>
            <w:pPr>
              <w:pStyle w:val="10"/>
            </w:pPr>
            <w:r>
              <w:t>项目名称</w:t>
            </w:r>
          </w:p>
        </w:tc>
        <w:tc>
          <w:tcPr>
            <w:tcW w:w="6095" w:type="dxa"/>
            <w:gridSpan w:val="3"/>
            <w:vAlign w:val="center"/>
          </w:tcPr>
          <w:p>
            <w:pPr>
              <w:pStyle w:val="12"/>
            </w:pPr>
            <w:r>
              <w:t>（上级）秦财建【2024】59号关于下达增发2023年国债自然灾害应急能力提升工程（应急领域）省级补助资金预算的通知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6.01</w:t>
            </w:r>
          </w:p>
        </w:tc>
        <w:tc>
          <w:tcPr>
            <w:tcW w:w="2835" w:type="dxa"/>
            <w:vAlign w:val="center"/>
          </w:tcPr>
          <w:p>
            <w:pPr>
              <w:pStyle w:val="10"/>
            </w:pPr>
            <w:r>
              <w:t>其中：财政    资金</w:t>
            </w:r>
          </w:p>
        </w:tc>
        <w:tc>
          <w:tcPr>
            <w:tcW w:w="2551" w:type="dxa"/>
            <w:vAlign w:val="center"/>
          </w:tcPr>
          <w:p>
            <w:pPr>
              <w:pStyle w:val="12"/>
            </w:pPr>
            <w:r>
              <w:t>6.01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提升应急保障能力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1.为切实保障社会经济可持续发展提供权威的灾害风险信息和科学决策依据</w:t>
            </w:r>
          </w:p>
          <w:p>
            <w:pPr>
              <w:pStyle w:val="12"/>
            </w:pPr>
            <w:r>
              <w:t>2.为支持灾后恢复重建和提升防灾减灾救灾能力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自然灾害应急能力提升工程</w:t>
            </w:r>
          </w:p>
        </w:tc>
        <w:tc>
          <w:tcPr>
            <w:tcW w:w="5386" w:type="dxa"/>
            <w:vAlign w:val="center"/>
          </w:tcPr>
          <w:p>
            <w:pPr>
              <w:pStyle w:val="12"/>
            </w:pPr>
            <w:r>
              <w:t>自然灾害应急能力提升工程</w:t>
            </w:r>
          </w:p>
        </w:tc>
        <w:tc>
          <w:tcPr>
            <w:tcW w:w="2268" w:type="dxa"/>
            <w:vAlign w:val="center"/>
          </w:tcPr>
          <w:p>
            <w:pPr>
              <w:pStyle w:val="12"/>
            </w:pPr>
            <w:r>
              <w:t>≥90%</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增加应急救援体系建设</w:t>
            </w:r>
          </w:p>
        </w:tc>
        <w:tc>
          <w:tcPr>
            <w:tcW w:w="5386" w:type="dxa"/>
            <w:vAlign w:val="center"/>
          </w:tcPr>
          <w:p>
            <w:pPr>
              <w:pStyle w:val="12"/>
            </w:pPr>
            <w:r>
              <w:t>增加应急救援体系建设</w:t>
            </w:r>
          </w:p>
        </w:tc>
        <w:tc>
          <w:tcPr>
            <w:tcW w:w="2268" w:type="dxa"/>
            <w:vAlign w:val="center"/>
          </w:tcPr>
          <w:p>
            <w:pPr>
              <w:pStyle w:val="12"/>
            </w:pPr>
            <w:r>
              <w:t>≥90%</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12月</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经费金额</w:t>
            </w:r>
          </w:p>
        </w:tc>
        <w:tc>
          <w:tcPr>
            <w:tcW w:w="5386" w:type="dxa"/>
            <w:vAlign w:val="center"/>
          </w:tcPr>
          <w:p>
            <w:pPr>
              <w:pStyle w:val="12"/>
            </w:pPr>
            <w:r>
              <w:t>全年所需经费金额</w:t>
            </w:r>
          </w:p>
        </w:tc>
        <w:tc>
          <w:tcPr>
            <w:tcW w:w="2268" w:type="dxa"/>
            <w:vAlign w:val="center"/>
          </w:tcPr>
          <w:p>
            <w:pPr>
              <w:pStyle w:val="12"/>
            </w:pPr>
            <w:r>
              <w:t>7.26万元</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提高应急体系建设</w:t>
            </w:r>
          </w:p>
        </w:tc>
        <w:tc>
          <w:tcPr>
            <w:tcW w:w="5386" w:type="dxa"/>
            <w:vAlign w:val="center"/>
          </w:tcPr>
          <w:p>
            <w:pPr>
              <w:pStyle w:val="12"/>
            </w:pPr>
            <w:r>
              <w:t>加强应急救援水平，提高全区人民生活水平</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增强社区网络化治理系统</w:t>
            </w:r>
          </w:p>
        </w:tc>
        <w:tc>
          <w:tcPr>
            <w:tcW w:w="5386" w:type="dxa"/>
            <w:vAlign w:val="center"/>
          </w:tcPr>
          <w:p>
            <w:pPr>
              <w:pStyle w:val="12"/>
            </w:pPr>
            <w:r>
              <w:t>增强社区网络化治理系统</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提高经济发展网络化治理</w:t>
            </w:r>
          </w:p>
        </w:tc>
        <w:tc>
          <w:tcPr>
            <w:tcW w:w="5386" w:type="dxa"/>
            <w:vAlign w:val="center"/>
          </w:tcPr>
          <w:p>
            <w:pPr>
              <w:pStyle w:val="12"/>
            </w:pPr>
            <w:r>
              <w:t>提高经济发展网络化治理</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人民群众的满意度</w:t>
            </w:r>
          </w:p>
          <w:p>
            <w:pPr>
              <w:pStyle w:val="12"/>
            </w:pPr>
          </w:p>
        </w:tc>
        <w:tc>
          <w:tcPr>
            <w:tcW w:w="2268" w:type="dxa"/>
            <w:vAlign w:val="center"/>
          </w:tcPr>
          <w:p>
            <w:pPr>
              <w:pStyle w:val="12"/>
            </w:pPr>
            <w:r>
              <w:t>≥90%</w:t>
            </w:r>
          </w:p>
        </w:tc>
        <w:tc>
          <w:tcPr>
            <w:tcW w:w="1276" w:type="dxa"/>
            <w:vAlign w:val="center"/>
          </w:tcPr>
          <w:p>
            <w:pPr>
              <w:pStyle w:val="12"/>
            </w:pPr>
            <w:r>
              <w:t>秦财建【2024】59号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2、（上级）秦财建【2024】60号关于下达增发2023年国债自然灾害应急能力提升工程（应急领域）补助资金预算的通知绩效目标表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13030224P00A4XD10443X</w:t>
            </w:r>
          </w:p>
        </w:tc>
        <w:tc>
          <w:tcPr>
            <w:tcW w:w="2835" w:type="dxa"/>
            <w:vAlign w:val="center"/>
          </w:tcPr>
          <w:p>
            <w:pPr>
              <w:pStyle w:val="10"/>
            </w:pPr>
            <w:r>
              <w:t>项目名称</w:t>
            </w:r>
          </w:p>
        </w:tc>
        <w:tc>
          <w:tcPr>
            <w:tcW w:w="6095" w:type="dxa"/>
            <w:gridSpan w:val="3"/>
            <w:vAlign w:val="center"/>
          </w:tcPr>
          <w:p>
            <w:pPr>
              <w:pStyle w:val="12"/>
            </w:pPr>
            <w:r>
              <w:t>（上级）秦财建【2024】60号关于下达增发2023年国债自然灾害应急能力提升工程（应急领域）补助资金预算的通知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提升应急保障能力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1.为切实保障社会经济可持续发展提供权威的灾害风险信息和科学决策依据</w:t>
            </w:r>
          </w:p>
          <w:p>
            <w:pPr>
              <w:pStyle w:val="12"/>
            </w:pPr>
            <w:r>
              <w:t>2.为支持灾后恢复重建和提升防灾减灾救灾能力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自然灾害应急能力提升工程</w:t>
            </w:r>
          </w:p>
        </w:tc>
        <w:tc>
          <w:tcPr>
            <w:tcW w:w="5386" w:type="dxa"/>
            <w:vAlign w:val="center"/>
          </w:tcPr>
          <w:p>
            <w:pPr>
              <w:pStyle w:val="12"/>
            </w:pPr>
            <w:r>
              <w:t>自然灾害应急能力提升工程</w:t>
            </w:r>
          </w:p>
        </w:tc>
        <w:tc>
          <w:tcPr>
            <w:tcW w:w="2268" w:type="dxa"/>
            <w:vAlign w:val="center"/>
          </w:tcPr>
          <w:p>
            <w:pPr>
              <w:pStyle w:val="12"/>
            </w:pPr>
            <w:r>
              <w:t>≥90%</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增加应急救援体系建设</w:t>
            </w:r>
          </w:p>
        </w:tc>
        <w:tc>
          <w:tcPr>
            <w:tcW w:w="5386" w:type="dxa"/>
            <w:vAlign w:val="center"/>
          </w:tcPr>
          <w:p>
            <w:pPr>
              <w:pStyle w:val="12"/>
            </w:pPr>
            <w:r>
              <w:t>增加应急救援体系建设</w:t>
            </w:r>
          </w:p>
        </w:tc>
        <w:tc>
          <w:tcPr>
            <w:tcW w:w="2268" w:type="dxa"/>
            <w:vAlign w:val="center"/>
          </w:tcPr>
          <w:p>
            <w:pPr>
              <w:pStyle w:val="12"/>
            </w:pPr>
            <w:r>
              <w:t>≥90%</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12月</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经费金额</w:t>
            </w:r>
          </w:p>
        </w:tc>
        <w:tc>
          <w:tcPr>
            <w:tcW w:w="5386" w:type="dxa"/>
            <w:vAlign w:val="center"/>
          </w:tcPr>
          <w:p>
            <w:pPr>
              <w:pStyle w:val="12"/>
            </w:pPr>
            <w:r>
              <w:t>全年所需经费金额</w:t>
            </w:r>
          </w:p>
        </w:tc>
        <w:tc>
          <w:tcPr>
            <w:tcW w:w="2268" w:type="dxa"/>
            <w:vAlign w:val="center"/>
          </w:tcPr>
          <w:p>
            <w:pPr>
              <w:pStyle w:val="12"/>
            </w:pPr>
            <w:r>
              <w:t>7.26万元</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提高应急体系建设</w:t>
            </w:r>
          </w:p>
        </w:tc>
        <w:tc>
          <w:tcPr>
            <w:tcW w:w="5386" w:type="dxa"/>
            <w:vAlign w:val="center"/>
          </w:tcPr>
          <w:p>
            <w:pPr>
              <w:pStyle w:val="12"/>
            </w:pPr>
            <w:r>
              <w:t>加强应急救援水平，提高全区人民生活水平</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增强社区网络化治理系统</w:t>
            </w:r>
          </w:p>
        </w:tc>
        <w:tc>
          <w:tcPr>
            <w:tcW w:w="5386" w:type="dxa"/>
            <w:vAlign w:val="center"/>
          </w:tcPr>
          <w:p>
            <w:pPr>
              <w:pStyle w:val="12"/>
            </w:pPr>
            <w:r>
              <w:t>增强社区网络化治理系统</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提高经济发展网络化治理</w:t>
            </w:r>
          </w:p>
        </w:tc>
        <w:tc>
          <w:tcPr>
            <w:tcW w:w="5386" w:type="dxa"/>
            <w:vAlign w:val="center"/>
          </w:tcPr>
          <w:p>
            <w:pPr>
              <w:pStyle w:val="12"/>
            </w:pPr>
            <w:r>
              <w:t>提高经济发展网络化治理</w:t>
            </w:r>
          </w:p>
        </w:tc>
        <w:tc>
          <w:tcPr>
            <w:tcW w:w="2268" w:type="dxa"/>
            <w:vAlign w:val="center"/>
          </w:tcPr>
          <w:p>
            <w:pPr>
              <w:pStyle w:val="12"/>
            </w:pPr>
            <w:r>
              <w:t>比上年有所提高</w:t>
            </w:r>
          </w:p>
        </w:tc>
        <w:tc>
          <w:tcPr>
            <w:tcW w:w="1276" w:type="dxa"/>
            <w:vAlign w:val="center"/>
          </w:tcPr>
          <w:p>
            <w:pPr>
              <w:pStyle w:val="12"/>
            </w:pPr>
            <w:r>
              <w:t>秦财建【2024】59号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人民群众的满意度</w:t>
            </w:r>
          </w:p>
        </w:tc>
        <w:tc>
          <w:tcPr>
            <w:tcW w:w="2268" w:type="dxa"/>
            <w:vAlign w:val="center"/>
          </w:tcPr>
          <w:p>
            <w:pPr>
              <w:pStyle w:val="12"/>
            </w:pPr>
            <w:r>
              <w:t>≥90%</w:t>
            </w:r>
          </w:p>
        </w:tc>
        <w:tc>
          <w:tcPr>
            <w:tcW w:w="1276" w:type="dxa"/>
            <w:vAlign w:val="center"/>
          </w:tcPr>
          <w:p>
            <w:pPr>
              <w:pStyle w:val="12"/>
            </w:pPr>
            <w:r>
              <w:t>秦财建【2024】59号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3、安全生产（含举报奖励）专项经费绩效目标表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13030225P004569100033</w:t>
            </w:r>
          </w:p>
        </w:tc>
        <w:tc>
          <w:tcPr>
            <w:tcW w:w="2835" w:type="dxa"/>
            <w:vAlign w:val="center"/>
          </w:tcPr>
          <w:p>
            <w:pPr>
              <w:pStyle w:val="10"/>
            </w:pPr>
            <w:r>
              <w:t>项目名称</w:t>
            </w:r>
          </w:p>
        </w:tc>
        <w:tc>
          <w:tcPr>
            <w:tcW w:w="6095" w:type="dxa"/>
            <w:gridSpan w:val="3"/>
            <w:vAlign w:val="center"/>
          </w:tcPr>
          <w:p>
            <w:pPr>
              <w:pStyle w:val="12"/>
            </w:pPr>
            <w:r>
              <w:t>安全生产（含举报奖励）专项经费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安全生产专项经费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1.不断加强安全生产监管能力建设，改善执法检测、监察检查等能力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督导、检查单位数量</w:t>
            </w:r>
          </w:p>
        </w:tc>
        <w:tc>
          <w:tcPr>
            <w:tcW w:w="5386" w:type="dxa"/>
            <w:vAlign w:val="center"/>
          </w:tcPr>
          <w:p>
            <w:pPr>
              <w:pStyle w:val="12"/>
            </w:pPr>
            <w:r>
              <w:t>督导、检查单位数量</w:t>
            </w:r>
          </w:p>
        </w:tc>
        <w:tc>
          <w:tcPr>
            <w:tcW w:w="2268" w:type="dxa"/>
            <w:vAlign w:val="center"/>
          </w:tcPr>
          <w:p>
            <w:pPr>
              <w:pStyle w:val="12"/>
            </w:pPr>
            <w:r>
              <w:t>≥450家</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各项工作任务完成合格率</w:t>
            </w:r>
          </w:p>
        </w:tc>
        <w:tc>
          <w:tcPr>
            <w:tcW w:w="5386" w:type="dxa"/>
            <w:vAlign w:val="center"/>
          </w:tcPr>
          <w:p>
            <w:pPr>
              <w:pStyle w:val="12"/>
            </w:pPr>
            <w:r>
              <w:t>各项工作任务完成合格率</w:t>
            </w:r>
          </w:p>
        </w:tc>
        <w:tc>
          <w:tcPr>
            <w:tcW w:w="2268" w:type="dxa"/>
            <w:vAlign w:val="center"/>
          </w:tcPr>
          <w:p>
            <w:pPr>
              <w:pStyle w:val="12"/>
            </w:pPr>
            <w:r>
              <w:t>100%</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实际支出小于等于预算数</w:t>
            </w:r>
          </w:p>
        </w:tc>
        <w:tc>
          <w:tcPr>
            <w:tcW w:w="2268" w:type="dxa"/>
            <w:vAlign w:val="center"/>
          </w:tcPr>
          <w:p>
            <w:pPr>
              <w:pStyle w:val="12"/>
            </w:pPr>
            <w:r>
              <w:t>≤200万元</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提高应急体系建设</w:t>
            </w:r>
          </w:p>
        </w:tc>
        <w:tc>
          <w:tcPr>
            <w:tcW w:w="5386" w:type="dxa"/>
            <w:vAlign w:val="center"/>
          </w:tcPr>
          <w:p>
            <w:pPr>
              <w:pStyle w:val="12"/>
            </w:pPr>
            <w:r>
              <w:t>提高应急体系建设</w:t>
            </w:r>
          </w:p>
        </w:tc>
        <w:tc>
          <w:tcPr>
            <w:tcW w:w="2268" w:type="dxa"/>
            <w:vAlign w:val="center"/>
          </w:tcPr>
          <w:p>
            <w:pPr>
              <w:pStyle w:val="12"/>
            </w:pPr>
            <w:r>
              <w:t>比上年有所提高</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减少安全生产事故，加强安全生产监管能力</w:t>
            </w:r>
          </w:p>
        </w:tc>
        <w:tc>
          <w:tcPr>
            <w:tcW w:w="5386" w:type="dxa"/>
            <w:vAlign w:val="center"/>
          </w:tcPr>
          <w:p>
            <w:pPr>
              <w:pStyle w:val="12"/>
            </w:pPr>
            <w:r>
              <w:t>减少安全生产事故，加强安全生产监管能力</w:t>
            </w:r>
          </w:p>
        </w:tc>
        <w:tc>
          <w:tcPr>
            <w:tcW w:w="2268" w:type="dxa"/>
            <w:vAlign w:val="center"/>
          </w:tcPr>
          <w:p>
            <w:pPr>
              <w:pStyle w:val="12"/>
            </w:pPr>
            <w:r>
              <w:t>比上年有所提高</w:t>
            </w:r>
          </w:p>
        </w:tc>
        <w:tc>
          <w:tcPr>
            <w:tcW w:w="1276" w:type="dxa"/>
            <w:vAlign w:val="center"/>
          </w:tcPr>
          <w:p>
            <w:pPr>
              <w:pStyle w:val="12"/>
            </w:pPr>
            <w:r>
              <w:t>海字【2014】26号及年初工作计划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提高全区安全生产执法力度</w:t>
            </w:r>
          </w:p>
        </w:tc>
        <w:tc>
          <w:tcPr>
            <w:tcW w:w="5386" w:type="dxa"/>
            <w:vAlign w:val="center"/>
          </w:tcPr>
          <w:p>
            <w:pPr>
              <w:pStyle w:val="12"/>
            </w:pPr>
            <w:r>
              <w:t>提高全区安全生产执法力度</w:t>
            </w:r>
          </w:p>
        </w:tc>
        <w:tc>
          <w:tcPr>
            <w:tcW w:w="2268" w:type="dxa"/>
            <w:vAlign w:val="center"/>
          </w:tcPr>
          <w:p>
            <w:pPr>
              <w:pStyle w:val="12"/>
            </w:pPr>
            <w:r>
              <w:t>比上年有所提高</w:t>
            </w:r>
          </w:p>
        </w:tc>
        <w:tc>
          <w:tcPr>
            <w:tcW w:w="1276" w:type="dxa"/>
            <w:vAlign w:val="center"/>
          </w:tcPr>
          <w:p>
            <w:pPr>
              <w:pStyle w:val="12"/>
            </w:pPr>
            <w:r>
              <w:t>海字【2014】26号及年初工作计划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人民群众的满意度</w:t>
            </w:r>
          </w:p>
        </w:tc>
        <w:tc>
          <w:tcPr>
            <w:tcW w:w="2268" w:type="dxa"/>
            <w:vAlign w:val="center"/>
          </w:tcPr>
          <w:p>
            <w:pPr>
              <w:pStyle w:val="12"/>
            </w:pPr>
            <w:r>
              <w:t>≥90%</w:t>
            </w:r>
          </w:p>
        </w:tc>
        <w:tc>
          <w:tcPr>
            <w:tcW w:w="1276" w:type="dxa"/>
            <w:vAlign w:val="center"/>
          </w:tcPr>
          <w:p>
            <w:pPr>
              <w:pStyle w:val="12"/>
            </w:pPr>
            <w:r>
              <w:t>海字【2014】26号及年初工作计划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4、防灾减灾应急救援（含科普基地建设）专项经费绩效目标表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13030225P00456910001U</w:t>
            </w:r>
          </w:p>
        </w:tc>
        <w:tc>
          <w:tcPr>
            <w:tcW w:w="2835" w:type="dxa"/>
            <w:vAlign w:val="center"/>
          </w:tcPr>
          <w:p>
            <w:pPr>
              <w:pStyle w:val="10"/>
            </w:pPr>
            <w:r>
              <w:t>项目名称</w:t>
            </w:r>
          </w:p>
        </w:tc>
        <w:tc>
          <w:tcPr>
            <w:tcW w:w="6095" w:type="dxa"/>
            <w:gridSpan w:val="3"/>
            <w:vAlign w:val="center"/>
          </w:tcPr>
          <w:p>
            <w:pPr>
              <w:pStyle w:val="12"/>
            </w:pPr>
            <w:r>
              <w:t>防灾减灾应急救援（含科普基地建设）专项经费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防灾减灾救援以及科普基地建设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45.00</w:t>
            </w:r>
          </w:p>
        </w:tc>
        <w:tc>
          <w:tcPr>
            <w:tcW w:w="3544" w:type="dxa"/>
            <w:gridSpan w:val="2"/>
            <w:vAlign w:val="center"/>
          </w:tcPr>
          <w:p>
            <w:pPr>
              <w:pStyle w:val="13"/>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1.提升全区抵御灾害综合能力，推动文明城市建设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防灾减灾应急演练场次</w:t>
            </w:r>
          </w:p>
        </w:tc>
        <w:tc>
          <w:tcPr>
            <w:tcW w:w="5386" w:type="dxa"/>
            <w:vAlign w:val="center"/>
          </w:tcPr>
          <w:p>
            <w:pPr>
              <w:pStyle w:val="12"/>
            </w:pPr>
            <w:r>
              <w:t>防灾减灾应急演练场次</w:t>
            </w:r>
          </w:p>
        </w:tc>
        <w:tc>
          <w:tcPr>
            <w:tcW w:w="2268" w:type="dxa"/>
            <w:vAlign w:val="center"/>
          </w:tcPr>
          <w:p>
            <w:pPr>
              <w:pStyle w:val="12"/>
            </w:pPr>
            <w:r>
              <w:t>≥2个</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各项工作任务完成合格率</w:t>
            </w:r>
          </w:p>
        </w:tc>
        <w:tc>
          <w:tcPr>
            <w:tcW w:w="5386" w:type="dxa"/>
            <w:vAlign w:val="center"/>
          </w:tcPr>
          <w:p>
            <w:pPr>
              <w:pStyle w:val="12"/>
            </w:pPr>
            <w:r>
              <w:t>各项工作任务完成合格率</w:t>
            </w:r>
          </w:p>
        </w:tc>
        <w:tc>
          <w:tcPr>
            <w:tcW w:w="2268" w:type="dxa"/>
            <w:vAlign w:val="center"/>
          </w:tcPr>
          <w:p>
            <w:pPr>
              <w:pStyle w:val="12"/>
            </w:pPr>
            <w:r>
              <w:t>100%</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实际支出小于等于预算数</w:t>
            </w:r>
          </w:p>
        </w:tc>
        <w:tc>
          <w:tcPr>
            <w:tcW w:w="2268" w:type="dxa"/>
            <w:vAlign w:val="center"/>
          </w:tcPr>
          <w:p>
            <w:pPr>
              <w:pStyle w:val="12"/>
            </w:pPr>
            <w:r>
              <w:t>≤60万元</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提高应急体系建设</w:t>
            </w:r>
          </w:p>
        </w:tc>
        <w:tc>
          <w:tcPr>
            <w:tcW w:w="5386" w:type="dxa"/>
            <w:vAlign w:val="center"/>
          </w:tcPr>
          <w:p>
            <w:pPr>
              <w:pStyle w:val="12"/>
            </w:pPr>
            <w:r>
              <w:t>提高应急体系建设</w:t>
            </w:r>
          </w:p>
        </w:tc>
        <w:tc>
          <w:tcPr>
            <w:tcW w:w="2268" w:type="dxa"/>
            <w:vAlign w:val="center"/>
          </w:tcPr>
          <w:p>
            <w:pPr>
              <w:pStyle w:val="12"/>
            </w:pPr>
            <w:r>
              <w:t>比上年有所提高</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规范生产安全事故应急预案管理工作，迅速有效处置生产安全事故</w:t>
            </w:r>
          </w:p>
        </w:tc>
        <w:tc>
          <w:tcPr>
            <w:tcW w:w="5386" w:type="dxa"/>
            <w:vAlign w:val="center"/>
          </w:tcPr>
          <w:p>
            <w:pPr>
              <w:pStyle w:val="12"/>
            </w:pPr>
            <w:r>
              <w:t>为规范生产安全事故应急预案管理工作，迅速有效处置生产安全事故</w:t>
            </w:r>
          </w:p>
        </w:tc>
        <w:tc>
          <w:tcPr>
            <w:tcW w:w="2268" w:type="dxa"/>
            <w:vAlign w:val="center"/>
          </w:tcPr>
          <w:p>
            <w:pPr>
              <w:pStyle w:val="12"/>
            </w:pPr>
            <w:r>
              <w:t>比上年有所提高</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保障全区人民人身财产安全</w:t>
            </w:r>
          </w:p>
        </w:tc>
        <w:tc>
          <w:tcPr>
            <w:tcW w:w="5386" w:type="dxa"/>
            <w:vAlign w:val="center"/>
          </w:tcPr>
          <w:p>
            <w:pPr>
              <w:pStyle w:val="12"/>
            </w:pPr>
            <w:r>
              <w:t>保障全区人民人身财产安全</w:t>
            </w:r>
          </w:p>
        </w:tc>
        <w:tc>
          <w:tcPr>
            <w:tcW w:w="2268" w:type="dxa"/>
            <w:vAlign w:val="center"/>
          </w:tcPr>
          <w:p>
            <w:pPr>
              <w:pStyle w:val="12"/>
            </w:pPr>
            <w:r>
              <w:t>比上年有所提高</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提升全区抵御灾害综合能力，推动生态文明城市建设</w:t>
            </w:r>
          </w:p>
        </w:tc>
        <w:tc>
          <w:tcPr>
            <w:tcW w:w="5386" w:type="dxa"/>
            <w:vAlign w:val="center"/>
          </w:tcPr>
          <w:p>
            <w:pPr>
              <w:pStyle w:val="12"/>
            </w:pPr>
            <w:r>
              <w:t>提升全区抵御灾害综合能力，推动生态文明城市建设</w:t>
            </w:r>
          </w:p>
        </w:tc>
        <w:tc>
          <w:tcPr>
            <w:tcW w:w="2268" w:type="dxa"/>
            <w:vAlign w:val="center"/>
          </w:tcPr>
          <w:p>
            <w:pPr>
              <w:pStyle w:val="12"/>
            </w:pPr>
            <w:r>
              <w:t>比上年有所提高</w:t>
            </w:r>
          </w:p>
        </w:tc>
        <w:tc>
          <w:tcPr>
            <w:tcW w:w="1276" w:type="dxa"/>
            <w:vAlign w:val="center"/>
          </w:tcPr>
          <w:p>
            <w:pPr>
              <w:pStyle w:val="12"/>
            </w:pPr>
            <w:r>
              <w:t>海应急呈〔2023〕52号及2024年工作计划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海应急呈〔2023〕52号及2024年工作计划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5、农房保险费绩效目标表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13030225P00020710006M</w:t>
            </w:r>
          </w:p>
        </w:tc>
        <w:tc>
          <w:tcPr>
            <w:tcW w:w="2835" w:type="dxa"/>
            <w:vAlign w:val="center"/>
          </w:tcPr>
          <w:p>
            <w:pPr>
              <w:pStyle w:val="10"/>
            </w:pPr>
            <w:r>
              <w:t>项目名称</w:t>
            </w:r>
          </w:p>
        </w:tc>
        <w:tc>
          <w:tcPr>
            <w:tcW w:w="6095" w:type="dxa"/>
            <w:gridSpan w:val="3"/>
            <w:vAlign w:val="center"/>
          </w:tcPr>
          <w:p>
            <w:pPr>
              <w:pStyle w:val="12"/>
            </w:pPr>
            <w:r>
              <w:t>农房保险费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缴纳农房保险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4.05</w:t>
            </w:r>
          </w:p>
        </w:tc>
        <w:tc>
          <w:tcPr>
            <w:tcW w:w="2835" w:type="dxa"/>
            <w:vAlign w:val="center"/>
          </w:tcPr>
          <w:p>
            <w:pPr>
              <w:pStyle w:val="13"/>
            </w:pPr>
            <w:r>
              <w:t>8.10</w:t>
            </w:r>
          </w:p>
        </w:tc>
        <w:tc>
          <w:tcPr>
            <w:tcW w:w="2551" w:type="dxa"/>
            <w:vAlign w:val="center"/>
          </w:tcPr>
          <w:p>
            <w:pPr>
              <w:pStyle w:val="13"/>
            </w:pPr>
            <w:r>
              <w:t>12.15</w:t>
            </w:r>
          </w:p>
        </w:tc>
        <w:tc>
          <w:tcPr>
            <w:tcW w:w="3544" w:type="dxa"/>
            <w:gridSpan w:val="2"/>
            <w:vAlign w:val="center"/>
          </w:tcPr>
          <w:p>
            <w:pPr>
              <w:pStyle w:val="13"/>
            </w:pPr>
            <w:r>
              <w:t>16.20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1.提高农户住房安全标准</w:t>
            </w:r>
          </w:p>
          <w:p>
            <w:pPr>
              <w:pStyle w:val="12"/>
            </w:pPr>
            <w:r>
              <w:t>2.全区5.4万户农村住房缴纳保险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缴纳农房保险数量</w:t>
            </w:r>
          </w:p>
        </w:tc>
        <w:tc>
          <w:tcPr>
            <w:tcW w:w="5386" w:type="dxa"/>
            <w:vAlign w:val="center"/>
          </w:tcPr>
          <w:p>
            <w:pPr>
              <w:pStyle w:val="12"/>
            </w:pPr>
            <w:r>
              <w:t>缴纳农房保险数量</w:t>
            </w:r>
          </w:p>
        </w:tc>
        <w:tc>
          <w:tcPr>
            <w:tcW w:w="2268" w:type="dxa"/>
            <w:vAlign w:val="center"/>
          </w:tcPr>
          <w:p>
            <w:pPr>
              <w:pStyle w:val="12"/>
            </w:pPr>
            <w:r>
              <w:t>≥5.4万户</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农房保险配套率</w:t>
            </w:r>
          </w:p>
        </w:tc>
        <w:tc>
          <w:tcPr>
            <w:tcW w:w="5386" w:type="dxa"/>
            <w:vAlign w:val="center"/>
          </w:tcPr>
          <w:p>
            <w:pPr>
              <w:pStyle w:val="12"/>
            </w:pPr>
            <w:r>
              <w:t>缴纳农房保险配套率</w:t>
            </w:r>
          </w:p>
          <w:p>
            <w:pPr>
              <w:pStyle w:val="12"/>
            </w:pPr>
          </w:p>
        </w:tc>
        <w:tc>
          <w:tcPr>
            <w:tcW w:w="2268" w:type="dxa"/>
            <w:vAlign w:val="center"/>
          </w:tcPr>
          <w:p>
            <w:pPr>
              <w:pStyle w:val="12"/>
            </w:pPr>
            <w:r>
              <w:t>100%</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农房保险缴纳支付及时率</w:t>
            </w:r>
          </w:p>
        </w:tc>
        <w:tc>
          <w:tcPr>
            <w:tcW w:w="5386" w:type="dxa"/>
            <w:vAlign w:val="center"/>
          </w:tcPr>
          <w:p>
            <w:pPr>
              <w:pStyle w:val="12"/>
            </w:pPr>
            <w:r>
              <w:t>农房保险缴纳支付及时率</w:t>
            </w:r>
          </w:p>
        </w:tc>
        <w:tc>
          <w:tcPr>
            <w:tcW w:w="2268" w:type="dxa"/>
            <w:vAlign w:val="center"/>
          </w:tcPr>
          <w:p>
            <w:pPr>
              <w:pStyle w:val="12"/>
            </w:pPr>
            <w:r>
              <w:t>100%</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所缴纳农房平均保险金额</w:t>
            </w:r>
          </w:p>
        </w:tc>
        <w:tc>
          <w:tcPr>
            <w:tcW w:w="5386" w:type="dxa"/>
            <w:vAlign w:val="center"/>
          </w:tcPr>
          <w:p>
            <w:pPr>
              <w:pStyle w:val="12"/>
            </w:pPr>
            <w:r>
              <w:t>所缴纳农房保险金额</w:t>
            </w:r>
          </w:p>
        </w:tc>
        <w:tc>
          <w:tcPr>
            <w:tcW w:w="2268" w:type="dxa"/>
            <w:vAlign w:val="center"/>
          </w:tcPr>
          <w:p>
            <w:pPr>
              <w:pStyle w:val="12"/>
            </w:pPr>
            <w:r>
              <w:t>≤4元/户</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提高农户住房安全标准</w:t>
            </w:r>
          </w:p>
        </w:tc>
        <w:tc>
          <w:tcPr>
            <w:tcW w:w="5386" w:type="dxa"/>
            <w:vAlign w:val="center"/>
          </w:tcPr>
          <w:p>
            <w:pPr>
              <w:pStyle w:val="12"/>
            </w:pPr>
            <w:r>
              <w:t>提高农户住房安全标准</w:t>
            </w:r>
          </w:p>
        </w:tc>
        <w:tc>
          <w:tcPr>
            <w:tcW w:w="2268" w:type="dxa"/>
            <w:vAlign w:val="center"/>
          </w:tcPr>
          <w:p>
            <w:pPr>
              <w:pStyle w:val="12"/>
            </w:pPr>
            <w:r>
              <w:t>比上年有所提高</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提高农户生活水平</w:t>
            </w:r>
          </w:p>
        </w:tc>
        <w:tc>
          <w:tcPr>
            <w:tcW w:w="5386" w:type="dxa"/>
            <w:vAlign w:val="center"/>
          </w:tcPr>
          <w:p>
            <w:pPr>
              <w:pStyle w:val="12"/>
            </w:pPr>
            <w:r>
              <w:t>农房保险配套达5.4万户</w:t>
            </w:r>
          </w:p>
        </w:tc>
        <w:tc>
          <w:tcPr>
            <w:tcW w:w="2268" w:type="dxa"/>
            <w:vAlign w:val="center"/>
          </w:tcPr>
          <w:p>
            <w:pPr>
              <w:pStyle w:val="12"/>
            </w:pPr>
            <w:r>
              <w:t>比上年有所提高</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提高农户财产安全</w:t>
            </w:r>
          </w:p>
        </w:tc>
        <w:tc>
          <w:tcPr>
            <w:tcW w:w="5386" w:type="dxa"/>
            <w:vAlign w:val="center"/>
          </w:tcPr>
          <w:p>
            <w:pPr>
              <w:pStyle w:val="12"/>
            </w:pPr>
            <w:r>
              <w:t>保障财产安全</w:t>
            </w:r>
          </w:p>
        </w:tc>
        <w:tc>
          <w:tcPr>
            <w:tcW w:w="2268" w:type="dxa"/>
            <w:vAlign w:val="center"/>
          </w:tcPr>
          <w:p>
            <w:pPr>
              <w:pStyle w:val="12"/>
            </w:pPr>
            <w:r>
              <w:t>比上年有所提高</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提高抵御自然灾害能力</w:t>
            </w:r>
          </w:p>
        </w:tc>
        <w:tc>
          <w:tcPr>
            <w:tcW w:w="5386" w:type="dxa"/>
            <w:vAlign w:val="center"/>
          </w:tcPr>
          <w:p>
            <w:pPr>
              <w:pStyle w:val="12"/>
            </w:pPr>
            <w:r>
              <w:t>抵御自然灾害意外事故风险能力</w:t>
            </w:r>
          </w:p>
        </w:tc>
        <w:tc>
          <w:tcPr>
            <w:tcW w:w="2268" w:type="dxa"/>
            <w:vAlign w:val="center"/>
          </w:tcPr>
          <w:p>
            <w:pPr>
              <w:pStyle w:val="12"/>
            </w:pPr>
            <w:r>
              <w:t>比上年有所提高</w:t>
            </w:r>
          </w:p>
        </w:tc>
        <w:tc>
          <w:tcPr>
            <w:tcW w:w="1276" w:type="dxa"/>
            <w:vAlign w:val="center"/>
          </w:tcPr>
          <w:p>
            <w:pPr>
              <w:pStyle w:val="12"/>
            </w:pPr>
            <w:r>
              <w:t>冀应急【2020】24号；冀财规【2020】13号  《秦皇岛市海港区政策性农房保险统保协议》及年初工作计划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受助群体满意度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冀应急【2020】24号；冀财规【2020】13号  《秦皇岛市海港区政策性农房保险统保协议》及年初工作计划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6、秦财建【2024】571号关于提前下达2025年自然灾害救助专项资金的通知绩效目标表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13030225P00020710001K</w:t>
            </w:r>
          </w:p>
        </w:tc>
        <w:tc>
          <w:tcPr>
            <w:tcW w:w="2835" w:type="dxa"/>
            <w:vAlign w:val="center"/>
          </w:tcPr>
          <w:p>
            <w:pPr>
              <w:pStyle w:val="10"/>
            </w:pPr>
            <w:r>
              <w:t>项目名称</w:t>
            </w:r>
          </w:p>
        </w:tc>
        <w:tc>
          <w:tcPr>
            <w:tcW w:w="6095" w:type="dxa"/>
            <w:gridSpan w:val="3"/>
            <w:vAlign w:val="center"/>
          </w:tcPr>
          <w:p>
            <w:pPr>
              <w:pStyle w:val="12"/>
            </w:pPr>
            <w:r>
              <w:t>秦财建【2024】571号关于提前下达2025年自然灾害救助专项资金的通知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w:t>
            </w:r>
          </w:p>
        </w:tc>
        <w:tc>
          <w:tcPr>
            <w:tcW w:w="2835" w:type="dxa"/>
            <w:vAlign w:val="center"/>
          </w:tcPr>
          <w:p>
            <w:pPr>
              <w:pStyle w:val="10"/>
            </w:pPr>
            <w:r>
              <w:t>其中：财政    资金</w:t>
            </w:r>
          </w:p>
        </w:tc>
        <w:tc>
          <w:tcPr>
            <w:tcW w:w="2551" w:type="dxa"/>
            <w:vAlign w:val="center"/>
          </w:tcPr>
          <w:p>
            <w:pPr>
              <w:pStyle w:val="12"/>
            </w:pPr>
            <w:r>
              <w:t>32.40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2025年自然灾害救助专项资金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8.10</w:t>
            </w:r>
          </w:p>
        </w:tc>
        <w:tc>
          <w:tcPr>
            <w:tcW w:w="2835" w:type="dxa"/>
            <w:vAlign w:val="center"/>
          </w:tcPr>
          <w:p>
            <w:pPr>
              <w:pStyle w:val="13"/>
            </w:pPr>
            <w:r>
              <w:t>16.20</w:t>
            </w:r>
          </w:p>
        </w:tc>
        <w:tc>
          <w:tcPr>
            <w:tcW w:w="2551" w:type="dxa"/>
            <w:vAlign w:val="center"/>
          </w:tcPr>
          <w:p>
            <w:pPr>
              <w:pStyle w:val="13"/>
            </w:pPr>
            <w:r>
              <w:t>24.30</w:t>
            </w:r>
          </w:p>
        </w:tc>
        <w:tc>
          <w:tcPr>
            <w:tcW w:w="3544" w:type="dxa"/>
            <w:gridSpan w:val="2"/>
            <w:vAlign w:val="center"/>
          </w:tcPr>
          <w:p>
            <w:pPr>
              <w:pStyle w:val="13"/>
            </w:pPr>
            <w:r>
              <w:t>32.40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1.通过引导社会力量资金参与救灾工作，充分发挥财政资金的放大作用，加大对受灾群众的救助水平，提升受灾农户抵御自然灾害和突发事故的能力。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开展政策性农房保险地区数量</w:t>
            </w:r>
          </w:p>
        </w:tc>
        <w:tc>
          <w:tcPr>
            <w:tcW w:w="5386" w:type="dxa"/>
            <w:vAlign w:val="center"/>
          </w:tcPr>
          <w:p>
            <w:pPr>
              <w:pStyle w:val="12"/>
            </w:pPr>
            <w:r>
              <w:t>开展政策性农房保险地区数量</w:t>
            </w:r>
          </w:p>
        </w:tc>
        <w:tc>
          <w:tcPr>
            <w:tcW w:w="2268" w:type="dxa"/>
            <w:vAlign w:val="center"/>
          </w:tcPr>
          <w:p>
            <w:pPr>
              <w:pStyle w:val="12"/>
            </w:pPr>
            <w:r>
              <w:t>6个</w:t>
            </w:r>
          </w:p>
        </w:tc>
        <w:tc>
          <w:tcPr>
            <w:tcW w:w="1276" w:type="dxa"/>
            <w:vAlign w:val="center"/>
          </w:tcPr>
          <w:p>
            <w:pPr>
              <w:pStyle w:val="12"/>
            </w:pPr>
            <w:r>
              <w:t>秦财建【2024】571号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农房保险出险赔付率</w:t>
            </w:r>
          </w:p>
        </w:tc>
        <w:tc>
          <w:tcPr>
            <w:tcW w:w="2268" w:type="dxa"/>
            <w:vAlign w:val="center"/>
          </w:tcPr>
          <w:p>
            <w:pPr>
              <w:pStyle w:val="12"/>
            </w:pPr>
            <w:r>
              <w:t>100%</w:t>
            </w:r>
          </w:p>
        </w:tc>
        <w:tc>
          <w:tcPr>
            <w:tcW w:w="1276" w:type="dxa"/>
            <w:vAlign w:val="center"/>
          </w:tcPr>
          <w:p>
            <w:pPr>
              <w:pStyle w:val="12"/>
            </w:pPr>
            <w:r>
              <w:t>秦财建【2024】571号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农房保险到期续保时间</w:t>
            </w:r>
          </w:p>
        </w:tc>
        <w:tc>
          <w:tcPr>
            <w:tcW w:w="2268" w:type="dxa"/>
            <w:vAlign w:val="center"/>
          </w:tcPr>
          <w:p>
            <w:pPr>
              <w:pStyle w:val="12"/>
            </w:pPr>
            <w:r>
              <w:t>≤1月</w:t>
            </w:r>
          </w:p>
        </w:tc>
        <w:tc>
          <w:tcPr>
            <w:tcW w:w="1276" w:type="dxa"/>
            <w:vAlign w:val="center"/>
          </w:tcPr>
          <w:p>
            <w:pPr>
              <w:pStyle w:val="12"/>
            </w:pPr>
            <w:r>
              <w:t>秦财建【2024】571号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提高人民群众防灾减灾意识</w:t>
            </w:r>
          </w:p>
        </w:tc>
        <w:tc>
          <w:tcPr>
            <w:tcW w:w="2268" w:type="dxa"/>
            <w:vAlign w:val="center"/>
          </w:tcPr>
          <w:p>
            <w:pPr>
              <w:pStyle w:val="12"/>
            </w:pPr>
            <w:r>
              <w:t>提高</w:t>
            </w:r>
          </w:p>
        </w:tc>
        <w:tc>
          <w:tcPr>
            <w:tcW w:w="1276" w:type="dxa"/>
            <w:vAlign w:val="center"/>
          </w:tcPr>
          <w:p>
            <w:pPr>
              <w:pStyle w:val="12"/>
            </w:pPr>
            <w:r>
              <w:t>秦财建【2024】571号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提高农户抵御灾害能力</w:t>
            </w:r>
          </w:p>
        </w:tc>
        <w:tc>
          <w:tcPr>
            <w:tcW w:w="5386" w:type="dxa"/>
            <w:vAlign w:val="center"/>
          </w:tcPr>
          <w:p>
            <w:pPr>
              <w:pStyle w:val="12"/>
            </w:pPr>
            <w:r>
              <w:t>提高农户抵御灾害能力</w:t>
            </w:r>
          </w:p>
        </w:tc>
        <w:tc>
          <w:tcPr>
            <w:tcW w:w="2268" w:type="dxa"/>
            <w:vAlign w:val="center"/>
          </w:tcPr>
          <w:p>
            <w:pPr>
              <w:pStyle w:val="12"/>
            </w:pPr>
            <w:r>
              <w:t>提高</w:t>
            </w:r>
          </w:p>
        </w:tc>
        <w:tc>
          <w:tcPr>
            <w:tcW w:w="1276" w:type="dxa"/>
            <w:vAlign w:val="center"/>
          </w:tcPr>
          <w:p>
            <w:pPr>
              <w:pStyle w:val="12"/>
            </w:pPr>
            <w:r>
              <w:t>秦财建【2024】571号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农房保险参保农户满意率</w:t>
            </w:r>
          </w:p>
        </w:tc>
        <w:tc>
          <w:tcPr>
            <w:tcW w:w="5386" w:type="dxa"/>
            <w:vAlign w:val="center"/>
          </w:tcPr>
          <w:p>
            <w:pPr>
              <w:pStyle w:val="12"/>
            </w:pPr>
            <w:r>
              <w:t>农房保险参保农户满意率</w:t>
            </w:r>
          </w:p>
        </w:tc>
        <w:tc>
          <w:tcPr>
            <w:tcW w:w="2268" w:type="dxa"/>
            <w:vAlign w:val="center"/>
          </w:tcPr>
          <w:p>
            <w:pPr>
              <w:pStyle w:val="12"/>
            </w:pPr>
            <w:r>
              <w:t>≥95%</w:t>
            </w:r>
          </w:p>
        </w:tc>
        <w:tc>
          <w:tcPr>
            <w:tcW w:w="1276" w:type="dxa"/>
            <w:vAlign w:val="center"/>
          </w:tcPr>
          <w:p>
            <w:pPr>
              <w:pStyle w:val="12"/>
            </w:pPr>
            <w:r>
              <w:t>秦财建【2024】571号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7、森林防火视频维护费（WL）绩效目标表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13030225P00456910002F</w:t>
            </w:r>
          </w:p>
        </w:tc>
        <w:tc>
          <w:tcPr>
            <w:tcW w:w="2835" w:type="dxa"/>
            <w:vAlign w:val="center"/>
          </w:tcPr>
          <w:p>
            <w:pPr>
              <w:pStyle w:val="10"/>
            </w:pPr>
            <w:r>
              <w:t>项目名称</w:t>
            </w:r>
          </w:p>
        </w:tc>
        <w:tc>
          <w:tcPr>
            <w:tcW w:w="6095" w:type="dxa"/>
            <w:gridSpan w:val="3"/>
            <w:vAlign w:val="center"/>
          </w:tcPr>
          <w:p>
            <w:pPr>
              <w:pStyle w:val="12"/>
            </w:pPr>
            <w:r>
              <w:t>森林防火视频维护费（WL）</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w:t>
            </w:r>
          </w:p>
        </w:tc>
        <w:tc>
          <w:tcPr>
            <w:tcW w:w="2835" w:type="dxa"/>
            <w:vAlign w:val="center"/>
          </w:tcPr>
          <w:p>
            <w:pPr>
              <w:pStyle w:val="10"/>
            </w:pPr>
            <w:r>
              <w:t>其中：财政    资金</w:t>
            </w:r>
          </w:p>
        </w:tc>
        <w:tc>
          <w:tcPr>
            <w:tcW w:w="2551" w:type="dxa"/>
            <w:vAlign w:val="center"/>
          </w:tcPr>
          <w:p>
            <w:pPr>
              <w:pStyle w:val="12"/>
            </w:pPr>
            <w:r>
              <w:t>119.00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支付森林防火系统维护费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1.进一步增强了全民森林防火意识，扩大宣传范围，确保森林资源安全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森林火视频监控系统点位数</w:t>
            </w:r>
          </w:p>
        </w:tc>
        <w:tc>
          <w:tcPr>
            <w:tcW w:w="5386" w:type="dxa"/>
            <w:vAlign w:val="center"/>
          </w:tcPr>
          <w:p>
            <w:pPr>
              <w:pStyle w:val="12"/>
            </w:pPr>
            <w:r>
              <w:t>森林火视频监控系统点位数</w:t>
            </w:r>
          </w:p>
        </w:tc>
        <w:tc>
          <w:tcPr>
            <w:tcW w:w="2268" w:type="dxa"/>
            <w:vAlign w:val="center"/>
          </w:tcPr>
          <w:p>
            <w:pPr>
              <w:pStyle w:val="12"/>
            </w:pPr>
            <w:r>
              <w:t>≥15个</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各项工作完成合格率</w:t>
            </w:r>
          </w:p>
        </w:tc>
        <w:tc>
          <w:tcPr>
            <w:tcW w:w="5386" w:type="dxa"/>
            <w:vAlign w:val="center"/>
          </w:tcPr>
          <w:p>
            <w:pPr>
              <w:pStyle w:val="12"/>
            </w:pPr>
            <w:r>
              <w:t>各项工作完成合格率</w:t>
            </w:r>
          </w:p>
        </w:tc>
        <w:tc>
          <w:tcPr>
            <w:tcW w:w="2268" w:type="dxa"/>
            <w:vAlign w:val="center"/>
          </w:tcPr>
          <w:p>
            <w:pPr>
              <w:pStyle w:val="12"/>
            </w:pPr>
            <w:r>
              <w:t>100%</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成本支出控制数</w:t>
            </w:r>
          </w:p>
        </w:tc>
        <w:tc>
          <w:tcPr>
            <w:tcW w:w="5386" w:type="dxa"/>
            <w:vAlign w:val="center"/>
          </w:tcPr>
          <w:p>
            <w:pPr>
              <w:pStyle w:val="12"/>
            </w:pPr>
            <w:r>
              <w:t>成本支出控制数小于等于预算金额</w:t>
            </w:r>
          </w:p>
        </w:tc>
        <w:tc>
          <w:tcPr>
            <w:tcW w:w="2268" w:type="dxa"/>
            <w:vAlign w:val="center"/>
          </w:tcPr>
          <w:p>
            <w:pPr>
              <w:pStyle w:val="12"/>
            </w:pPr>
            <w:r>
              <w:t>≤119万元</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 提高防火体系建设，提高全区森林防火力度</w:t>
            </w:r>
          </w:p>
        </w:tc>
        <w:tc>
          <w:tcPr>
            <w:tcW w:w="5386" w:type="dxa"/>
            <w:vAlign w:val="center"/>
          </w:tcPr>
          <w:p>
            <w:pPr>
              <w:pStyle w:val="12"/>
            </w:pPr>
            <w:r>
              <w:t>提高防火体系建设，提高全区森林防火力度</w:t>
            </w:r>
          </w:p>
        </w:tc>
        <w:tc>
          <w:tcPr>
            <w:tcW w:w="2268" w:type="dxa"/>
            <w:vAlign w:val="center"/>
          </w:tcPr>
          <w:p>
            <w:pPr>
              <w:pStyle w:val="12"/>
            </w:pPr>
            <w:r>
              <w:t>比上年有所提高</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维护林区社会治安稳定</w:t>
            </w:r>
          </w:p>
        </w:tc>
        <w:tc>
          <w:tcPr>
            <w:tcW w:w="5386" w:type="dxa"/>
            <w:vAlign w:val="center"/>
          </w:tcPr>
          <w:p>
            <w:pPr>
              <w:pStyle w:val="12"/>
            </w:pPr>
            <w:r>
              <w:t>维护林区社会治安稳定</w:t>
            </w:r>
          </w:p>
        </w:tc>
        <w:tc>
          <w:tcPr>
            <w:tcW w:w="2268" w:type="dxa"/>
            <w:vAlign w:val="center"/>
          </w:tcPr>
          <w:p>
            <w:pPr>
              <w:pStyle w:val="12"/>
            </w:pPr>
            <w:r>
              <w:t>比上年有所提高</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保障全区人民人身财产安全</w:t>
            </w:r>
          </w:p>
        </w:tc>
        <w:tc>
          <w:tcPr>
            <w:tcW w:w="5386" w:type="dxa"/>
            <w:vAlign w:val="center"/>
          </w:tcPr>
          <w:p>
            <w:pPr>
              <w:pStyle w:val="12"/>
            </w:pPr>
            <w:r>
              <w:t>保障全区人民人身财产安全</w:t>
            </w:r>
          </w:p>
        </w:tc>
        <w:tc>
          <w:tcPr>
            <w:tcW w:w="2268" w:type="dxa"/>
            <w:vAlign w:val="center"/>
          </w:tcPr>
          <w:p>
            <w:pPr>
              <w:pStyle w:val="12"/>
            </w:pPr>
            <w:r>
              <w:t>比上年有所提高</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保护林区生态环境</w:t>
            </w:r>
          </w:p>
        </w:tc>
        <w:tc>
          <w:tcPr>
            <w:tcW w:w="5386" w:type="dxa"/>
            <w:vAlign w:val="center"/>
          </w:tcPr>
          <w:p>
            <w:pPr>
              <w:pStyle w:val="12"/>
            </w:pPr>
            <w:r>
              <w:t>保护林区生态环境</w:t>
            </w:r>
          </w:p>
        </w:tc>
        <w:tc>
          <w:tcPr>
            <w:tcW w:w="2268" w:type="dxa"/>
            <w:vAlign w:val="center"/>
          </w:tcPr>
          <w:p>
            <w:pPr>
              <w:pStyle w:val="12"/>
            </w:pPr>
            <w:r>
              <w:t>比上年有所提高</w:t>
            </w:r>
          </w:p>
        </w:tc>
        <w:tc>
          <w:tcPr>
            <w:tcW w:w="1276" w:type="dxa"/>
            <w:vAlign w:val="center"/>
          </w:tcPr>
          <w:p>
            <w:pPr>
              <w:pStyle w:val="12"/>
            </w:pPr>
            <w:r>
              <w:t>海编【2021】28号及年初工作计划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海编【2021】28号及年初工作计划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8、应急救援（含防汛抗旱）专项经费绩效目标表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13030225P00004210001L</w:t>
            </w:r>
          </w:p>
        </w:tc>
        <w:tc>
          <w:tcPr>
            <w:tcW w:w="2835" w:type="dxa"/>
            <w:vAlign w:val="center"/>
          </w:tcPr>
          <w:p>
            <w:pPr>
              <w:pStyle w:val="10"/>
            </w:pPr>
            <w:r>
              <w:t>项目名称</w:t>
            </w:r>
          </w:p>
        </w:tc>
        <w:tc>
          <w:tcPr>
            <w:tcW w:w="6095" w:type="dxa"/>
            <w:gridSpan w:val="3"/>
            <w:vAlign w:val="center"/>
          </w:tcPr>
          <w:p>
            <w:pPr>
              <w:pStyle w:val="12"/>
            </w:pPr>
            <w:r>
              <w:t>应急救援（含防汛抗旱）专项经费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用于物资储备，以及应急救援、防汛演练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1.指导协调全区防汛抗旱工作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防汛物资储备工作完成率</w:t>
            </w:r>
          </w:p>
        </w:tc>
        <w:tc>
          <w:tcPr>
            <w:tcW w:w="5386" w:type="dxa"/>
            <w:vAlign w:val="center"/>
          </w:tcPr>
          <w:p>
            <w:pPr>
              <w:pStyle w:val="12"/>
            </w:pPr>
            <w:r>
              <w:t>防汛物资储备工作完成率</w:t>
            </w:r>
          </w:p>
        </w:tc>
        <w:tc>
          <w:tcPr>
            <w:tcW w:w="2268" w:type="dxa"/>
            <w:vAlign w:val="center"/>
          </w:tcPr>
          <w:p>
            <w:pPr>
              <w:pStyle w:val="12"/>
            </w:pPr>
            <w:r>
              <w:t>100%</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各项工作完成合格率</w:t>
            </w:r>
          </w:p>
        </w:tc>
        <w:tc>
          <w:tcPr>
            <w:tcW w:w="5386" w:type="dxa"/>
            <w:vAlign w:val="center"/>
          </w:tcPr>
          <w:p>
            <w:pPr>
              <w:pStyle w:val="12"/>
            </w:pPr>
            <w:r>
              <w:t>各项工作完成合格率</w:t>
            </w:r>
          </w:p>
        </w:tc>
        <w:tc>
          <w:tcPr>
            <w:tcW w:w="2268" w:type="dxa"/>
            <w:vAlign w:val="center"/>
          </w:tcPr>
          <w:p>
            <w:pPr>
              <w:pStyle w:val="12"/>
            </w:pPr>
            <w:r>
              <w:t>100%</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防汛抗旱专项经费总支出数</w:t>
            </w:r>
          </w:p>
        </w:tc>
        <w:tc>
          <w:tcPr>
            <w:tcW w:w="5386" w:type="dxa"/>
            <w:vAlign w:val="center"/>
          </w:tcPr>
          <w:p>
            <w:pPr>
              <w:pStyle w:val="12"/>
            </w:pPr>
            <w:r>
              <w:t>防汛抗旱专项经费总支出数小于等于预算金额</w:t>
            </w:r>
          </w:p>
        </w:tc>
        <w:tc>
          <w:tcPr>
            <w:tcW w:w="2268" w:type="dxa"/>
            <w:vAlign w:val="center"/>
          </w:tcPr>
          <w:p>
            <w:pPr>
              <w:pStyle w:val="12"/>
            </w:pPr>
            <w:r>
              <w:t>50万元</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提高防汛抗旱体系建设</w:t>
            </w:r>
          </w:p>
        </w:tc>
        <w:tc>
          <w:tcPr>
            <w:tcW w:w="5386" w:type="dxa"/>
            <w:vAlign w:val="center"/>
          </w:tcPr>
          <w:p>
            <w:pPr>
              <w:pStyle w:val="12"/>
            </w:pPr>
            <w:r>
              <w:t>提高防汛抗旱体系建设</w:t>
            </w:r>
          </w:p>
        </w:tc>
        <w:tc>
          <w:tcPr>
            <w:tcW w:w="2268" w:type="dxa"/>
            <w:vAlign w:val="center"/>
          </w:tcPr>
          <w:p>
            <w:pPr>
              <w:pStyle w:val="12"/>
            </w:pPr>
            <w:r>
              <w:t>比上年有所提高</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提高应急管理能力，维护社会稳定</w:t>
            </w:r>
          </w:p>
        </w:tc>
        <w:tc>
          <w:tcPr>
            <w:tcW w:w="5386" w:type="dxa"/>
            <w:vAlign w:val="center"/>
          </w:tcPr>
          <w:p>
            <w:pPr>
              <w:pStyle w:val="12"/>
            </w:pPr>
            <w:r>
              <w:t>提高应急管理能力，维护社会稳定</w:t>
            </w:r>
          </w:p>
        </w:tc>
        <w:tc>
          <w:tcPr>
            <w:tcW w:w="2268" w:type="dxa"/>
            <w:vAlign w:val="center"/>
          </w:tcPr>
          <w:p>
            <w:pPr>
              <w:pStyle w:val="12"/>
            </w:pPr>
            <w:r>
              <w:t>比上年有所提高</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保障全区人民人身财产安全</w:t>
            </w:r>
          </w:p>
        </w:tc>
        <w:tc>
          <w:tcPr>
            <w:tcW w:w="5386" w:type="dxa"/>
            <w:vAlign w:val="center"/>
          </w:tcPr>
          <w:p>
            <w:pPr>
              <w:pStyle w:val="12"/>
            </w:pPr>
            <w:r>
              <w:t>保障全区人民人身财产安全</w:t>
            </w:r>
          </w:p>
        </w:tc>
        <w:tc>
          <w:tcPr>
            <w:tcW w:w="2268" w:type="dxa"/>
            <w:vAlign w:val="center"/>
          </w:tcPr>
          <w:p>
            <w:pPr>
              <w:pStyle w:val="12"/>
            </w:pPr>
            <w:r>
              <w:t>比上年有所提高</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保障生态安全</w:t>
            </w:r>
          </w:p>
        </w:tc>
        <w:tc>
          <w:tcPr>
            <w:tcW w:w="5386" w:type="dxa"/>
            <w:vAlign w:val="center"/>
          </w:tcPr>
          <w:p>
            <w:pPr>
              <w:pStyle w:val="12"/>
            </w:pPr>
            <w:r>
              <w:t>保障生态安全</w:t>
            </w:r>
          </w:p>
        </w:tc>
        <w:tc>
          <w:tcPr>
            <w:tcW w:w="2268" w:type="dxa"/>
            <w:vAlign w:val="center"/>
          </w:tcPr>
          <w:p>
            <w:pPr>
              <w:pStyle w:val="12"/>
            </w:pPr>
            <w:r>
              <w:t>比上年有所提高</w:t>
            </w:r>
          </w:p>
        </w:tc>
        <w:tc>
          <w:tcPr>
            <w:tcW w:w="1276" w:type="dxa"/>
            <w:vAlign w:val="center"/>
          </w:tcPr>
          <w:p>
            <w:pPr>
              <w:pStyle w:val="12"/>
            </w:pPr>
            <w:r>
              <w:t>海编【2022】7号及2024年工作计划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海编【2022】7号及2024年工作计划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9、应急救援队专项资金（RY)绩效目标表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13030225P00021110002C</w:t>
            </w:r>
          </w:p>
        </w:tc>
        <w:tc>
          <w:tcPr>
            <w:tcW w:w="2835" w:type="dxa"/>
            <w:vAlign w:val="center"/>
          </w:tcPr>
          <w:p>
            <w:pPr>
              <w:pStyle w:val="10"/>
            </w:pPr>
            <w:r>
              <w:t>项目名称</w:t>
            </w:r>
          </w:p>
        </w:tc>
        <w:tc>
          <w:tcPr>
            <w:tcW w:w="6095" w:type="dxa"/>
            <w:gridSpan w:val="3"/>
            <w:vAlign w:val="center"/>
          </w:tcPr>
          <w:p>
            <w:pPr>
              <w:pStyle w:val="12"/>
            </w:pPr>
            <w:r>
              <w:t>应急救援队专项资金（RY)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应急救援队专项资金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1.保护森林面积，巡山护林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应急保障车辆的数量</w:t>
            </w:r>
          </w:p>
        </w:tc>
        <w:tc>
          <w:tcPr>
            <w:tcW w:w="5386" w:type="dxa"/>
            <w:vAlign w:val="center"/>
          </w:tcPr>
          <w:p>
            <w:pPr>
              <w:pStyle w:val="12"/>
            </w:pPr>
            <w:r>
              <w:t>应急保障车辆的数量</w:t>
            </w:r>
          </w:p>
        </w:tc>
        <w:tc>
          <w:tcPr>
            <w:tcW w:w="2268" w:type="dxa"/>
            <w:vAlign w:val="center"/>
          </w:tcPr>
          <w:p>
            <w:pPr>
              <w:pStyle w:val="12"/>
            </w:pPr>
            <w:r>
              <w:t xml:space="preserve">≥18台 </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火灾应急救援工作有效性</w:t>
            </w:r>
          </w:p>
        </w:tc>
        <w:tc>
          <w:tcPr>
            <w:tcW w:w="5386" w:type="dxa"/>
            <w:vAlign w:val="center"/>
          </w:tcPr>
          <w:p>
            <w:pPr>
              <w:pStyle w:val="12"/>
            </w:pPr>
            <w:r>
              <w:t>火灾应急救援工作有效开展，降低火灾危害</w:t>
            </w:r>
          </w:p>
        </w:tc>
        <w:tc>
          <w:tcPr>
            <w:tcW w:w="2268" w:type="dxa"/>
            <w:vAlign w:val="center"/>
          </w:tcPr>
          <w:p>
            <w:pPr>
              <w:pStyle w:val="12"/>
            </w:pPr>
            <w:r>
              <w:t>100%</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消防人员人均支出成本</w:t>
            </w:r>
          </w:p>
        </w:tc>
        <w:tc>
          <w:tcPr>
            <w:tcW w:w="5386" w:type="dxa"/>
            <w:vAlign w:val="center"/>
          </w:tcPr>
          <w:p>
            <w:pPr>
              <w:pStyle w:val="12"/>
            </w:pPr>
            <w:r>
              <w:t>消防人员人均支出成本</w:t>
            </w:r>
          </w:p>
        </w:tc>
        <w:tc>
          <w:tcPr>
            <w:tcW w:w="2268" w:type="dxa"/>
            <w:vAlign w:val="center"/>
          </w:tcPr>
          <w:p>
            <w:pPr>
              <w:pStyle w:val="12"/>
            </w:pPr>
            <w:r>
              <w:t>≤7.19万元/人</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严密防范森林火灾的发生，确保森林资源安全。</w:t>
            </w:r>
          </w:p>
        </w:tc>
        <w:tc>
          <w:tcPr>
            <w:tcW w:w="5386" w:type="dxa"/>
            <w:vAlign w:val="center"/>
          </w:tcPr>
          <w:p>
            <w:pPr>
              <w:pStyle w:val="12"/>
            </w:pPr>
            <w:r>
              <w:t>严密防范森林火灾的发生，确保森林资源安全。</w:t>
            </w:r>
          </w:p>
        </w:tc>
        <w:tc>
          <w:tcPr>
            <w:tcW w:w="2268" w:type="dxa"/>
            <w:vAlign w:val="center"/>
          </w:tcPr>
          <w:p>
            <w:pPr>
              <w:pStyle w:val="12"/>
            </w:pPr>
            <w:r>
              <w:t>比上年有所提高</w:t>
            </w:r>
          </w:p>
          <w:p>
            <w:pPr>
              <w:pStyle w:val="12"/>
            </w:pP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日常巡山护林，保护森林资源安全。</w:t>
            </w:r>
          </w:p>
        </w:tc>
        <w:tc>
          <w:tcPr>
            <w:tcW w:w="5386" w:type="dxa"/>
            <w:vAlign w:val="center"/>
          </w:tcPr>
          <w:p>
            <w:pPr>
              <w:pStyle w:val="12"/>
            </w:pPr>
            <w:r>
              <w:t>日常巡山护林，保护森林资源安全。</w:t>
            </w:r>
          </w:p>
        </w:tc>
        <w:tc>
          <w:tcPr>
            <w:tcW w:w="2268" w:type="dxa"/>
            <w:vAlign w:val="center"/>
          </w:tcPr>
          <w:p>
            <w:pPr>
              <w:pStyle w:val="12"/>
            </w:pPr>
            <w:r>
              <w:t>比上年有所提高</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减少经济损失</w:t>
            </w:r>
          </w:p>
        </w:tc>
        <w:tc>
          <w:tcPr>
            <w:tcW w:w="5386" w:type="dxa"/>
            <w:vAlign w:val="center"/>
          </w:tcPr>
          <w:p>
            <w:pPr>
              <w:pStyle w:val="12"/>
            </w:pPr>
            <w:r>
              <w:t>减少经济损失</w:t>
            </w:r>
          </w:p>
        </w:tc>
        <w:tc>
          <w:tcPr>
            <w:tcW w:w="2268" w:type="dxa"/>
            <w:vAlign w:val="center"/>
          </w:tcPr>
          <w:p>
            <w:pPr>
              <w:pStyle w:val="12"/>
            </w:pPr>
            <w:r>
              <w:t>比上年有所提高</w:t>
            </w: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有效保护森林资源、生态环境安全。</w:t>
            </w:r>
          </w:p>
        </w:tc>
        <w:tc>
          <w:tcPr>
            <w:tcW w:w="5386" w:type="dxa"/>
            <w:vAlign w:val="center"/>
          </w:tcPr>
          <w:p>
            <w:pPr>
              <w:pStyle w:val="12"/>
            </w:pPr>
            <w:r>
              <w:t>有效保护森林资源、生态环境安全。</w:t>
            </w:r>
          </w:p>
        </w:tc>
        <w:tc>
          <w:tcPr>
            <w:tcW w:w="2268" w:type="dxa"/>
            <w:vAlign w:val="center"/>
          </w:tcPr>
          <w:p>
            <w:pPr>
              <w:pStyle w:val="12"/>
            </w:pPr>
            <w:r>
              <w:t>比上年有所提高</w:t>
            </w:r>
          </w:p>
          <w:p>
            <w:pPr>
              <w:pStyle w:val="12"/>
            </w:pPr>
          </w:p>
        </w:tc>
        <w:tc>
          <w:tcPr>
            <w:tcW w:w="1276" w:type="dxa"/>
            <w:vAlign w:val="center"/>
          </w:tcPr>
          <w:p>
            <w:pPr>
              <w:pStyle w:val="12"/>
            </w:pPr>
            <w:r>
              <w:t>海应急呈【2025】3号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消防人员的满意度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海应急呈【2025】3号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10、政府救助保险费绩效目标表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13030225P000207100079</w:t>
            </w:r>
          </w:p>
        </w:tc>
        <w:tc>
          <w:tcPr>
            <w:tcW w:w="2835" w:type="dxa"/>
            <w:vAlign w:val="center"/>
          </w:tcPr>
          <w:p>
            <w:pPr>
              <w:pStyle w:val="10"/>
            </w:pPr>
            <w:r>
              <w:t>项目名称</w:t>
            </w:r>
          </w:p>
        </w:tc>
        <w:tc>
          <w:tcPr>
            <w:tcW w:w="6095" w:type="dxa"/>
            <w:gridSpan w:val="3"/>
            <w:vAlign w:val="center"/>
          </w:tcPr>
          <w:p>
            <w:pPr>
              <w:pStyle w:val="12"/>
            </w:pPr>
            <w:r>
              <w:t>政府救助保险费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w:t>
            </w:r>
          </w:p>
        </w:tc>
        <w:tc>
          <w:tcPr>
            <w:tcW w:w="2835" w:type="dxa"/>
            <w:vAlign w:val="center"/>
          </w:tcPr>
          <w:p>
            <w:pPr>
              <w:pStyle w:val="10"/>
            </w:pPr>
            <w:r>
              <w:t>其中：财政    资金</w:t>
            </w:r>
          </w:p>
        </w:tc>
        <w:tc>
          <w:tcPr>
            <w:tcW w:w="2551" w:type="dxa"/>
            <w:vAlign w:val="center"/>
          </w:tcPr>
          <w:p>
            <w:pPr>
              <w:pStyle w:val="12"/>
            </w:pPr>
            <w:r>
              <w:t>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缴纳政府救助保险费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70.00</w:t>
            </w:r>
          </w:p>
        </w:tc>
        <w:tc>
          <w:tcPr>
            <w:tcW w:w="2551" w:type="dxa"/>
            <w:vAlign w:val="center"/>
          </w:tcPr>
          <w:p>
            <w:pPr>
              <w:pStyle w:val="13"/>
            </w:pPr>
            <w:r>
              <w:t>70.00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1.提供自然灾害伤亡救助、见义勇为伤亡救助、火灾爆炸伤亡救助、拥挤踩踏伤亡救助、恐怖活动伤亡救助、重大恶性案件伤害伤亡救助、道路交通事故伤亡救助、流动人口伤亡救助等意外事故的风险保障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需缴纳保险人数</w:t>
            </w:r>
          </w:p>
        </w:tc>
        <w:tc>
          <w:tcPr>
            <w:tcW w:w="5386" w:type="dxa"/>
            <w:vAlign w:val="center"/>
          </w:tcPr>
          <w:p>
            <w:pPr>
              <w:pStyle w:val="12"/>
            </w:pPr>
            <w:r>
              <w:t>需缴纳保险人数</w:t>
            </w:r>
          </w:p>
        </w:tc>
        <w:tc>
          <w:tcPr>
            <w:tcW w:w="2268" w:type="dxa"/>
            <w:vAlign w:val="center"/>
          </w:tcPr>
          <w:p>
            <w:pPr>
              <w:pStyle w:val="12"/>
            </w:pPr>
            <w:r>
              <w:t>≥100万人</w:t>
            </w:r>
          </w:p>
        </w:tc>
        <w:tc>
          <w:tcPr>
            <w:tcW w:w="1276" w:type="dxa"/>
            <w:vAlign w:val="center"/>
          </w:tcPr>
          <w:p>
            <w:pPr>
              <w:pStyle w:val="12"/>
            </w:pPr>
            <w:r>
              <w:t>海政办通【2020】4号及年初工作计划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需缴纳保险人数覆盖率</w:t>
            </w:r>
          </w:p>
        </w:tc>
        <w:tc>
          <w:tcPr>
            <w:tcW w:w="5386" w:type="dxa"/>
            <w:vAlign w:val="center"/>
          </w:tcPr>
          <w:p>
            <w:pPr>
              <w:pStyle w:val="12"/>
            </w:pPr>
            <w:r>
              <w:t>需缴纳保险人数覆盖率</w:t>
            </w:r>
          </w:p>
        </w:tc>
        <w:tc>
          <w:tcPr>
            <w:tcW w:w="2268" w:type="dxa"/>
            <w:vAlign w:val="center"/>
          </w:tcPr>
          <w:p>
            <w:pPr>
              <w:pStyle w:val="12"/>
            </w:pPr>
            <w:r>
              <w:t>100%</w:t>
            </w:r>
          </w:p>
        </w:tc>
        <w:tc>
          <w:tcPr>
            <w:tcW w:w="1276" w:type="dxa"/>
            <w:vAlign w:val="center"/>
          </w:tcPr>
          <w:p>
            <w:pPr>
              <w:pStyle w:val="12"/>
            </w:pPr>
            <w:r>
              <w:t>海政办通【2020】4号及年初工作计划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海政办通【2020】4号及年初工作计划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人均支出成本</w:t>
            </w:r>
          </w:p>
        </w:tc>
        <w:tc>
          <w:tcPr>
            <w:tcW w:w="5386" w:type="dxa"/>
            <w:vAlign w:val="center"/>
          </w:tcPr>
          <w:p>
            <w:pPr>
              <w:pStyle w:val="12"/>
            </w:pPr>
            <w:r>
              <w:t>人均支出成本小于等于预算人均成本</w:t>
            </w:r>
          </w:p>
        </w:tc>
        <w:tc>
          <w:tcPr>
            <w:tcW w:w="2268" w:type="dxa"/>
            <w:vAlign w:val="center"/>
          </w:tcPr>
          <w:p>
            <w:pPr>
              <w:pStyle w:val="12"/>
            </w:pPr>
            <w:r>
              <w:t>≤3元</w:t>
            </w:r>
          </w:p>
        </w:tc>
        <w:tc>
          <w:tcPr>
            <w:tcW w:w="1276" w:type="dxa"/>
            <w:vAlign w:val="center"/>
          </w:tcPr>
          <w:p>
            <w:pPr>
              <w:pStyle w:val="12"/>
            </w:pPr>
            <w:r>
              <w:t>海政办通【2020】4号及年初工作计划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保障受灾群众基本生活，减少经济损失</w:t>
            </w:r>
          </w:p>
        </w:tc>
        <w:tc>
          <w:tcPr>
            <w:tcW w:w="5386" w:type="dxa"/>
            <w:vAlign w:val="center"/>
          </w:tcPr>
          <w:p>
            <w:pPr>
              <w:pStyle w:val="12"/>
            </w:pPr>
            <w:r>
              <w:t>保障受灾群众基本生活，减少经济损失</w:t>
            </w:r>
          </w:p>
        </w:tc>
        <w:tc>
          <w:tcPr>
            <w:tcW w:w="2268" w:type="dxa"/>
            <w:vAlign w:val="center"/>
          </w:tcPr>
          <w:p>
            <w:pPr>
              <w:pStyle w:val="12"/>
            </w:pPr>
            <w:r>
              <w:t>比上年有所提高</w:t>
            </w:r>
          </w:p>
        </w:tc>
        <w:tc>
          <w:tcPr>
            <w:tcW w:w="1276" w:type="dxa"/>
            <w:vAlign w:val="center"/>
          </w:tcPr>
          <w:p>
            <w:pPr>
              <w:pStyle w:val="12"/>
            </w:pPr>
            <w:r>
              <w:t>海政办通【2020】4号及年初工作计划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海政办通【2020】4号及年初工作计划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11、自然灾害应急能力提升工程预警指挥项目绩效目标表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13030225P000207100052</w:t>
            </w:r>
          </w:p>
        </w:tc>
        <w:tc>
          <w:tcPr>
            <w:tcW w:w="2835" w:type="dxa"/>
            <w:vAlign w:val="center"/>
          </w:tcPr>
          <w:p>
            <w:pPr>
              <w:pStyle w:val="10"/>
            </w:pPr>
            <w:r>
              <w:t>项目名称</w:t>
            </w:r>
          </w:p>
        </w:tc>
        <w:tc>
          <w:tcPr>
            <w:tcW w:w="6095" w:type="dxa"/>
            <w:gridSpan w:val="3"/>
            <w:vAlign w:val="center"/>
          </w:tcPr>
          <w:p>
            <w:pPr>
              <w:pStyle w:val="12"/>
            </w:pPr>
            <w:r>
              <w:t>自然灾害应急能力提升工程预警指挥项目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支付自然灾害应急能力提升工程预警指挥项目经费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1.通过升级改造屏幕，升级音视频、会议系统和业务终端等，升级完善应急管理综合应用平台，提高应急通信能力，提升区应急指挥中心建设水平。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项目设备购置套数</w:t>
            </w:r>
          </w:p>
        </w:tc>
        <w:tc>
          <w:tcPr>
            <w:tcW w:w="5386" w:type="dxa"/>
            <w:vAlign w:val="center"/>
          </w:tcPr>
          <w:p>
            <w:pPr>
              <w:pStyle w:val="12"/>
            </w:pPr>
            <w:r>
              <w:t>升级改造屏幕及相关设备1套，音频控制及扩音设备1套，高清视频分布式显示设备1套，指挥中心视频配套设备1套，业务终端10台</w:t>
            </w:r>
          </w:p>
        </w:tc>
        <w:tc>
          <w:tcPr>
            <w:tcW w:w="2268" w:type="dxa"/>
            <w:vAlign w:val="center"/>
          </w:tcPr>
          <w:p>
            <w:pPr>
              <w:pStyle w:val="12"/>
            </w:pPr>
            <w:r>
              <w:t>≥14套</w:t>
            </w:r>
          </w:p>
        </w:tc>
        <w:tc>
          <w:tcPr>
            <w:tcW w:w="1276" w:type="dxa"/>
            <w:vAlign w:val="center"/>
          </w:tcPr>
          <w:p>
            <w:pPr>
              <w:pStyle w:val="12"/>
            </w:pPr>
            <w:r>
              <w:t>冀财建【2024】29号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反映购置设备质量合格情况</w:t>
            </w:r>
          </w:p>
        </w:tc>
        <w:tc>
          <w:tcPr>
            <w:tcW w:w="2268" w:type="dxa"/>
            <w:vAlign w:val="center"/>
          </w:tcPr>
          <w:p>
            <w:pPr>
              <w:pStyle w:val="12"/>
            </w:pPr>
            <w:r>
              <w:t>100%</w:t>
            </w:r>
          </w:p>
        </w:tc>
        <w:tc>
          <w:tcPr>
            <w:tcW w:w="1276" w:type="dxa"/>
            <w:vAlign w:val="center"/>
          </w:tcPr>
          <w:p>
            <w:pPr>
              <w:pStyle w:val="12"/>
            </w:pPr>
            <w:r>
              <w:t>冀财建【2024】29号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反映设备购置工作的完成时间</w:t>
            </w:r>
          </w:p>
        </w:tc>
        <w:tc>
          <w:tcPr>
            <w:tcW w:w="2268" w:type="dxa"/>
            <w:vAlign w:val="center"/>
          </w:tcPr>
          <w:p>
            <w:pPr>
              <w:pStyle w:val="12"/>
            </w:pPr>
            <w:r>
              <w:t>2025年12月31日前</w:t>
            </w:r>
          </w:p>
        </w:tc>
        <w:tc>
          <w:tcPr>
            <w:tcW w:w="1276" w:type="dxa"/>
            <w:vAlign w:val="center"/>
          </w:tcPr>
          <w:p>
            <w:pPr>
              <w:pStyle w:val="12"/>
            </w:pPr>
            <w:r>
              <w:t>冀财建【2024】29号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项目设备购置安装成本预算</w:t>
            </w:r>
          </w:p>
        </w:tc>
        <w:tc>
          <w:tcPr>
            <w:tcW w:w="5386" w:type="dxa"/>
            <w:vAlign w:val="center"/>
          </w:tcPr>
          <w:p>
            <w:pPr>
              <w:pStyle w:val="12"/>
            </w:pPr>
            <w:r>
              <w:t>计划购置项目设备采购安装成本预算</w:t>
            </w:r>
          </w:p>
        </w:tc>
        <w:tc>
          <w:tcPr>
            <w:tcW w:w="2268" w:type="dxa"/>
            <w:vAlign w:val="center"/>
          </w:tcPr>
          <w:p>
            <w:pPr>
              <w:pStyle w:val="12"/>
            </w:pPr>
            <w:r>
              <w:t>≤7.79万元</w:t>
            </w:r>
          </w:p>
        </w:tc>
        <w:tc>
          <w:tcPr>
            <w:tcW w:w="1276" w:type="dxa"/>
            <w:vAlign w:val="center"/>
          </w:tcPr>
          <w:p>
            <w:pPr>
              <w:pStyle w:val="12"/>
            </w:pPr>
            <w:r>
              <w:t>冀财建【2024】29号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购置设备的持续使用年限</w:t>
            </w:r>
          </w:p>
        </w:tc>
        <w:tc>
          <w:tcPr>
            <w:tcW w:w="5386" w:type="dxa"/>
            <w:vAlign w:val="center"/>
          </w:tcPr>
          <w:p>
            <w:pPr>
              <w:pStyle w:val="12"/>
            </w:pPr>
            <w:r>
              <w:t>反映设备正常使用年限</w:t>
            </w:r>
          </w:p>
        </w:tc>
        <w:tc>
          <w:tcPr>
            <w:tcW w:w="2268" w:type="dxa"/>
            <w:vAlign w:val="center"/>
          </w:tcPr>
          <w:p>
            <w:pPr>
              <w:pStyle w:val="12"/>
            </w:pPr>
            <w:r>
              <w:t>≥5年</w:t>
            </w:r>
          </w:p>
        </w:tc>
        <w:tc>
          <w:tcPr>
            <w:tcW w:w="1276" w:type="dxa"/>
            <w:vAlign w:val="center"/>
          </w:tcPr>
          <w:p>
            <w:pPr>
              <w:pStyle w:val="12"/>
            </w:pPr>
            <w:r>
              <w:t>冀财建【2024】29号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装备使用人员对设备使用效果的满意程度</w:t>
            </w:r>
          </w:p>
        </w:tc>
        <w:tc>
          <w:tcPr>
            <w:tcW w:w="5386" w:type="dxa"/>
            <w:vAlign w:val="center"/>
          </w:tcPr>
          <w:p>
            <w:pPr>
              <w:pStyle w:val="12"/>
            </w:pPr>
            <w:r>
              <w:t>通过问卷调查设备使用人员对设备使用效果的满意程度</w:t>
            </w:r>
          </w:p>
        </w:tc>
        <w:tc>
          <w:tcPr>
            <w:tcW w:w="2268" w:type="dxa"/>
            <w:vAlign w:val="center"/>
          </w:tcPr>
          <w:p>
            <w:pPr>
              <w:pStyle w:val="12"/>
            </w:pPr>
            <w:r>
              <w:t>≥98%</w:t>
            </w:r>
          </w:p>
        </w:tc>
        <w:tc>
          <w:tcPr>
            <w:tcW w:w="1276" w:type="dxa"/>
            <w:vAlign w:val="center"/>
          </w:tcPr>
          <w:p>
            <w:pPr>
              <w:pStyle w:val="12"/>
            </w:pPr>
            <w:r>
              <w:t>冀财建【2024】29号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574.09</w:t>
            </w:r>
          </w:p>
        </w:tc>
        <w:tc>
          <w:tcPr>
            <w:tcW w:w="964" w:type="dxa"/>
            <w:vAlign w:val="center"/>
          </w:tcPr>
          <w:p>
            <w:pPr>
              <w:pStyle w:val="15"/>
            </w:pPr>
            <w:r>
              <w:t>574.09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574.09</w:t>
            </w:r>
          </w:p>
        </w:tc>
        <w:tc>
          <w:tcPr>
            <w:tcW w:w="964" w:type="dxa"/>
            <w:vAlign w:val="center"/>
          </w:tcPr>
          <w:p>
            <w:pPr>
              <w:pStyle w:val="15"/>
            </w:pPr>
            <w:r>
              <w:t>574.09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87.29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25</w:t>
            </w:r>
          </w:p>
        </w:tc>
        <w:tc>
          <w:tcPr>
            <w:tcW w:w="850" w:type="dxa"/>
            <w:vAlign w:val="center"/>
          </w:tcPr>
          <w:p>
            <w:pPr>
              <w:pStyle w:val="11"/>
            </w:pPr>
            <w:r>
              <w:t>0.42</w:t>
            </w:r>
          </w:p>
        </w:tc>
        <w:tc>
          <w:tcPr>
            <w:tcW w:w="964" w:type="dxa"/>
            <w:vAlign w:val="center"/>
          </w:tcPr>
          <w:p>
            <w:pPr>
              <w:pStyle w:val="11"/>
            </w:pPr>
            <w:r>
              <w:t>10.50</w:t>
            </w:r>
          </w:p>
        </w:tc>
        <w:tc>
          <w:tcPr>
            <w:tcW w:w="964" w:type="dxa"/>
            <w:vAlign w:val="center"/>
          </w:tcPr>
          <w:p>
            <w:pPr>
              <w:pStyle w:val="11"/>
            </w:pPr>
            <w:r>
              <w:t>10.50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87.29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35.75</w:t>
            </w:r>
          </w:p>
        </w:tc>
        <w:tc>
          <w:tcPr>
            <w:tcW w:w="964" w:type="dxa"/>
            <w:vAlign w:val="center"/>
          </w:tcPr>
          <w:p>
            <w:pPr>
              <w:pStyle w:val="11"/>
            </w:pPr>
            <w:r>
              <w:t>35.75</w:t>
            </w:r>
          </w:p>
        </w:tc>
        <w:tc>
          <w:tcPr>
            <w:tcW w:w="964" w:type="dxa"/>
            <w:vAlign w:val="center"/>
          </w:tcPr>
          <w:p>
            <w:pPr>
              <w:pStyle w:val="11"/>
            </w:pPr>
            <w:r>
              <w:t>35.75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87.29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1800</w:t>
            </w:r>
          </w:p>
        </w:tc>
        <w:tc>
          <w:tcPr>
            <w:tcW w:w="850" w:type="dxa"/>
            <w:vAlign w:val="center"/>
          </w:tcPr>
          <w:p>
            <w:pPr>
              <w:pStyle w:val="11"/>
            </w:pPr>
            <w:r>
              <w:t>0.00</w:t>
            </w:r>
          </w:p>
        </w:tc>
        <w:tc>
          <w:tcPr>
            <w:tcW w:w="964" w:type="dxa"/>
            <w:vAlign w:val="center"/>
          </w:tcPr>
          <w:p>
            <w:pPr>
              <w:pStyle w:val="11"/>
            </w:pPr>
            <w:r>
              <w:t>6.84</w:t>
            </w:r>
          </w:p>
        </w:tc>
        <w:tc>
          <w:tcPr>
            <w:tcW w:w="964" w:type="dxa"/>
            <w:vAlign w:val="center"/>
          </w:tcPr>
          <w:p>
            <w:pPr>
              <w:pStyle w:val="11"/>
            </w:pPr>
            <w:r>
              <w:t>6.84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16.60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16.60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安全生产（含举报奖励）专项经费</w:t>
            </w:r>
          </w:p>
        </w:tc>
        <w:tc>
          <w:tcPr>
            <w:tcW w:w="964" w:type="dxa"/>
            <w:vAlign w:val="center"/>
          </w:tcPr>
          <w:p>
            <w:pPr>
              <w:pStyle w:val="11"/>
            </w:pPr>
            <w:r>
              <w:t>200.00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150</w:t>
            </w:r>
          </w:p>
        </w:tc>
        <w:tc>
          <w:tcPr>
            <w:tcW w:w="850" w:type="dxa"/>
            <w:vAlign w:val="center"/>
          </w:tcPr>
          <w:p>
            <w:pPr>
              <w:pStyle w:val="11"/>
            </w:pPr>
            <w:r>
              <w:t>0.02</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安全生产（含举报奖励）专项经费</w:t>
            </w:r>
          </w:p>
        </w:tc>
        <w:tc>
          <w:tcPr>
            <w:tcW w:w="964" w:type="dxa"/>
            <w:vAlign w:val="center"/>
          </w:tcPr>
          <w:p>
            <w:pPr>
              <w:pStyle w:val="11"/>
            </w:pPr>
            <w:r>
              <w:t>200.00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盒</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4.60</w:t>
            </w: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安全生产（含举报奖励）专项经费</w:t>
            </w:r>
          </w:p>
        </w:tc>
        <w:tc>
          <w:tcPr>
            <w:tcW w:w="964" w:type="dxa"/>
            <w:vAlign w:val="center"/>
          </w:tcPr>
          <w:p>
            <w:pPr>
              <w:pStyle w:val="11"/>
            </w:pPr>
            <w:r>
              <w:t>200.00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盒</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安全生产（含举报奖励）专项经费</w:t>
            </w:r>
          </w:p>
        </w:tc>
        <w:tc>
          <w:tcPr>
            <w:tcW w:w="964" w:type="dxa"/>
            <w:vAlign w:val="center"/>
          </w:tcPr>
          <w:p>
            <w:pPr>
              <w:pStyle w:val="11"/>
            </w:pPr>
            <w:r>
              <w:t>200.00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安全生产（含举报奖励）专项经费</w:t>
            </w:r>
          </w:p>
        </w:tc>
        <w:tc>
          <w:tcPr>
            <w:tcW w:w="964" w:type="dxa"/>
            <w:vAlign w:val="center"/>
          </w:tcPr>
          <w:p>
            <w:pPr>
              <w:pStyle w:val="11"/>
            </w:pPr>
            <w:r>
              <w:t>200.00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防灾减灾应急救援（含科普基地建设）专项经费</w:t>
            </w:r>
          </w:p>
        </w:tc>
        <w:tc>
          <w:tcPr>
            <w:tcW w:w="964" w:type="dxa"/>
            <w:vAlign w:val="center"/>
          </w:tcPr>
          <w:p>
            <w:pPr>
              <w:pStyle w:val="11"/>
            </w:pPr>
            <w:r>
              <w:t>60.00</w:t>
            </w:r>
          </w:p>
        </w:tc>
        <w:tc>
          <w:tcPr>
            <w:tcW w:w="1134" w:type="dxa"/>
            <w:vAlign w:val="center"/>
          </w:tcPr>
          <w:p>
            <w:pPr>
              <w:pStyle w:val="12"/>
            </w:pPr>
            <w:r>
              <w:t>其他安全生产设备</w:t>
            </w:r>
          </w:p>
        </w:tc>
        <w:tc>
          <w:tcPr>
            <w:tcW w:w="1134" w:type="dxa"/>
            <w:vAlign w:val="center"/>
          </w:tcPr>
          <w:p>
            <w:pPr>
              <w:pStyle w:val="12"/>
            </w:pPr>
            <w:r>
              <w:t>A02349900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农房保险费</w:t>
            </w:r>
          </w:p>
        </w:tc>
        <w:tc>
          <w:tcPr>
            <w:tcW w:w="964" w:type="dxa"/>
            <w:vAlign w:val="center"/>
          </w:tcPr>
          <w:p>
            <w:pPr>
              <w:pStyle w:val="11"/>
            </w:pPr>
            <w:r>
              <w:t>16.20</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16.20</w:t>
            </w:r>
          </w:p>
        </w:tc>
        <w:tc>
          <w:tcPr>
            <w:tcW w:w="964" w:type="dxa"/>
            <w:vAlign w:val="center"/>
          </w:tcPr>
          <w:p>
            <w:pPr>
              <w:pStyle w:val="11"/>
            </w:pPr>
            <w:r>
              <w:t>16.20</w:t>
            </w:r>
          </w:p>
        </w:tc>
        <w:tc>
          <w:tcPr>
            <w:tcW w:w="964" w:type="dxa"/>
            <w:vAlign w:val="center"/>
          </w:tcPr>
          <w:p>
            <w:pPr>
              <w:pStyle w:val="11"/>
            </w:pPr>
            <w:r>
              <w:t>16.20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政府救助保险费</w:t>
            </w:r>
          </w:p>
        </w:tc>
        <w:tc>
          <w:tcPr>
            <w:tcW w:w="964" w:type="dxa"/>
            <w:vAlign w:val="center"/>
          </w:tcPr>
          <w:p>
            <w:pPr>
              <w:pStyle w:val="11"/>
            </w:pPr>
            <w:r>
              <w:t>290.00</w:t>
            </w:r>
          </w:p>
        </w:tc>
        <w:tc>
          <w:tcPr>
            <w:tcW w:w="1134" w:type="dxa"/>
            <w:vAlign w:val="center"/>
          </w:tcPr>
          <w:p>
            <w:pPr>
              <w:pStyle w:val="12"/>
            </w:pPr>
            <w:r>
              <w:t>其他商业保险服务</w:t>
            </w:r>
          </w:p>
        </w:tc>
        <w:tc>
          <w:tcPr>
            <w:tcW w:w="1134" w:type="dxa"/>
            <w:vAlign w:val="center"/>
          </w:tcPr>
          <w:p>
            <w:pPr>
              <w:pStyle w:val="12"/>
            </w:pPr>
            <w:r>
              <w:t>C18040199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290.00</w:t>
            </w:r>
          </w:p>
        </w:tc>
        <w:tc>
          <w:tcPr>
            <w:tcW w:w="964" w:type="dxa"/>
            <w:vAlign w:val="center"/>
          </w:tcPr>
          <w:p>
            <w:pPr>
              <w:pStyle w:val="11"/>
            </w:pPr>
            <w:r>
              <w:t>290.00</w:t>
            </w:r>
          </w:p>
        </w:tc>
        <w:tc>
          <w:tcPr>
            <w:tcW w:w="964" w:type="dxa"/>
            <w:vAlign w:val="center"/>
          </w:tcPr>
          <w:p>
            <w:pPr>
              <w:pStyle w:val="11"/>
            </w:pPr>
            <w:r>
              <w:t>290.00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秦皇岛市海港区应急管理局本级上年末固定资产金额为45968145.75万元（详见下表）。本年度拟购置固定资产总额为0.00万元，已按要求列入政府采购预算，详见政府采购预算表。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426001秦皇岛市海港区应急管理局本级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45968145.75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633476.00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16</w:t>
            </w:r>
          </w:p>
        </w:tc>
        <w:tc>
          <w:tcPr>
            <w:tcW w:w="2835" w:type="dxa"/>
            <w:vAlign w:val="center"/>
          </w:tcPr>
          <w:p>
            <w:pPr>
              <w:pStyle w:val="11"/>
            </w:pPr>
            <w:r>
              <w:t>32902670.70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1430</w:t>
            </w:r>
          </w:p>
        </w:tc>
        <w:tc>
          <w:tcPr>
            <w:tcW w:w="2835" w:type="dxa"/>
            <w:vAlign w:val="center"/>
          </w:tcPr>
          <w:p>
            <w:pPr>
              <w:pStyle w:val="11"/>
            </w:pPr>
            <w:r>
              <w:t>12431999.05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B6504"/>
    <w:rsid w:val="16492D73"/>
    <w:rsid w:val="48D549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TotalTime>0</TotalTime>
  <ScaleCrop>false</ScaleCrop>
  <LinksUpToDate>false</LinksUpToDate>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2025-04-23T10:42:00Z</dcterms:created>
  <dc:creator>kkk</dc:creator>
  <cp:lastModifiedBy>kkk</cp:lastModifiedBy>
  <dcterms:modified xsi:type="dcterms:W3CDTF">2025-04-23T02:57:15Z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986F8C80A0D8463E8B04B4A8692193F8</vt:lpwstr>
  </property>
</Properties>
</file>