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22760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关于20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</w:rPr>
        <w:t>1年区级预算公开有关事项的说明</w:t>
      </w:r>
    </w:p>
    <w:p w14:paraId="50B9FF09">
      <w:pPr>
        <w:spacing w:line="580" w:lineRule="exact"/>
        <w:jc w:val="center"/>
        <w:rPr>
          <w:sz w:val="32"/>
          <w:szCs w:val="32"/>
        </w:rPr>
      </w:pPr>
    </w:p>
    <w:p w14:paraId="5C12A169"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一、“三公”经费预算情况</w:t>
      </w:r>
    </w:p>
    <w:p w14:paraId="43AE755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1年区级一般公共预算安排“三公”经费预算658.92万元，比2020年减少</w:t>
      </w:r>
      <w:r>
        <w:rPr>
          <w:rFonts w:ascii="仿宋_GB2312" w:eastAsia="仿宋_GB2312"/>
          <w:sz w:val="32"/>
          <w:szCs w:val="32"/>
        </w:rPr>
        <w:t>0.</w:t>
      </w:r>
      <w:r>
        <w:rPr>
          <w:rFonts w:hint="eastAsia" w:ascii="仿宋_GB2312" w:eastAsia="仿宋_GB2312"/>
          <w:sz w:val="32"/>
          <w:szCs w:val="32"/>
        </w:rPr>
        <w:t>02万元，与上年持平。具体安排情况如下：</w:t>
      </w:r>
    </w:p>
    <w:p w14:paraId="7A35169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（一）公车购置及运行费。2021年预算安排公车购置及运行费545.07万元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全部为公车运行费）</w:t>
      </w:r>
      <w:r>
        <w:rPr>
          <w:rFonts w:hint="eastAsia" w:ascii="仿宋_GB2312" w:eastAsia="仿宋_GB2312"/>
          <w:sz w:val="32"/>
          <w:szCs w:val="32"/>
        </w:rPr>
        <w:t>，比2020年减少2.59万元，同比下降0</w:t>
      </w:r>
      <w:r>
        <w:rPr>
          <w:rFonts w:ascii="仿宋_GB2312" w:eastAsia="仿宋_GB2312"/>
          <w:sz w:val="32"/>
          <w:szCs w:val="32"/>
        </w:rPr>
        <w:t>.0</w:t>
      </w:r>
      <w:r>
        <w:rPr>
          <w:rFonts w:hint="eastAsia" w:ascii="仿宋_GB2312" w:eastAsia="仿宋_GB2312"/>
          <w:sz w:val="32"/>
          <w:szCs w:val="32"/>
        </w:rPr>
        <w:t>5%。主要原因：公务用车维护费用减少。</w:t>
      </w:r>
    </w:p>
    <w:p w14:paraId="0A7D444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（二）公务接待费。2021年预算安排公务接待费94.85万元，比2020年增加2.57万元，同比增长2.8%。主要原因：新增融媒体中心、</w:t>
      </w:r>
      <w:r>
        <w:rPr>
          <w:rFonts w:hint="eastAsia" w:ascii="仿宋_GB2312" w:eastAsia="仿宋_GB2312"/>
          <w:sz w:val="32"/>
          <w:szCs w:val="32"/>
          <w:lang w:eastAsia="zh-CN"/>
        </w:rPr>
        <w:t>退役军人事务局</w:t>
      </w:r>
      <w:r>
        <w:rPr>
          <w:rFonts w:hint="eastAsia" w:ascii="仿宋_GB2312" w:eastAsia="仿宋_GB2312"/>
          <w:sz w:val="32"/>
          <w:szCs w:val="32"/>
        </w:rPr>
        <w:t>等单位，公务接待费随之增加。</w:t>
      </w:r>
    </w:p>
    <w:p w14:paraId="271B916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（三）因公出国（境）费。2021年预算安排因公出国（境）费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万元，与2020年相比无变化。</w:t>
      </w:r>
    </w:p>
    <w:p w14:paraId="0E7D0363">
      <w:pPr>
        <w:spacing w:line="580" w:lineRule="exact"/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二、政府债券资金预算情况</w:t>
      </w:r>
    </w:p>
    <w:p w14:paraId="6D26A74E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年区级政府债务预算安排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5500</w:t>
      </w:r>
      <w:r>
        <w:rPr>
          <w:rFonts w:hint="eastAsia" w:ascii="仿宋_GB2312" w:eastAsia="仿宋_GB2312"/>
          <w:sz w:val="32"/>
          <w:szCs w:val="32"/>
          <w:highlight w:val="none"/>
        </w:rPr>
        <w:t>万元。其中：地方政府一般债务付息支出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5477</w:t>
      </w:r>
      <w:r>
        <w:rPr>
          <w:rFonts w:hint="eastAsia" w:ascii="仿宋_GB2312" w:eastAsia="仿宋_GB2312"/>
          <w:sz w:val="32"/>
          <w:szCs w:val="32"/>
          <w:highlight w:val="none"/>
        </w:rPr>
        <w:t>万元，地方政府一般债务发行费用支出</w:t>
      </w:r>
      <w:r>
        <w:rPr>
          <w:rFonts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 w14:paraId="22B0E10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年底政府债务余额实际数为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282892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万元，其中：一般债务余额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110502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万元，专项债务余额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172390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 w14:paraId="2720C3C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年政府债务余额限额为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698033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万元，其中：一般债务限额为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216031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万元，专项债务限额为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482002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 w14:paraId="0F1EB01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年发行政府债务发行额为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304900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40400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264500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 w14:paraId="4A35B16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年政府债务还本额为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4671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万元，其中：一般债务还本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2421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万元，专项债务还本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2250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 w14:paraId="1EB5B71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年底政府债务余额执行数为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583121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万元，其中：一般债务余额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148481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万元，专项债务余额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434640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 w14:paraId="5C50CDE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年政府债务新增限额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84000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万元，其中：一般债务余额新增限额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4000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万元，专项债务余额新增限额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80000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 w14:paraId="3FC9321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ascii="仿宋_GB2312" w:eastAsia="仿宋_GB2312"/>
          <w:sz w:val="32"/>
          <w:szCs w:val="32"/>
          <w:highlight w:val="none"/>
        </w:rPr>
        <w:t>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年政府债务余额限额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782033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万元，其中：一般债务余额限额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220031</w:t>
      </w:r>
      <w:r>
        <w:rPr>
          <w:rFonts w:hint="eastAsia" w:ascii="仿宋_GB2312" w:eastAsia="仿宋_GB2312"/>
          <w:sz w:val="32"/>
          <w:szCs w:val="32"/>
          <w:highlight w:val="none"/>
        </w:rPr>
        <w:t>万元，专项债务余额限额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562002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 w14:paraId="126C5577">
      <w:pPr>
        <w:spacing w:line="580" w:lineRule="exact"/>
        <w:ind w:firstLine="640" w:firstLineChars="20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三、转移支付资金预算情况</w:t>
      </w:r>
    </w:p>
    <w:p w14:paraId="27B7929A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2021年一般公共预算税收返还预算</w:t>
      </w:r>
      <w:r>
        <w:rPr>
          <w:rFonts w:ascii="仿宋_GB2312" w:eastAsia="仿宋_GB2312"/>
          <w:sz w:val="32"/>
          <w:szCs w:val="32"/>
          <w:highlight w:val="none"/>
        </w:rPr>
        <w:t>21221</w:t>
      </w:r>
      <w:r>
        <w:rPr>
          <w:rFonts w:hint="eastAsia" w:ascii="仿宋_GB2312" w:eastAsia="仿宋_GB2312"/>
          <w:sz w:val="32"/>
          <w:szCs w:val="32"/>
          <w:highlight w:val="none"/>
        </w:rPr>
        <w:t>万元，一般性转移支付预算</w:t>
      </w:r>
      <w:r>
        <w:rPr>
          <w:rFonts w:ascii="仿宋_GB2312" w:eastAsia="仿宋_GB2312"/>
          <w:sz w:val="32"/>
          <w:szCs w:val="32"/>
          <w:highlight w:val="none"/>
        </w:rPr>
        <w:t>42</w:t>
      </w:r>
      <w:r>
        <w:rPr>
          <w:rFonts w:hint="eastAsia" w:ascii="仿宋_GB2312" w:eastAsia="仿宋_GB2312"/>
          <w:sz w:val="32"/>
          <w:szCs w:val="32"/>
          <w:highlight w:val="none"/>
        </w:rPr>
        <w:t>750万元，专项转移支付预算51252万元。</w:t>
      </w:r>
    </w:p>
    <w:p w14:paraId="3AFFCB6C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四、国有资本经营预算情况</w:t>
      </w:r>
    </w:p>
    <w:p w14:paraId="7AF71414">
      <w:pPr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2021年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国有资本经营收入3868万元，全部调入一般公共预算。专项转移支付预算889万元。</w:t>
      </w:r>
    </w:p>
    <w:p w14:paraId="3A5E7362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五、政府采购预算情况</w:t>
      </w:r>
    </w:p>
    <w:p w14:paraId="11672A08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年安排政府采购预算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43895</w:t>
      </w:r>
      <w:r>
        <w:rPr>
          <w:rFonts w:hint="eastAsia" w:ascii="仿宋_GB2312" w:eastAsia="仿宋_GB2312"/>
          <w:sz w:val="32"/>
          <w:szCs w:val="32"/>
          <w:highlight w:val="none"/>
        </w:rPr>
        <w:t>万元。其中：一般公共预算拨款安排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12644</w:t>
      </w:r>
      <w:r>
        <w:rPr>
          <w:rFonts w:hint="eastAsia" w:ascii="仿宋_GB2312" w:eastAsia="仿宋_GB2312"/>
          <w:sz w:val="32"/>
          <w:szCs w:val="32"/>
          <w:highlight w:val="none"/>
        </w:rPr>
        <w:t>万元，政府性基金预算拨款安排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30362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国有资本经营预算拨款安排889万元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79C85DC5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三公经费类采购150万元，全部为公务用车购置。</w:t>
      </w:r>
    </w:p>
    <w:p w14:paraId="38E20D65"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六、绩效预算工作开展情况</w:t>
      </w:r>
    </w:p>
    <w:p w14:paraId="1FDE29C6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1、科学论证、统筹安排，圆满完成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>年预算编制</w:t>
      </w:r>
      <w:r>
        <w:rPr>
          <w:rFonts w:hint="eastAsia" w:ascii="仿宋_GB2312" w:hAnsi="仿宋" w:eastAsia="仿宋_GB2312"/>
          <w:sz w:val="32"/>
          <w:szCs w:val="32"/>
        </w:rPr>
        <w:t>及</w:t>
      </w:r>
      <w:r>
        <w:rPr>
          <w:rFonts w:ascii="仿宋_GB2312" w:hAnsi="仿宋" w:eastAsia="仿宋_GB2312"/>
          <w:sz w:val="32"/>
          <w:szCs w:val="32"/>
        </w:rPr>
        <w:t>下达工作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2020年政府预算编制受经济下滑影响，</w:t>
      </w:r>
      <w:r>
        <w:rPr>
          <w:rFonts w:hint="eastAsia" w:ascii="仿宋_GB2312" w:eastAsia="仿宋_GB2312"/>
          <w:sz w:val="32"/>
          <w:szCs w:val="32"/>
        </w:rPr>
        <w:t>增强财政资金安排与使用的绩效观念，</w:t>
      </w:r>
      <w:r>
        <w:rPr>
          <w:rFonts w:hint="eastAsia" w:ascii="仿宋_GB2312" w:eastAsia="仿宋_GB2312"/>
          <w:color w:val="000000"/>
          <w:sz w:val="32"/>
          <w:szCs w:val="32"/>
        </w:rPr>
        <w:t>重新调整各单位专项公用经费的支出结构，</w:t>
      </w:r>
      <w:r>
        <w:rPr>
          <w:rFonts w:hint="eastAsia" w:ascii="仿宋_GB2312" w:eastAsia="仿宋_GB2312"/>
          <w:sz w:val="32"/>
          <w:szCs w:val="32"/>
        </w:rPr>
        <w:t>对所有发展性项目支出都要制定明确的绩效目标，实行财政资金绩效监控，科学引导财政资源的流向，</w:t>
      </w:r>
      <w:r>
        <w:rPr>
          <w:rFonts w:hint="eastAsia" w:ascii="仿宋_GB2312" w:eastAsia="仿宋_GB2312"/>
          <w:color w:val="000000"/>
          <w:sz w:val="32"/>
          <w:szCs w:val="32"/>
        </w:rPr>
        <w:t>既做到保障全区人员及公用等基本支出需求，又做到集中财力办大事。</w:t>
      </w:r>
    </w:p>
    <w:p w14:paraId="034AFCE1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召开“海港区2020年预算绩效管理推进工作会”，对区直部门相关人员进行预算绩效管理业务培训。方案制定了总体工作目标及工作安排，要求2020年在我区全面落地，建成全方位、全过程、全覆盖的预算绩效管理体系。</w:t>
      </w:r>
    </w:p>
    <w:p w14:paraId="36ED1BB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、制订2020年财政资金绩效评价方案，</w:t>
      </w:r>
      <w:r>
        <w:rPr>
          <w:rFonts w:hint="eastAsia" w:ascii="仿宋_GB2312" w:eastAsia="仿宋_GB2312"/>
          <w:sz w:val="32"/>
          <w:szCs w:val="32"/>
        </w:rPr>
        <w:t>拓展预算绩效评价工作，扩大绩效评价范围。2020年，区财政局对财政支出项目开展重点绩效评价及部门自行评价工作。选定19个预算项目进行财政重点评价，共包含38家预算部门单位，共计13649万元，涵盖民生、教育、扶贫、文化宣传、城市管理、疫情防控领域。经综合评价，8个项目被评为“优秀”，11个项目被评为“良好”。同时，我局根据预算绩效全覆盖要求，对全区74个预算部门606个项目开展绩效自评工作，共涉及资金58866.28万元。实际报送部门为69个，2个部门无项目资金，3个部门未报。</w:t>
      </w:r>
    </w:p>
    <w:p w14:paraId="5B383A4E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B34C50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53C6E02">
      <w:pPr>
        <w:spacing w:line="580" w:lineRule="exact"/>
        <w:ind w:firstLine="6240" w:firstLineChars="19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2021年2月18日</w:t>
      </w:r>
    </w:p>
    <w:p w14:paraId="5C052FAA"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BFEC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2C190AF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25A3F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F829B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6E"/>
    <w:rsid w:val="00031182"/>
    <w:rsid w:val="000748DA"/>
    <w:rsid w:val="000954F9"/>
    <w:rsid w:val="000D498B"/>
    <w:rsid w:val="00102498"/>
    <w:rsid w:val="00110076"/>
    <w:rsid w:val="0018200F"/>
    <w:rsid w:val="001A5F43"/>
    <w:rsid w:val="00223042"/>
    <w:rsid w:val="002248F1"/>
    <w:rsid w:val="00286E67"/>
    <w:rsid w:val="00293070"/>
    <w:rsid w:val="002E639D"/>
    <w:rsid w:val="003367D3"/>
    <w:rsid w:val="003536BE"/>
    <w:rsid w:val="003A022D"/>
    <w:rsid w:val="00445ED7"/>
    <w:rsid w:val="00465FAD"/>
    <w:rsid w:val="004A775B"/>
    <w:rsid w:val="004B0E19"/>
    <w:rsid w:val="004B114A"/>
    <w:rsid w:val="004B4DED"/>
    <w:rsid w:val="0052796E"/>
    <w:rsid w:val="00533A5A"/>
    <w:rsid w:val="00537B18"/>
    <w:rsid w:val="00546E05"/>
    <w:rsid w:val="00547B1C"/>
    <w:rsid w:val="00552E9A"/>
    <w:rsid w:val="005B2473"/>
    <w:rsid w:val="005D01B8"/>
    <w:rsid w:val="00675834"/>
    <w:rsid w:val="0069248B"/>
    <w:rsid w:val="00714381"/>
    <w:rsid w:val="0073733B"/>
    <w:rsid w:val="00737594"/>
    <w:rsid w:val="007706D1"/>
    <w:rsid w:val="00795792"/>
    <w:rsid w:val="007E6A05"/>
    <w:rsid w:val="00843B45"/>
    <w:rsid w:val="008A4121"/>
    <w:rsid w:val="00942E79"/>
    <w:rsid w:val="00964DEA"/>
    <w:rsid w:val="009E2714"/>
    <w:rsid w:val="00A06955"/>
    <w:rsid w:val="00A732A0"/>
    <w:rsid w:val="00AB62E7"/>
    <w:rsid w:val="00AD0267"/>
    <w:rsid w:val="00AD19B0"/>
    <w:rsid w:val="00AF63E7"/>
    <w:rsid w:val="00B2306C"/>
    <w:rsid w:val="00B47A18"/>
    <w:rsid w:val="00B5110D"/>
    <w:rsid w:val="00B64A09"/>
    <w:rsid w:val="00B671DB"/>
    <w:rsid w:val="00BA789D"/>
    <w:rsid w:val="00BC6993"/>
    <w:rsid w:val="00C264F7"/>
    <w:rsid w:val="00C34149"/>
    <w:rsid w:val="00C63132"/>
    <w:rsid w:val="00CC196B"/>
    <w:rsid w:val="00CC4386"/>
    <w:rsid w:val="00D10667"/>
    <w:rsid w:val="00D51755"/>
    <w:rsid w:val="00DC2CC2"/>
    <w:rsid w:val="00DF0978"/>
    <w:rsid w:val="00E2765B"/>
    <w:rsid w:val="00E61303"/>
    <w:rsid w:val="00E83E94"/>
    <w:rsid w:val="00EE7A50"/>
    <w:rsid w:val="00FF3331"/>
    <w:rsid w:val="087C14F7"/>
    <w:rsid w:val="19F340F3"/>
    <w:rsid w:val="27E036BE"/>
    <w:rsid w:val="583E3D41"/>
    <w:rsid w:val="59503568"/>
    <w:rsid w:val="6193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1306</Words>
  <Characters>1571</Characters>
  <Lines>11</Lines>
  <Paragraphs>3</Paragraphs>
  <TotalTime>0</TotalTime>
  <ScaleCrop>false</ScaleCrop>
  <LinksUpToDate>false</LinksUpToDate>
  <CharactersWithSpaces>1571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2019-03-06T01:04:00Z</dcterms:created>
  <dc:creator>tianhao</dc:creator>
  <cp:lastModifiedBy>追逐太阳前行</cp:lastModifiedBy>
  <dcterms:modified xsi:type="dcterms:W3CDTF">2025-06-24T08:59:48Z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eyJoZGlkIjoiMWEwOWRhNmViOTZiYTU3ZDg3N2VjMGM0MDNlYjA0NzQiLCJ1c2VySWQiOiIzMTMxNTM5NTMifQ==</vt:lpwstr>
  </property>
  <property fmtid="{D5CDD505-2E9C-101B-9397-08002B2CF9AE}" pid="4" name="ICV">
    <vt:lpwstr>D74C3F7D3EB84BE2ACB8FAF137ABE6B2_12</vt:lpwstr>
  </property>
</Properties>
</file>