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spacing w:line="6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海港区人民政府保留的行政规范性文件目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录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auto"/>
          <w:sz w:val="44"/>
          <w:szCs w:val="44"/>
        </w:rPr>
        <w:t>（4件）</w:t>
      </w:r>
    </w:p>
    <w:tbl>
      <w:tblPr>
        <w:tblStyle w:val="2"/>
        <w:tblW w:w="9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1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文件标题、文号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区司法局（1件）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19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海港区重大行政决策程序暂行规定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》（海政规〔2021〕2号）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7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区供销社（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9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《海港区农村产权流转交易监督管理办法（试行）》（海政办规    〔2022〕1号）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区发改局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19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海港区区级重要物资储备管理办法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》（海政规〔2023〕1号）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7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区农业农村局（1件）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19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海港区农业项目投资奖补办法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</w:rPr>
              <w:t>》（海政规〔2024〕1号）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A3109"/>
    <w:rsid w:val="6E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2025-08-05T06:40:00Z</dcterms:created>
  <dc:creator>Flipped</dc:creator>
  <cp:lastModifiedBy>Flipped</cp:lastModifiedBy>
  <dcterms:modified xsi:type="dcterms:W3CDTF">2025-08-05T06:42:13Z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4C6ACA242E0D47BF81E353526830D9E3</vt:lpwstr>
  </property>
</Properties>
</file>